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7B6B" w14:textId="77777777" w:rsidR="009B01AD" w:rsidRDefault="00000000">
      <w:pPr>
        <w:spacing w:after="40"/>
        <w:jc w:val="center"/>
      </w:pPr>
      <w:r>
        <w:rPr>
          <w:color w:val="004422"/>
        </w:rPr>
        <w:t>Université Hassan 1er</w:t>
      </w:r>
    </w:p>
    <w:p w14:paraId="1249B515" w14:textId="77777777" w:rsidR="009B01AD" w:rsidRDefault="00000000">
      <w:pPr>
        <w:spacing w:after="20"/>
        <w:jc w:val="center"/>
      </w:pPr>
      <w:r>
        <w:rPr>
          <w:b/>
          <w:bCs/>
          <w:color w:val="006633"/>
          <w:sz w:val="28"/>
          <w:szCs w:val="28"/>
        </w:rPr>
        <w:t>ÉCOLE NATIONALE DE COMMERCE ET DE GESTION DE SETTAT</w:t>
      </w:r>
    </w:p>
    <w:p w14:paraId="30B49EC0" w14:textId="77777777" w:rsidR="009B01AD" w:rsidRDefault="009B01AD">
      <w:pPr>
        <w:pBdr>
          <w:bottom w:val="single" w:sz="4" w:space="1" w:color="006633"/>
        </w:pBdr>
        <w:spacing w:before="80" w:after="80"/>
      </w:pPr>
    </w:p>
    <w:p w14:paraId="1C3B0777" w14:textId="77777777" w:rsidR="009B01AD" w:rsidRDefault="009B01AD">
      <w:pPr>
        <w:spacing w:before="60" w:after="60"/>
      </w:pPr>
    </w:p>
    <w:p w14:paraId="1F9A204C" w14:textId="77777777" w:rsidR="009B01AD" w:rsidRDefault="00000000">
      <w:pPr>
        <w:spacing w:before="480" w:after="240"/>
        <w:jc w:val="center"/>
      </w:pPr>
      <w:r>
        <w:rPr>
          <w:b/>
          <w:bCs/>
          <w:color w:val="006633"/>
          <w:sz w:val="36"/>
          <w:szCs w:val="36"/>
        </w:rPr>
        <w:t>COMPTE RENDU DE PROJET DATA SCIENCE</w:t>
      </w:r>
    </w:p>
    <w:p w14:paraId="76D5C2B2" w14:textId="77777777" w:rsidR="009B01AD" w:rsidRDefault="009B01AD">
      <w:pPr>
        <w:spacing w:before="60" w:after="60"/>
      </w:pPr>
    </w:p>
    <w:p w14:paraId="019B249F" w14:textId="77777777" w:rsidR="009B01AD" w:rsidRDefault="009B01AD">
      <w:pPr>
        <w:pBdr>
          <w:bottom w:val="single" w:sz="4" w:space="1" w:color="006633"/>
        </w:pBdr>
        <w:spacing w:before="80" w:after="80"/>
      </w:pPr>
    </w:p>
    <w:p w14:paraId="37D8A847" w14:textId="77777777" w:rsidR="009B01AD" w:rsidRDefault="009B01AD">
      <w:pPr>
        <w:spacing w:before="60" w:after="60"/>
      </w:pPr>
    </w:p>
    <w:p w14:paraId="0DBC6E55" w14:textId="77777777" w:rsidR="009B01AD" w:rsidRDefault="00000000">
      <w:pPr>
        <w:spacing w:before="120" w:after="60"/>
        <w:jc w:val="center"/>
      </w:pPr>
      <w:r>
        <w:rPr>
          <w:b/>
          <w:bCs/>
          <w:i/>
          <w:iCs/>
          <w:sz w:val="32"/>
          <w:szCs w:val="32"/>
        </w:rPr>
        <w:t>Classification des Risques d'Audit par Cycle Comptable</w:t>
      </w:r>
    </w:p>
    <w:p w14:paraId="10E17D36" w14:textId="77777777" w:rsidR="009B01AD" w:rsidRDefault="00000000">
      <w:pPr>
        <w:spacing w:before="20" w:after="240"/>
        <w:jc w:val="center"/>
      </w:pPr>
      <w:r>
        <w:rPr>
          <w:i/>
          <w:iCs/>
          <w:color w:val="004422"/>
        </w:rPr>
        <w:t>Approche par Machine Learning : Modélisation, Évaluation et Explicabilité</w:t>
      </w:r>
    </w:p>
    <w:p w14:paraId="358D3B49" w14:textId="77777777" w:rsidR="009B01AD" w:rsidRDefault="009B01AD">
      <w:pPr>
        <w:spacing w:before="60" w:after="60"/>
      </w:pPr>
    </w:p>
    <w:p w14:paraId="062841FB" w14:textId="77777777" w:rsidR="009B01AD" w:rsidRDefault="009B01AD">
      <w:pPr>
        <w:spacing w:before="60"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B01AD" w14:paraId="73E241B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177E138" w14:textId="77777777" w:rsidR="009B01AD" w:rsidRDefault="00000000">
            <w:r>
              <w:rPr>
                <w:b/>
                <w:bCs/>
                <w:color w:val="004422"/>
              </w:rPr>
              <w:t>Module :</w:t>
            </w:r>
          </w:p>
        </w:tc>
        <w:tc>
          <w:tcPr>
            <w:tcW w:w="6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081388" w14:textId="77777777" w:rsidR="009B01AD" w:rsidRDefault="00000000">
            <w:r>
              <w:t>Finance d'Entreprise &amp; Audit Financier</w:t>
            </w:r>
          </w:p>
        </w:tc>
      </w:tr>
      <w:tr w:rsidR="009B01AD" w14:paraId="49C2FDC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FFE651" w14:textId="77777777" w:rsidR="009B01AD" w:rsidRDefault="00000000">
            <w:r>
              <w:rPr>
                <w:b/>
                <w:bCs/>
                <w:color w:val="004422"/>
              </w:rPr>
              <w:t>Filière :</w:t>
            </w:r>
          </w:p>
        </w:tc>
        <w:tc>
          <w:tcPr>
            <w:tcW w:w="6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338D5C" w14:textId="6B208F8C" w:rsidR="009B01AD" w:rsidRDefault="00000000">
            <w:r>
              <w:t>CAC (Comptabilité, Audit et Contrôle) —S8</w:t>
            </w:r>
          </w:p>
        </w:tc>
      </w:tr>
      <w:tr w:rsidR="009B01AD" w14:paraId="5115BF53"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8DAE5A" w14:textId="77777777" w:rsidR="009B01AD" w:rsidRDefault="00000000">
            <w:r>
              <w:rPr>
                <w:b/>
                <w:bCs/>
                <w:color w:val="004422"/>
              </w:rPr>
              <w:t>Réalisé par :</w:t>
            </w:r>
          </w:p>
        </w:tc>
        <w:tc>
          <w:tcPr>
            <w:tcW w:w="6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669959" w14:textId="3101E6EF" w:rsidR="009B01AD" w:rsidRDefault="005C2624">
            <w:r>
              <w:t xml:space="preserve">Kaiss Salma &amp; Hamdoune Oumaima </w:t>
            </w:r>
          </w:p>
        </w:tc>
      </w:tr>
      <w:tr w:rsidR="009B01AD" w14:paraId="7FA805A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59C4BE" w14:textId="77777777" w:rsidR="009B01AD" w:rsidRDefault="00000000">
            <w:r>
              <w:rPr>
                <w:b/>
                <w:bCs/>
                <w:color w:val="004422"/>
              </w:rPr>
              <w:t>Encadrant :</w:t>
            </w:r>
          </w:p>
        </w:tc>
        <w:tc>
          <w:tcPr>
            <w:tcW w:w="6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DD94F2" w14:textId="6B759B4C" w:rsidR="009B01AD" w:rsidRDefault="00000000" w:rsidP="005C2624">
            <w:r>
              <w:t xml:space="preserve">Pr. </w:t>
            </w:r>
            <w:r w:rsidR="005C2624">
              <w:t>A</w:t>
            </w:r>
            <w:r w:rsidR="005C2624" w:rsidRPr="005C2624">
              <w:t xml:space="preserve">bderrahim </w:t>
            </w:r>
            <w:r w:rsidR="005C2624">
              <w:t>L</w:t>
            </w:r>
            <w:r w:rsidR="005C2624" w:rsidRPr="005C2624">
              <w:t>arhlimi</w:t>
            </w:r>
          </w:p>
        </w:tc>
      </w:tr>
      <w:tr w:rsidR="009B01AD" w14:paraId="2340313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BED5CFC" w14:textId="77777777" w:rsidR="009B01AD" w:rsidRDefault="00000000">
            <w:r>
              <w:rPr>
                <w:b/>
                <w:bCs/>
                <w:color w:val="004422"/>
              </w:rPr>
              <w:t>Période :</w:t>
            </w:r>
          </w:p>
        </w:tc>
        <w:tc>
          <w:tcPr>
            <w:tcW w:w="6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152BDB" w14:textId="77777777" w:rsidR="009B01AD" w:rsidRDefault="00000000">
            <w:r>
              <w:t>Semestre 8 — Année Universitaire 2024–2025</w:t>
            </w:r>
          </w:p>
        </w:tc>
      </w:tr>
    </w:tbl>
    <w:p w14:paraId="70AD282D" w14:textId="77777777" w:rsidR="009B01AD" w:rsidRDefault="009B01AD">
      <w:pPr>
        <w:spacing w:before="60" w:after="60"/>
      </w:pPr>
    </w:p>
    <w:p w14:paraId="3DEB49B3" w14:textId="77777777" w:rsidR="009B01AD" w:rsidRDefault="009B01AD">
      <w:pPr>
        <w:spacing w:before="60" w:after="60"/>
      </w:pPr>
    </w:p>
    <w:p w14:paraId="06771B8B" w14:textId="77777777" w:rsidR="009B01AD" w:rsidRDefault="009B01AD">
      <w:pPr>
        <w:pBdr>
          <w:bottom w:val="single" w:sz="4" w:space="1" w:color="006633"/>
        </w:pBdr>
        <w:spacing w:before="80" w:after="80"/>
      </w:pPr>
    </w:p>
    <w:p w14:paraId="226849DD" w14:textId="77777777" w:rsidR="009B01AD" w:rsidRDefault="00000000">
      <w:pPr>
        <w:spacing w:before="120"/>
        <w:jc w:val="center"/>
      </w:pPr>
      <w:r>
        <w:rPr>
          <w:color w:val="004422"/>
          <w:sz w:val="22"/>
          <w:szCs w:val="22"/>
        </w:rPr>
        <w:t>Année Universitaire 2024–2025</w:t>
      </w:r>
    </w:p>
    <w:p w14:paraId="15E656C4" w14:textId="77777777" w:rsidR="009B01AD" w:rsidRDefault="00000000">
      <w:r>
        <w:br w:type="page"/>
      </w:r>
    </w:p>
    <w:p w14:paraId="409B4883" w14:textId="77777777" w:rsidR="009B01AD" w:rsidRDefault="009B01AD">
      <w:pPr>
        <w:sectPr w:rsidR="009B01AD">
          <w:pgSz w:w="11906" w:h="16838"/>
          <w:pgMar w:top="1440" w:right="1440" w:bottom="1440" w:left="1800" w:header="708" w:footer="708" w:gutter="0"/>
          <w:cols w:space="720"/>
          <w:docGrid w:linePitch="360"/>
        </w:sectPr>
      </w:pPr>
    </w:p>
    <w:p w14:paraId="2039A2FB" w14:textId="77777777" w:rsidR="009B01AD" w:rsidRDefault="00000000">
      <w:pPr>
        <w:pStyle w:val="Titre1"/>
      </w:pPr>
      <w:r>
        <w:lastRenderedPageBreak/>
        <w:t>Sommaire</w:t>
      </w:r>
    </w:p>
    <w:p w14:paraId="5E2E4568" w14:textId="77777777" w:rsidR="009B01AD" w:rsidRDefault="00000000">
      <w:pPr>
        <w:tabs>
          <w:tab w:val="right" w:pos="9026"/>
        </w:tabs>
        <w:spacing w:before="40" w:after="40"/>
      </w:pPr>
      <w:r>
        <w:rPr>
          <w:b/>
          <w:bCs/>
          <w:sz w:val="22"/>
          <w:szCs w:val="22"/>
        </w:rPr>
        <w:t>I.  Introduction et Contexte Métier</w:t>
      </w:r>
      <w:r>
        <w:rPr>
          <w:sz w:val="22"/>
          <w:szCs w:val="22"/>
        </w:rPr>
        <w:tab/>
        <w:t>3</w:t>
      </w:r>
    </w:p>
    <w:p w14:paraId="302998E6" w14:textId="77777777" w:rsidR="009B01AD" w:rsidRDefault="00000000">
      <w:pPr>
        <w:tabs>
          <w:tab w:val="right" w:pos="9026"/>
        </w:tabs>
        <w:spacing w:before="40" w:after="40"/>
      </w:pPr>
      <w:r>
        <w:rPr>
          <w:sz w:val="22"/>
          <w:szCs w:val="22"/>
        </w:rPr>
        <w:t xml:space="preserve">  I.1  L'audit financier et l'approche par les risques</w:t>
      </w:r>
      <w:r>
        <w:rPr>
          <w:sz w:val="22"/>
          <w:szCs w:val="22"/>
        </w:rPr>
        <w:tab/>
        <w:t>3</w:t>
      </w:r>
    </w:p>
    <w:p w14:paraId="46DB7B88" w14:textId="77777777" w:rsidR="009B01AD" w:rsidRDefault="00000000">
      <w:pPr>
        <w:tabs>
          <w:tab w:val="right" w:pos="9026"/>
        </w:tabs>
        <w:spacing w:before="40" w:after="40"/>
      </w:pPr>
      <w:r>
        <w:rPr>
          <w:sz w:val="22"/>
          <w:szCs w:val="22"/>
        </w:rPr>
        <w:t xml:space="preserve">  I.2  Exemples de risques par cycle comptable</w:t>
      </w:r>
      <w:r>
        <w:rPr>
          <w:sz w:val="22"/>
          <w:szCs w:val="22"/>
        </w:rPr>
        <w:tab/>
        <w:t>3</w:t>
      </w:r>
    </w:p>
    <w:p w14:paraId="6D1EF149" w14:textId="77777777" w:rsidR="009B01AD" w:rsidRDefault="00000000">
      <w:pPr>
        <w:tabs>
          <w:tab w:val="right" w:pos="9026"/>
        </w:tabs>
        <w:spacing w:before="40" w:after="40"/>
      </w:pPr>
      <w:r>
        <w:rPr>
          <w:b/>
          <w:bCs/>
          <w:sz w:val="22"/>
          <w:szCs w:val="22"/>
        </w:rPr>
        <w:t>II.  Méthodologie et Données</w:t>
      </w:r>
      <w:r>
        <w:rPr>
          <w:sz w:val="22"/>
          <w:szCs w:val="22"/>
        </w:rPr>
        <w:tab/>
        <w:t>4</w:t>
      </w:r>
    </w:p>
    <w:p w14:paraId="571B7867" w14:textId="77777777" w:rsidR="009B01AD" w:rsidRDefault="00000000">
      <w:pPr>
        <w:tabs>
          <w:tab w:val="right" w:pos="9026"/>
        </w:tabs>
        <w:spacing w:before="40" w:after="40"/>
      </w:pPr>
      <w:r>
        <w:rPr>
          <w:sz w:val="22"/>
          <w:szCs w:val="22"/>
        </w:rPr>
        <w:t xml:space="preserve">  II.1  Génération du dataset simulé</w:t>
      </w:r>
      <w:r>
        <w:rPr>
          <w:sz w:val="22"/>
          <w:szCs w:val="22"/>
        </w:rPr>
        <w:tab/>
        <w:t>4</w:t>
      </w:r>
    </w:p>
    <w:p w14:paraId="53E6DD0F" w14:textId="77777777" w:rsidR="009B01AD" w:rsidRDefault="00000000">
      <w:pPr>
        <w:tabs>
          <w:tab w:val="right" w:pos="9026"/>
        </w:tabs>
        <w:spacing w:before="40" w:after="40"/>
      </w:pPr>
      <w:r>
        <w:rPr>
          <w:sz w:val="22"/>
          <w:szCs w:val="22"/>
        </w:rPr>
        <w:t xml:space="preserve">  II.2  Préparation des données et Feature Engineering</w:t>
      </w:r>
      <w:r>
        <w:rPr>
          <w:sz w:val="22"/>
          <w:szCs w:val="22"/>
        </w:rPr>
        <w:tab/>
        <w:t>5</w:t>
      </w:r>
    </w:p>
    <w:p w14:paraId="5ABB79E4" w14:textId="77777777" w:rsidR="009B01AD" w:rsidRDefault="00000000">
      <w:pPr>
        <w:tabs>
          <w:tab w:val="right" w:pos="9026"/>
        </w:tabs>
        <w:spacing w:before="40" w:after="40"/>
      </w:pPr>
      <w:r>
        <w:rPr>
          <w:b/>
          <w:bCs/>
          <w:sz w:val="22"/>
          <w:szCs w:val="22"/>
        </w:rPr>
        <w:t>III.  Modélisation et Comparaison des Algorithmes</w:t>
      </w:r>
      <w:r>
        <w:rPr>
          <w:sz w:val="22"/>
          <w:szCs w:val="22"/>
        </w:rPr>
        <w:tab/>
        <w:t>6</w:t>
      </w:r>
    </w:p>
    <w:p w14:paraId="653FF9D1" w14:textId="77777777" w:rsidR="009B01AD" w:rsidRDefault="00000000">
      <w:pPr>
        <w:tabs>
          <w:tab w:val="right" w:pos="9026"/>
        </w:tabs>
        <w:spacing w:before="40" w:after="40"/>
      </w:pPr>
      <w:r>
        <w:rPr>
          <w:sz w:val="22"/>
          <w:szCs w:val="22"/>
        </w:rPr>
        <w:t xml:space="preserve">  III.1  Algorithmes testés et pipeline scikit-learn</w:t>
      </w:r>
      <w:r>
        <w:rPr>
          <w:sz w:val="22"/>
          <w:szCs w:val="22"/>
        </w:rPr>
        <w:tab/>
        <w:t>6</w:t>
      </w:r>
    </w:p>
    <w:p w14:paraId="625FA688" w14:textId="77777777" w:rsidR="009B01AD" w:rsidRDefault="00000000">
      <w:pPr>
        <w:tabs>
          <w:tab w:val="right" w:pos="9026"/>
        </w:tabs>
        <w:spacing w:before="40" w:after="40"/>
      </w:pPr>
      <w:r>
        <w:rPr>
          <w:sz w:val="22"/>
          <w:szCs w:val="22"/>
        </w:rPr>
        <w:t xml:space="preserve">  III.2  Résultats comparatifs</w:t>
      </w:r>
      <w:r>
        <w:rPr>
          <w:sz w:val="22"/>
          <w:szCs w:val="22"/>
        </w:rPr>
        <w:tab/>
        <w:t>7</w:t>
      </w:r>
    </w:p>
    <w:p w14:paraId="0A84A6EC" w14:textId="77777777" w:rsidR="009B01AD" w:rsidRDefault="00000000">
      <w:pPr>
        <w:tabs>
          <w:tab w:val="right" w:pos="9026"/>
        </w:tabs>
        <w:spacing w:before="40" w:after="40"/>
      </w:pPr>
      <w:r>
        <w:rPr>
          <w:b/>
          <w:bCs/>
          <w:sz w:val="22"/>
          <w:szCs w:val="22"/>
        </w:rPr>
        <w:t>IV.  Évaluation et Explicabilité du Modèle</w:t>
      </w:r>
      <w:r>
        <w:rPr>
          <w:sz w:val="22"/>
          <w:szCs w:val="22"/>
        </w:rPr>
        <w:tab/>
        <w:t>8</w:t>
      </w:r>
    </w:p>
    <w:p w14:paraId="1E045459" w14:textId="77777777" w:rsidR="009B01AD" w:rsidRDefault="00000000">
      <w:pPr>
        <w:tabs>
          <w:tab w:val="right" w:pos="9026"/>
        </w:tabs>
        <w:spacing w:before="40" w:after="40"/>
      </w:pPr>
      <w:r>
        <w:rPr>
          <w:sz w:val="22"/>
          <w:szCs w:val="22"/>
        </w:rPr>
        <w:t xml:space="preserve">  IV.1  Rapport de classification et matrice de confusion</w:t>
      </w:r>
      <w:r>
        <w:rPr>
          <w:sz w:val="22"/>
          <w:szCs w:val="22"/>
        </w:rPr>
        <w:tab/>
        <w:t>8</w:t>
      </w:r>
    </w:p>
    <w:p w14:paraId="27249F0B" w14:textId="77777777" w:rsidR="009B01AD" w:rsidRDefault="00000000">
      <w:pPr>
        <w:tabs>
          <w:tab w:val="right" w:pos="9026"/>
        </w:tabs>
        <w:spacing w:before="40" w:after="40"/>
      </w:pPr>
      <w:r>
        <w:rPr>
          <w:sz w:val="22"/>
          <w:szCs w:val="22"/>
        </w:rPr>
        <w:t xml:space="preserve">  IV.2  Analyse SHAP et interprétabilité</w:t>
      </w:r>
      <w:r>
        <w:rPr>
          <w:sz w:val="22"/>
          <w:szCs w:val="22"/>
        </w:rPr>
        <w:tab/>
        <w:t>8</w:t>
      </w:r>
    </w:p>
    <w:p w14:paraId="42F63220" w14:textId="77777777" w:rsidR="009B01AD" w:rsidRDefault="00000000">
      <w:pPr>
        <w:tabs>
          <w:tab w:val="right" w:pos="9026"/>
        </w:tabs>
        <w:spacing w:before="40" w:after="40"/>
      </w:pPr>
      <w:r>
        <w:rPr>
          <w:b/>
          <w:bCs/>
          <w:sz w:val="22"/>
          <w:szCs w:val="22"/>
        </w:rPr>
        <w:t>V.  Interprétation Métier et Cas d'Usage</w:t>
      </w:r>
      <w:r>
        <w:rPr>
          <w:sz w:val="22"/>
          <w:szCs w:val="22"/>
        </w:rPr>
        <w:tab/>
        <w:t>9</w:t>
      </w:r>
    </w:p>
    <w:p w14:paraId="79EDDA40" w14:textId="77777777" w:rsidR="009B01AD" w:rsidRDefault="00000000">
      <w:pPr>
        <w:tabs>
          <w:tab w:val="right" w:pos="9026"/>
        </w:tabs>
        <w:spacing w:before="40" w:after="40"/>
      </w:pPr>
      <w:r>
        <w:rPr>
          <w:sz w:val="22"/>
          <w:szCs w:val="22"/>
        </w:rPr>
        <w:t xml:space="preserve">  V.1  Liens avec les normes ISA</w:t>
      </w:r>
      <w:r>
        <w:rPr>
          <w:sz w:val="22"/>
          <w:szCs w:val="22"/>
        </w:rPr>
        <w:tab/>
        <w:t>9</w:t>
      </w:r>
    </w:p>
    <w:p w14:paraId="34DAC748" w14:textId="77777777" w:rsidR="009B01AD" w:rsidRDefault="00000000">
      <w:pPr>
        <w:tabs>
          <w:tab w:val="right" w:pos="9026"/>
        </w:tabs>
        <w:spacing w:before="40" w:after="40"/>
      </w:pPr>
      <w:r>
        <w:rPr>
          <w:sz w:val="22"/>
          <w:szCs w:val="22"/>
        </w:rPr>
        <w:t xml:space="preserve">  V.2  Application concrète en cabinet de CAC</w:t>
      </w:r>
      <w:r>
        <w:rPr>
          <w:sz w:val="22"/>
          <w:szCs w:val="22"/>
        </w:rPr>
        <w:tab/>
        <w:t>9</w:t>
      </w:r>
    </w:p>
    <w:p w14:paraId="481BDCB6" w14:textId="77777777" w:rsidR="009B01AD" w:rsidRDefault="00000000">
      <w:pPr>
        <w:tabs>
          <w:tab w:val="right" w:pos="9026"/>
        </w:tabs>
        <w:spacing w:before="40" w:after="40"/>
      </w:pPr>
      <w:r>
        <w:rPr>
          <w:b/>
          <w:bCs/>
          <w:sz w:val="22"/>
          <w:szCs w:val="22"/>
        </w:rPr>
        <w:t>VI.  Limites et Axes d'Amélioration</w:t>
      </w:r>
      <w:r>
        <w:rPr>
          <w:sz w:val="22"/>
          <w:szCs w:val="22"/>
        </w:rPr>
        <w:tab/>
        <w:t>10</w:t>
      </w:r>
    </w:p>
    <w:p w14:paraId="6FEF1DDD" w14:textId="77777777" w:rsidR="009B01AD" w:rsidRDefault="00000000">
      <w:pPr>
        <w:tabs>
          <w:tab w:val="right" w:pos="9026"/>
        </w:tabs>
        <w:spacing w:before="40" w:after="40"/>
      </w:pPr>
      <w:r>
        <w:rPr>
          <w:b/>
          <w:bCs/>
          <w:sz w:val="22"/>
          <w:szCs w:val="22"/>
        </w:rPr>
        <w:t>VII.  Conclusion</w:t>
      </w:r>
      <w:r>
        <w:rPr>
          <w:sz w:val="22"/>
          <w:szCs w:val="22"/>
        </w:rPr>
        <w:tab/>
        <w:t>11</w:t>
      </w:r>
    </w:p>
    <w:p w14:paraId="435988C4" w14:textId="77777777" w:rsidR="009B01AD" w:rsidRDefault="00000000">
      <w:pPr>
        <w:tabs>
          <w:tab w:val="right" w:pos="9026"/>
        </w:tabs>
        <w:spacing w:before="40" w:after="40"/>
      </w:pPr>
      <w:r>
        <w:rPr>
          <w:b/>
          <w:bCs/>
          <w:sz w:val="22"/>
          <w:szCs w:val="22"/>
        </w:rPr>
        <w:t xml:space="preserve">Bibliographie / Webographie  </w:t>
      </w:r>
      <w:r>
        <w:rPr>
          <w:sz w:val="22"/>
          <w:szCs w:val="22"/>
        </w:rPr>
        <w:tab/>
        <w:t>12</w:t>
      </w:r>
    </w:p>
    <w:p w14:paraId="5CE0AD2E" w14:textId="77777777" w:rsidR="009B01AD" w:rsidRDefault="00000000">
      <w:r>
        <w:br w:type="page"/>
      </w:r>
    </w:p>
    <w:p w14:paraId="32609FB8" w14:textId="77777777" w:rsidR="009B01AD" w:rsidRDefault="00000000">
      <w:pPr>
        <w:pStyle w:val="Titre1"/>
      </w:pPr>
      <w:r>
        <w:lastRenderedPageBreak/>
        <w:t>I. Introduction et Contexte Métier</w:t>
      </w:r>
    </w:p>
    <w:p w14:paraId="3FDC1FCC" w14:textId="77777777" w:rsidR="009B01AD" w:rsidRDefault="00000000">
      <w:pPr>
        <w:pStyle w:val="Titre2"/>
      </w:pPr>
      <w:r>
        <w:t>I.1  L'audit financier et l'approche par les risques</w:t>
      </w:r>
    </w:p>
    <w:p w14:paraId="7ABCB9A9" w14:textId="77777777" w:rsidR="009B01AD" w:rsidRDefault="00000000">
      <w:pPr>
        <w:spacing w:before="60" w:after="60" w:line="360" w:lineRule="auto"/>
        <w:ind w:firstLine="720"/>
        <w:jc w:val="both"/>
      </w:pPr>
      <w:r>
        <w:t>Dans le cadre légal et normatif de l'audit financier, encadré par les normes ISA (International Standards on Auditing) et adapté au contexte marocain par l'OECCA, l'approche par les risques constitue la pierre angulaire de toute mission de commissariat aux comptes. L'objectif fondamental n'est pas de vérifier l'exhaustivité de l'ensemble des transactions — ce qui demeure impossible en pratique — mais de concentrer les ressources et les efforts sur les zones où le risque d'anomalies significatives est le plus élevé.</w:t>
      </w:r>
    </w:p>
    <w:p w14:paraId="352B7F75" w14:textId="77777777" w:rsidR="009B01AD" w:rsidRDefault="00000000">
      <w:pPr>
        <w:spacing w:before="60" w:after="60" w:line="360" w:lineRule="auto"/>
        <w:ind w:firstLine="720"/>
        <w:jc w:val="both"/>
      </w:pPr>
      <w:r>
        <w:t>La classification préalable des cycles comptables selon leur niveau de risque (Faible, Modéré, Élevé) permet au responsable de mission d'optimiser l'allocation des ressources humaines et temporelles, de définir l'étendue des tests de détails (substantive testing), et d'orienter la stratégie d'audit globale dès la phase de planification. C'est dans ce contexte que s'inscrit le présent projet de Data Science.</w:t>
      </w:r>
    </w:p>
    <w:p w14:paraId="60C5771B" w14:textId="77777777" w:rsidR="009B01AD" w:rsidRDefault="009B01AD">
      <w:pPr>
        <w:spacing w:before="60" w:after="60"/>
      </w:pPr>
    </w:p>
    <w:p w14:paraId="12772B37" w14:textId="77777777" w:rsidR="009B01AD" w:rsidRDefault="00000000">
      <w:pPr>
        <w:pStyle w:val="Titre2"/>
      </w:pPr>
      <w:r>
        <w:t>I.2  Exemples de risques par cycle comptable</w:t>
      </w:r>
    </w:p>
    <w:p w14:paraId="00C19FBF" w14:textId="77777777" w:rsidR="009B01AD" w:rsidRDefault="00000000">
      <w:pPr>
        <w:spacing w:before="60" w:after="60" w:line="360" w:lineRule="auto"/>
        <w:ind w:firstLine="720"/>
        <w:jc w:val="both"/>
      </w:pPr>
      <w:r>
        <w:t>Les principaux cycles comptables et les risques inhérents qui leur sont associés sont les suivants :</w:t>
      </w:r>
    </w:p>
    <w:p w14:paraId="1F1A0FCC" w14:textId="77777777" w:rsidR="009B01AD" w:rsidRDefault="00000000">
      <w:pPr>
        <w:pStyle w:val="Paragraphedeliste"/>
        <w:numPr>
          <w:ilvl w:val="0"/>
          <w:numId w:val="2"/>
        </w:numPr>
        <w:spacing w:before="40" w:after="40" w:line="320" w:lineRule="auto"/>
        <w:jc w:val="both"/>
      </w:pPr>
      <w:r>
        <w:t>Cycle Achats / Fournisseurs : risque de fraude par création de fournisseurs fictifs, comptabilisation de factures sans service fait, et non-respect de la séparation des tâches (ségrégation des fonctions).</w:t>
      </w:r>
    </w:p>
    <w:p w14:paraId="45DCBB6F" w14:textId="77777777" w:rsidR="009B01AD" w:rsidRDefault="00000000">
      <w:pPr>
        <w:pStyle w:val="Paragraphedeliste"/>
        <w:numPr>
          <w:ilvl w:val="0"/>
          <w:numId w:val="2"/>
        </w:numPr>
        <w:spacing w:before="40" w:after="40" w:line="320" w:lineRule="auto"/>
        <w:jc w:val="both"/>
      </w:pPr>
      <w:r>
        <w:t>Cycle Ventes / Clients : reconnaissance anticipée du chiffre d'affaires (problème de cut-off), surévaluation des créances clients, provisionnement insuffisant des créances douteuses.</w:t>
      </w:r>
    </w:p>
    <w:p w14:paraId="400F6AC0" w14:textId="77777777" w:rsidR="009B01AD" w:rsidRDefault="00000000">
      <w:pPr>
        <w:pStyle w:val="Paragraphedeliste"/>
        <w:numPr>
          <w:ilvl w:val="0"/>
          <w:numId w:val="2"/>
        </w:numPr>
        <w:spacing w:before="40" w:after="40" w:line="320" w:lineRule="auto"/>
        <w:jc w:val="both"/>
      </w:pPr>
      <w:r>
        <w:t>Cycle Paie / Personnel : maintien d'employés fictifs dans les systèmes RH, heures supplémentaires non justifiées, erreurs d'application des accords collectifs.</w:t>
      </w:r>
    </w:p>
    <w:p w14:paraId="2A7F2C9B" w14:textId="77777777" w:rsidR="009B01AD" w:rsidRDefault="00000000">
      <w:pPr>
        <w:pStyle w:val="Paragraphedeliste"/>
        <w:numPr>
          <w:ilvl w:val="0"/>
          <w:numId w:val="2"/>
        </w:numPr>
        <w:spacing w:before="40" w:after="40" w:line="320" w:lineRule="auto"/>
        <w:jc w:val="both"/>
      </w:pPr>
      <w:r>
        <w:t>Cycle Trésorerie : détournements de fonds, fraudes au président (virement frauduleux), rapprochements bancaires non effectués ou falsifiés. Ce cycle est généralement considéré comme le plus sensible.</w:t>
      </w:r>
    </w:p>
    <w:p w14:paraId="6BDEFC84" w14:textId="77777777" w:rsidR="009B01AD" w:rsidRDefault="00000000">
      <w:pPr>
        <w:pStyle w:val="Paragraphedeliste"/>
        <w:numPr>
          <w:ilvl w:val="0"/>
          <w:numId w:val="2"/>
        </w:numPr>
        <w:spacing w:before="40" w:after="40" w:line="320" w:lineRule="auto"/>
        <w:jc w:val="both"/>
      </w:pPr>
      <w:r>
        <w:t>Cycle Stocks : obsolescence non provisionnée, surévaluation des quantités lors de l'inventaire physique, erreurs de valorisation des méthodes FIFO/CMP.</w:t>
      </w:r>
    </w:p>
    <w:p w14:paraId="648A355C" w14:textId="77777777" w:rsidR="009B01AD" w:rsidRDefault="009B01AD">
      <w:pPr>
        <w:spacing w:before="60" w:after="60"/>
      </w:pPr>
    </w:p>
    <w:p w14:paraId="6D5E2737" w14:textId="19D3A913" w:rsidR="009B01AD" w:rsidRDefault="00000000" w:rsidP="005C2624">
      <w:r>
        <w:br w:type="page"/>
      </w:r>
      <w:r>
        <w:rPr>
          <w:b/>
          <w:bCs/>
          <w:color w:val="006633"/>
          <w:sz w:val="28"/>
          <w:szCs w:val="28"/>
        </w:rPr>
        <w:lastRenderedPageBreak/>
        <w:t>II. Méthodologie et Données</w:t>
      </w:r>
    </w:p>
    <w:p w14:paraId="50135D0B" w14:textId="77777777" w:rsidR="009B01AD" w:rsidRDefault="00000000">
      <w:pPr>
        <w:pStyle w:val="Titre2"/>
      </w:pPr>
      <w:r>
        <w:t>II.1  Génération du dataset simulé</w:t>
      </w:r>
    </w:p>
    <w:p w14:paraId="11E556C6" w14:textId="77777777" w:rsidR="009B01AD" w:rsidRDefault="00000000">
      <w:pPr>
        <w:spacing w:before="60" w:after="60" w:line="360" w:lineRule="auto"/>
        <w:ind w:firstLine="720"/>
        <w:jc w:val="both"/>
      </w:pPr>
      <w:r>
        <w:t>Afin d'entraîner des modèles prédictifs, un dataset synthétique de 1 500 observations a été généré (n = 1 500). Ce jeu de données intègre les caractéristiques typiquement observées lors d'une évaluation du contrôle interne. La graine aléatoire a été fixée à 42 afin de garantir la reproductibilité des résultats.</w:t>
      </w:r>
    </w:p>
    <w:p w14:paraId="263EB35C" w14:textId="77777777" w:rsidR="009B01AD" w:rsidRDefault="00000000">
      <w:pPr>
        <w:spacing w:before="60" w:after="60" w:line="360" w:lineRule="auto"/>
        <w:ind w:firstLine="720"/>
        <w:jc w:val="both"/>
      </w:pPr>
      <w:r>
        <w:t>Les variables retenues reflètent les dimensions d'évaluation du risque propres à l'audit financier. Les variables catégorielles comprennent le cycle comptable, parmi cinq valeurs possibles (Achats, Ventes, Paie, Trésorerie, Stocks), ainsi que le niveau de digitalisation du processus (Faible, Moyenne, Élevée). Les variables numériques incluent le volume de transactions, la complexité du système d'information (score de 1 à 5), l'historique des anomalies détectées lors de l'exercice précédent (N-1, modélisé par une loi de Poisson), un ratio financier de référence (DSO ou rotation), et le score du contrôle interne évalué sur une échelle de 30 à 100.</w:t>
      </w:r>
    </w:p>
    <w:p w14:paraId="4E73AA8F" w14:textId="77777777" w:rsidR="009B01AD" w:rsidRDefault="00000000">
      <w:pPr>
        <w:spacing w:before="60" w:after="60" w:line="360" w:lineRule="auto"/>
        <w:ind w:firstLine="720"/>
        <w:jc w:val="both"/>
      </w:pPr>
      <w:r>
        <w:t>La variable cible, risque_audit, a été construite à partir d'un score de risque latent combinant ces variables selon des pondérations cohérentes avec la norme ISA 315 (identification et évaluation des risques d'anomalies significatives), augmenté d'un bruit gaussien pour simuler l'incertitude réelle de terrain. Des ajustements spécifiques ont été appliqués : le cycle Trésorerie reçoit une pénalité de +15 points, le cycle Achats de +5 points, conformément à leur exposition intrinsèque aux risques de fraude.</w:t>
      </w:r>
    </w:p>
    <w:p w14:paraId="46631D7F" w14:textId="77777777" w:rsidR="009B01AD" w:rsidRDefault="009B01AD">
      <w:pPr>
        <w:spacing w:before="60" w:after="60"/>
      </w:pPr>
    </w:p>
    <w:p w14:paraId="636F5A0A" w14:textId="77777777" w:rsidR="009B01AD" w:rsidRDefault="00000000">
      <w:pPr>
        <w:pStyle w:val="Titre2"/>
      </w:pPr>
      <w:r>
        <w:t>II.2  Préparation des données et Feature Engineering</w:t>
      </w:r>
    </w:p>
    <w:p w14:paraId="41DE27B8" w14:textId="77777777" w:rsidR="009B01AD" w:rsidRDefault="00000000">
      <w:pPr>
        <w:spacing w:before="60" w:after="60" w:line="360" w:lineRule="auto"/>
        <w:ind w:firstLine="720"/>
        <w:jc w:val="both"/>
      </w:pPr>
      <w:r>
        <w:t>La phase de préparation des données repose sur deux piliers : le prétraitement standard et la création de variables composites orientées métier (Feature Engineering).</w:t>
      </w:r>
    </w:p>
    <w:p w14:paraId="02A6A1E1" w14:textId="77777777" w:rsidR="009B01AD" w:rsidRDefault="00000000">
      <w:pPr>
        <w:spacing w:before="60" w:after="60" w:line="360" w:lineRule="auto"/>
        <w:ind w:firstLine="720"/>
        <w:jc w:val="both"/>
      </w:pPr>
      <w:r>
        <w:t>Deux indicateurs dérivés ont été construits à partir des variables brutes. L'indice de vulnérabilité est défini comme le ratio entre le volume de transactions et le score de contrôle interne (augmenté de 1 pour éviter la division par zéro). Plus ce ratio est élevé, plus le cycle présente une combinaison défavorable de volumétrie importante et de contrôles faibles. L'alerte historique est une variable binaire prenant la valeur 1 lorsque le nombre d'anomalies détectées en N-1 dépasse le seuil de 2 occurrences.</w:t>
      </w:r>
    </w:p>
    <w:p w14:paraId="4D9CD4A8" w14:textId="77777777" w:rsidR="009B01AD" w:rsidRDefault="00000000">
      <w:pPr>
        <w:spacing w:before="60" w:after="60" w:line="360" w:lineRule="auto"/>
        <w:ind w:firstLine="720"/>
        <w:jc w:val="both"/>
      </w:pPr>
      <w:r>
        <w:lastRenderedPageBreak/>
        <w:t>Le pipeline de prétraitement, construit avec sklearn, applique une imputation par la médiane et une standardisation (StandardScaler) sur les variables numériques, et un encodage One-Hot sur les variables catégorielles. La séparation train/test a été réalisée dans un ratio 80/20, avec stratification sur la variable cible afin de préserver la distribution des classes.</w:t>
      </w:r>
    </w:p>
    <w:p w14:paraId="0FA2700D" w14:textId="61809C45" w:rsidR="009B01AD" w:rsidRDefault="00000000" w:rsidP="005C2624">
      <w:r>
        <w:rPr>
          <w:b/>
          <w:bCs/>
          <w:color w:val="006633"/>
          <w:sz w:val="28"/>
          <w:szCs w:val="28"/>
        </w:rPr>
        <w:t>III. Modélisation et Comparaison des Algorithmes</w:t>
      </w:r>
    </w:p>
    <w:p w14:paraId="65B16DB9" w14:textId="77777777" w:rsidR="009B01AD" w:rsidRDefault="00000000">
      <w:pPr>
        <w:pStyle w:val="Titre2"/>
      </w:pPr>
      <w:r>
        <w:t>III.1  Algorithmes testés et pipeline scikit-learn</w:t>
      </w:r>
    </w:p>
    <w:p w14:paraId="62CB4B97" w14:textId="77777777" w:rsidR="009B01AD" w:rsidRDefault="00000000">
      <w:pPr>
        <w:spacing w:before="60" w:after="60" w:line="360" w:lineRule="auto"/>
        <w:ind w:firstLine="720"/>
        <w:jc w:val="both"/>
      </w:pPr>
      <w:r>
        <w:t>Cinq algorithmes de classification supervisée ont été comparés, tous encapsulés dans un pipeline scikit-learn intégrant le préprocesseur défini précédemment. Cette approche garantit l'absence de fuite de données (data leakage) entre les étapes d'entraînement et d'évaluation.</w:t>
      </w:r>
    </w:p>
    <w:p w14:paraId="2C1FC396" w14:textId="77777777" w:rsidR="009B01AD" w:rsidRDefault="00000000">
      <w:pPr>
        <w:pStyle w:val="Paragraphedeliste"/>
        <w:numPr>
          <w:ilvl w:val="0"/>
          <w:numId w:val="2"/>
        </w:numPr>
        <w:spacing w:before="40" w:after="40" w:line="320" w:lineRule="auto"/>
        <w:jc w:val="both"/>
      </w:pPr>
      <w:r>
        <w:t>Régression Logistique Multinomiale : modèle de référence (baseline), interprétable, adapté aux problèmes de classification multiclasse avec l'option multinomial.</w:t>
      </w:r>
    </w:p>
    <w:p w14:paraId="599F2243" w14:textId="77777777" w:rsidR="009B01AD" w:rsidRDefault="00000000">
      <w:pPr>
        <w:pStyle w:val="Paragraphedeliste"/>
        <w:numPr>
          <w:ilvl w:val="0"/>
          <w:numId w:val="2"/>
        </w:numPr>
        <w:spacing w:before="40" w:after="40" w:line="320" w:lineRule="auto"/>
        <w:jc w:val="both"/>
      </w:pPr>
      <w:r>
        <w:t>Random Forest : méthode d'ensemble par bagging, robuste aux outliers et aux variables de faible importance, naturellement adapté aux datasets mixtes.</w:t>
      </w:r>
    </w:p>
    <w:p w14:paraId="48F25D33" w14:textId="77777777" w:rsidR="009B01AD" w:rsidRDefault="00000000">
      <w:pPr>
        <w:pStyle w:val="Paragraphedeliste"/>
        <w:numPr>
          <w:ilvl w:val="0"/>
          <w:numId w:val="2"/>
        </w:numPr>
        <w:spacing w:before="40" w:after="40" w:line="320" w:lineRule="auto"/>
        <w:jc w:val="both"/>
      </w:pPr>
      <w:r>
        <w:t>SVM (Support Vector Machine) : classificateur à marge maximale, performant dans les espaces de grande dimension, avec activation des probabilités (probability=True) pour l'interprétabilité.</w:t>
      </w:r>
    </w:p>
    <w:p w14:paraId="14EE46D8" w14:textId="77777777" w:rsidR="009B01AD" w:rsidRDefault="00000000">
      <w:pPr>
        <w:pStyle w:val="Paragraphedeliste"/>
        <w:numPr>
          <w:ilvl w:val="0"/>
          <w:numId w:val="2"/>
        </w:numPr>
        <w:spacing w:before="40" w:after="40" w:line="320" w:lineRule="auto"/>
        <w:jc w:val="both"/>
      </w:pPr>
      <w:r>
        <w:t>KNN (K-Nearest Neighbors) : classificateur non paramétrique, utilisé comme point de comparaison avec k=5 voisins.</w:t>
      </w:r>
    </w:p>
    <w:p w14:paraId="142093BB" w14:textId="77777777" w:rsidR="009B01AD" w:rsidRDefault="00000000">
      <w:pPr>
        <w:pStyle w:val="Paragraphedeliste"/>
        <w:numPr>
          <w:ilvl w:val="0"/>
          <w:numId w:val="2"/>
        </w:numPr>
        <w:spacing w:before="40" w:after="40" w:line="320" w:lineRule="auto"/>
        <w:jc w:val="both"/>
      </w:pPr>
      <w:r>
        <w:t>XGBoost : méthode d'ensemble par gradient boosting, généralement la plus performante sur des datasets tabulaires de taille modérée. Utilisé avec eval_metric='mlogloss' pour la classification multiclasse.</w:t>
      </w:r>
    </w:p>
    <w:p w14:paraId="40D01672" w14:textId="77777777" w:rsidR="009B01AD" w:rsidRDefault="00000000">
      <w:pPr>
        <w:spacing w:before="60" w:after="60" w:line="360" w:lineRule="auto"/>
        <w:ind w:firstLine="720"/>
        <w:jc w:val="both"/>
      </w:pPr>
      <w:r>
        <w:t>Une optimisation par GridSearchCV (validation croisée à 5 plis) a été conduite sur le Random Forest pour affiner ses hyperparamètres (nombre d'arbres, profondeur maximale, taille minimale des feuilles).</w:t>
      </w:r>
    </w:p>
    <w:p w14:paraId="09F9DF05" w14:textId="77777777" w:rsidR="009B01AD" w:rsidRDefault="009B01AD">
      <w:pPr>
        <w:spacing w:before="60" w:after="60"/>
      </w:pPr>
    </w:p>
    <w:p w14:paraId="51ED80DB" w14:textId="77777777" w:rsidR="009B01AD" w:rsidRDefault="00000000">
      <w:pPr>
        <w:pStyle w:val="Titre2"/>
      </w:pPr>
      <w:r>
        <w:t>III.2  Résultats comparatifs</w:t>
      </w:r>
    </w:p>
    <w:p w14:paraId="1F753AAF" w14:textId="77777777" w:rsidR="009B01AD" w:rsidRDefault="00000000">
      <w:pPr>
        <w:spacing w:before="60" w:after="60" w:line="360" w:lineRule="auto"/>
        <w:ind w:firstLine="720"/>
        <w:jc w:val="both"/>
      </w:pPr>
      <w:r>
        <w:t>Le tableau ci-dessous présente les performances indicatives des différents modèles, exprimées en accuracy sur l'ensemble de test. Les résultats réels varient légèrement selon les runs mais suivent systématiquement la même hiérarchie.</w:t>
      </w:r>
    </w:p>
    <w:p w14:paraId="6F591F57" w14:textId="77777777" w:rsidR="009B01AD" w:rsidRDefault="009B01A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9B01AD" w14:paraId="0DCBC53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6633"/>
            <w:tcMar>
              <w:top w:w="80" w:type="dxa"/>
              <w:left w:w="120" w:type="dxa"/>
              <w:bottom w:w="80" w:type="dxa"/>
              <w:right w:w="120" w:type="dxa"/>
            </w:tcMar>
            <w:vAlign w:val="center"/>
          </w:tcPr>
          <w:p w14:paraId="49144FA8" w14:textId="77777777" w:rsidR="009B01AD" w:rsidRDefault="00000000">
            <w:pPr>
              <w:jc w:val="center"/>
            </w:pPr>
            <w:r>
              <w:rPr>
                <w:b/>
                <w:bCs/>
                <w:color w:val="FFFFFF"/>
                <w:sz w:val="22"/>
                <w:szCs w:val="22"/>
              </w:rPr>
              <w:t>Modèle</w:t>
            </w:r>
          </w:p>
        </w:tc>
        <w:tc>
          <w:tcPr>
            <w:tcW w:w="2930" w:type="dxa"/>
            <w:tcBorders>
              <w:top w:val="single" w:sz="1" w:space="0" w:color="CCCCCC"/>
              <w:left w:val="single" w:sz="1" w:space="0" w:color="CCCCCC"/>
              <w:bottom w:val="single" w:sz="1" w:space="0" w:color="CCCCCC"/>
              <w:right w:val="single" w:sz="1" w:space="0" w:color="CCCCCC"/>
            </w:tcBorders>
            <w:shd w:val="clear" w:color="auto" w:fill="006633"/>
            <w:tcMar>
              <w:top w:w="80" w:type="dxa"/>
              <w:left w:w="120" w:type="dxa"/>
              <w:bottom w:w="80" w:type="dxa"/>
              <w:right w:w="120" w:type="dxa"/>
            </w:tcMar>
            <w:vAlign w:val="center"/>
          </w:tcPr>
          <w:p w14:paraId="2B40AE08" w14:textId="77777777" w:rsidR="009B01AD" w:rsidRDefault="00000000">
            <w:pPr>
              <w:jc w:val="center"/>
            </w:pPr>
            <w:r>
              <w:rPr>
                <w:b/>
                <w:bCs/>
                <w:color w:val="FFFFFF"/>
                <w:sz w:val="22"/>
                <w:szCs w:val="22"/>
              </w:rPr>
              <w:t>Accuracy</w:t>
            </w:r>
          </w:p>
        </w:tc>
        <w:tc>
          <w:tcPr>
            <w:tcW w:w="2930" w:type="dxa"/>
            <w:tcBorders>
              <w:top w:val="single" w:sz="1" w:space="0" w:color="CCCCCC"/>
              <w:left w:val="single" w:sz="1" w:space="0" w:color="CCCCCC"/>
              <w:bottom w:val="single" w:sz="1" w:space="0" w:color="CCCCCC"/>
              <w:right w:val="single" w:sz="1" w:space="0" w:color="CCCCCC"/>
            </w:tcBorders>
            <w:shd w:val="clear" w:color="auto" w:fill="006633"/>
            <w:tcMar>
              <w:top w:w="80" w:type="dxa"/>
              <w:left w:w="120" w:type="dxa"/>
              <w:bottom w:w="80" w:type="dxa"/>
              <w:right w:w="120" w:type="dxa"/>
            </w:tcMar>
            <w:vAlign w:val="center"/>
          </w:tcPr>
          <w:p w14:paraId="6B61461D" w14:textId="77777777" w:rsidR="009B01AD" w:rsidRDefault="00000000">
            <w:pPr>
              <w:jc w:val="center"/>
            </w:pPr>
            <w:r>
              <w:rPr>
                <w:b/>
                <w:bCs/>
                <w:color w:val="FFFFFF"/>
                <w:sz w:val="22"/>
                <w:szCs w:val="22"/>
              </w:rPr>
              <w:t>Remarques</w:t>
            </w:r>
          </w:p>
        </w:tc>
      </w:tr>
      <w:tr w:rsidR="009B01AD" w14:paraId="4D8316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94FE" w14:textId="77777777" w:rsidR="009B01AD" w:rsidRDefault="00000000">
            <w:r>
              <w:rPr>
                <w:sz w:val="22"/>
                <w:szCs w:val="22"/>
              </w:rPr>
              <w:t>Régression Logistique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2BA53" w14:textId="77777777" w:rsidR="009B01AD" w:rsidRDefault="00000000">
            <w:pPr>
              <w:jc w:val="center"/>
            </w:pPr>
            <w:r>
              <w:rPr>
                <w:sz w:val="22"/>
                <w:szCs w:val="22"/>
              </w:rPr>
              <w:t>~84 %</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2EB21" w14:textId="77777777" w:rsidR="009B01AD" w:rsidRDefault="00000000">
            <w:r>
              <w:rPr>
                <w:sz w:val="22"/>
                <w:szCs w:val="22"/>
              </w:rPr>
              <w:t>Baseline solide, limite sur les non-linéarités</w:t>
            </w:r>
          </w:p>
        </w:tc>
      </w:tr>
      <w:tr w:rsidR="009B01AD" w14:paraId="7005C9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123B17" w14:textId="77777777" w:rsidR="009B01AD" w:rsidRDefault="00000000">
            <w:r>
              <w:rPr>
                <w:sz w:val="22"/>
                <w:szCs w:val="22"/>
              </w:rPr>
              <w:t>K-Nearest Neighbors</w:t>
            </w:r>
          </w:p>
        </w:tc>
        <w:tc>
          <w:tcPr>
            <w:tcW w:w="29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71AA6A" w14:textId="77777777" w:rsidR="009B01AD" w:rsidRDefault="00000000">
            <w:pPr>
              <w:jc w:val="center"/>
            </w:pPr>
            <w:r>
              <w:rPr>
                <w:sz w:val="22"/>
                <w:szCs w:val="22"/>
              </w:rPr>
              <w:t>~82 %</w:t>
            </w:r>
          </w:p>
        </w:tc>
        <w:tc>
          <w:tcPr>
            <w:tcW w:w="29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A35BCF" w14:textId="77777777" w:rsidR="009B01AD" w:rsidRDefault="00000000">
            <w:r>
              <w:rPr>
                <w:sz w:val="22"/>
                <w:szCs w:val="22"/>
              </w:rPr>
              <w:t>Sensible au nombre de voisins k</w:t>
            </w:r>
          </w:p>
        </w:tc>
      </w:tr>
      <w:tr w:rsidR="009B01AD" w14:paraId="18D8CD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4C629" w14:textId="77777777" w:rsidR="009B01AD" w:rsidRDefault="00000000">
            <w:r>
              <w:rPr>
                <w:sz w:val="22"/>
                <w:szCs w:val="22"/>
              </w:rPr>
              <w:t>SVM (RBF)</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2CDDE" w14:textId="77777777" w:rsidR="009B01AD" w:rsidRDefault="00000000">
            <w:pPr>
              <w:jc w:val="center"/>
            </w:pPr>
            <w:r>
              <w:rPr>
                <w:sz w:val="22"/>
                <w:szCs w:val="22"/>
              </w:rPr>
              <w:t>~87 %</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06F41" w14:textId="77777777" w:rsidR="009B01AD" w:rsidRDefault="00000000">
            <w:r>
              <w:rPr>
                <w:sz w:val="22"/>
                <w:szCs w:val="22"/>
              </w:rPr>
              <w:t>Bon compromis, mais coûteux en temps de calcul</w:t>
            </w:r>
          </w:p>
        </w:tc>
      </w:tr>
      <w:tr w:rsidR="009B01AD" w14:paraId="19BBA6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51A7BB" w14:textId="77777777" w:rsidR="009B01AD" w:rsidRDefault="00000000">
            <w:r>
              <w:rPr>
                <w:sz w:val="22"/>
                <w:szCs w:val="22"/>
              </w:rPr>
              <w:t>Random Forest</w:t>
            </w:r>
          </w:p>
        </w:tc>
        <w:tc>
          <w:tcPr>
            <w:tcW w:w="29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9C9C27" w14:textId="77777777" w:rsidR="009B01AD" w:rsidRDefault="00000000">
            <w:pPr>
              <w:jc w:val="center"/>
            </w:pPr>
            <w:r>
              <w:rPr>
                <w:sz w:val="22"/>
                <w:szCs w:val="22"/>
              </w:rPr>
              <w:t>~90 %</w:t>
            </w:r>
          </w:p>
        </w:tc>
        <w:tc>
          <w:tcPr>
            <w:tcW w:w="293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1F8198" w14:textId="77777777" w:rsidR="009B01AD" w:rsidRDefault="00000000">
            <w:r>
              <w:rPr>
                <w:sz w:val="22"/>
                <w:szCs w:val="22"/>
              </w:rPr>
              <w:t>Excellent, interprétable via feature importance</w:t>
            </w:r>
          </w:p>
        </w:tc>
      </w:tr>
      <w:tr w:rsidR="009B01AD" w14:paraId="69D5E9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5095" w14:textId="77777777" w:rsidR="009B01AD" w:rsidRDefault="00000000">
            <w:r>
              <w:rPr>
                <w:sz w:val="22"/>
                <w:szCs w:val="22"/>
              </w:rPr>
              <w:t>XGBoost</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D51D4" w14:textId="77777777" w:rsidR="009B01AD" w:rsidRDefault="00000000">
            <w:pPr>
              <w:jc w:val="center"/>
            </w:pPr>
            <w:r>
              <w:rPr>
                <w:sz w:val="22"/>
                <w:szCs w:val="22"/>
              </w:rPr>
              <w:t>~92 %</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8E27E" w14:textId="77777777" w:rsidR="009B01AD" w:rsidRDefault="00000000">
            <w:r>
              <w:rPr>
                <w:sz w:val="22"/>
                <w:szCs w:val="22"/>
              </w:rPr>
              <w:t>Meilleure performance globale — modèle retenu</w:t>
            </w:r>
          </w:p>
        </w:tc>
      </w:tr>
    </w:tbl>
    <w:p w14:paraId="4E7042A4" w14:textId="77777777" w:rsidR="009B01AD" w:rsidRDefault="009B01AD">
      <w:pPr>
        <w:spacing w:before="60" w:after="60"/>
      </w:pPr>
    </w:p>
    <w:p w14:paraId="43B96B2A" w14:textId="77777777" w:rsidR="009B01AD" w:rsidRDefault="00000000">
      <w:pPr>
        <w:spacing w:before="60" w:after="60" w:line="360" w:lineRule="auto"/>
        <w:ind w:firstLine="720"/>
        <w:jc w:val="both"/>
      </w:pPr>
      <w:r>
        <w:t>XGBoost et Random Forest se distinguent nettement des approches linéaires, ce qui confirme la présence de relations non linéaires dans les données, cohérentes avec la réalité de l'évaluation du risque d'audit.</w:t>
      </w:r>
    </w:p>
    <w:p w14:paraId="3B50FF14" w14:textId="77777777" w:rsidR="009B01AD" w:rsidRDefault="009B01AD">
      <w:pPr>
        <w:spacing w:before="60" w:after="60"/>
      </w:pPr>
    </w:p>
    <w:p w14:paraId="67B082D4" w14:textId="4AB9ECBE" w:rsidR="009B01AD" w:rsidRDefault="00000000" w:rsidP="005C2624">
      <w:r>
        <w:rPr>
          <w:b/>
          <w:bCs/>
          <w:color w:val="006633"/>
          <w:sz w:val="28"/>
          <w:szCs w:val="28"/>
        </w:rPr>
        <w:t>IV. Évaluation et Explicabilité du Modèle</w:t>
      </w:r>
    </w:p>
    <w:p w14:paraId="7997DA80" w14:textId="77777777" w:rsidR="009B01AD" w:rsidRDefault="00000000">
      <w:pPr>
        <w:pStyle w:val="Titre2"/>
      </w:pPr>
      <w:r>
        <w:t>IV.1  Rapport de classification et matrice de confusion</w:t>
      </w:r>
    </w:p>
    <w:p w14:paraId="51A65862" w14:textId="77777777" w:rsidR="009B01AD" w:rsidRDefault="00000000">
      <w:pPr>
        <w:spacing w:before="60" w:after="60" w:line="360" w:lineRule="auto"/>
        <w:ind w:firstLine="720"/>
        <w:jc w:val="both"/>
      </w:pPr>
      <w:r>
        <w:t>L'évaluation détaillée du modèle XGBoost retenu repose sur plusieurs métriques complémentaires. Le rapport de classification fournit, pour chacune des trois classes (Faible, Modéré, Élevé), la précision (precision), le rappel (recall) et le F1-score. La matrice de confusion permet de visualiser les erreurs de classification et d'identifier les confusions les plus fréquentes entre classes adjacentes.</w:t>
      </w:r>
    </w:p>
    <w:p w14:paraId="209F7457" w14:textId="59BC1D19" w:rsidR="009B01AD" w:rsidRDefault="00000000" w:rsidP="005C2624">
      <w:pPr>
        <w:spacing w:before="60" w:after="60" w:line="360" w:lineRule="auto"/>
        <w:ind w:firstLine="720"/>
        <w:jc w:val="both"/>
      </w:pPr>
      <w:r>
        <w:t>L'analyse des résultats révèle que les classifications les plus sûres concernent les cas extrêmes (Risque Faible et Risque Élevé), dont les profils sont bien distincts. Les erreurs se concentrent sur la classe Modéré, ce qui est méthodologiquement cohérent : cette classe correspond à des situations intermédiaires, naturellement plus difficiles à discriminer, et reflète l'incertitude inhérente à l'évaluation du risque dans la pratique professionnelle.</w:t>
      </w:r>
    </w:p>
    <w:p w14:paraId="203EF8C3" w14:textId="77777777" w:rsidR="009B01AD" w:rsidRDefault="00000000">
      <w:pPr>
        <w:pStyle w:val="Titre2"/>
      </w:pPr>
      <w:r>
        <w:t>IV.2  Analyse SHAP et interprétabilité</w:t>
      </w:r>
    </w:p>
    <w:p w14:paraId="2ADA0B6F" w14:textId="77777777" w:rsidR="009B01AD" w:rsidRDefault="00000000">
      <w:pPr>
        <w:spacing w:before="60" w:after="60" w:line="360" w:lineRule="auto"/>
        <w:ind w:firstLine="720"/>
        <w:jc w:val="both"/>
      </w:pPr>
      <w:r>
        <w:t xml:space="preserve">L'interprétabilité du modèle constitue un prérequis non négociable dans un contexte d'audit. Un commissaire aux comptes ne peut valider une recommandation issue </w:t>
      </w:r>
      <w:r>
        <w:lastRenderedPageBreak/>
        <w:t>d'une boîte noire opaque, sans possibilité d'en expliquer la logique devant un comité d'audit ou une autorité de contrôle. La bibliothèque SHAP (SHapley Additive exPlanations) permet de décomposer la contribution de chaque variable à la prédiction finale, tant au niveau global (vue d'ensemble) qu'au niveau individuel (explication d'un cycle spécifique).</w:t>
      </w:r>
    </w:p>
    <w:p w14:paraId="09F57CD1" w14:textId="77777777" w:rsidR="009B01AD" w:rsidRDefault="00000000">
      <w:pPr>
        <w:spacing w:before="60" w:after="60" w:line="360" w:lineRule="auto"/>
        <w:ind w:firstLine="720"/>
        <w:jc w:val="both"/>
      </w:pPr>
      <w:r>
        <w:t>Les valeurs SHAP révèlent une hiérarchie des variables explicatives cohérente avec la doctrine d'audit. Le score de contrôle interne constitue le premier déterminant du niveau de risque : un environnement de contrôle fort réduit mécaniquement le risque perçu, conformément aux recommandations de la norme ISA 315. L'historique des anomalies joue le rôle d'un indicateur d'alerte pénalisant : les SHAP values montrent une contribution fortement positive à la classe Élevé lorsque cet indicateur dépasse le seuil critique de 2 anomalies. La complexité du système d'information et l'indice de vulnérabilité complètent le tableau, reflétant respectivement les risques liés à la sophistication technique et à la combinaison volume/contrôle.</w:t>
      </w:r>
    </w:p>
    <w:p w14:paraId="29C20916" w14:textId="77777777" w:rsidR="009B01AD" w:rsidRDefault="009B01AD">
      <w:pPr>
        <w:spacing w:before="60" w:after="60"/>
      </w:pPr>
    </w:p>
    <w:p w14:paraId="145E57E2" w14:textId="619AF89E" w:rsidR="009B01AD" w:rsidRDefault="00000000" w:rsidP="005C2624">
      <w:r>
        <w:rPr>
          <w:b/>
          <w:bCs/>
          <w:color w:val="006633"/>
          <w:sz w:val="28"/>
          <w:szCs w:val="28"/>
        </w:rPr>
        <w:t>V. Interprétation Métier et Cas d'Usage</w:t>
      </w:r>
    </w:p>
    <w:p w14:paraId="025E441C" w14:textId="77777777" w:rsidR="009B01AD" w:rsidRDefault="00000000">
      <w:pPr>
        <w:pStyle w:val="Titre2"/>
      </w:pPr>
      <w:r>
        <w:t>V.1  Liens avec les normes ISA</w:t>
      </w:r>
    </w:p>
    <w:p w14:paraId="756792D4" w14:textId="77777777" w:rsidR="009B01AD" w:rsidRDefault="00000000">
      <w:pPr>
        <w:spacing w:before="60" w:after="60" w:line="360" w:lineRule="auto"/>
        <w:ind w:firstLine="720"/>
        <w:jc w:val="both"/>
      </w:pPr>
      <w:r>
        <w:t>Les résultats obtenus s'inscrivent en pleine cohérence avec le cadre normatif international de l'audit. La norme ISA 315 (Identifier et évaluer les risques d'anomalies significatives par la compréhension de l'entité et de son environnement) encadre précisément les dimensions capturées par notre modèle : évaluation du contrôle interne, analyse de l'environnement de l'entité, et prise en compte de l'historique des anomalies passées.</w:t>
      </w:r>
    </w:p>
    <w:p w14:paraId="2178B2C0" w14:textId="77777777" w:rsidR="009B01AD" w:rsidRDefault="00000000">
      <w:pPr>
        <w:spacing w:before="60" w:after="60" w:line="360" w:lineRule="auto"/>
        <w:ind w:firstLine="720"/>
        <w:jc w:val="both"/>
      </w:pPr>
      <w:r>
        <w:t>La norme ISA 330 (Réponses de l'auditeur aux risques évalués) justifie quant à elle l'utilisation des outputs du modèle pour dimensionner l'étendue des procédures de validation des comptes : un cycle classé Élevé nécessitera davantage de tests de détails, tandis qu'un cycle classé Faible pourra se limiter à des procédures analytiques.</w:t>
      </w:r>
    </w:p>
    <w:p w14:paraId="2E6E312A" w14:textId="77777777" w:rsidR="009B01AD" w:rsidRDefault="00000000">
      <w:pPr>
        <w:spacing w:before="60" w:after="60" w:line="360" w:lineRule="auto"/>
        <w:ind w:firstLine="720"/>
        <w:jc w:val="both"/>
      </w:pPr>
      <w:r>
        <w:t>Enfin, la norme ISA 240 (Responsabilités de l'auditeur concernant les fraudes) trouve un écho direct dans les variables discriminantes identifiées par le modèle, notamment pour les cycles Trésorerie et Achats, dont la vulnérabilité aux fraudes est documentée et systématiquement prise en compte dans le score de risque.</w:t>
      </w:r>
    </w:p>
    <w:p w14:paraId="5460E1B0" w14:textId="77777777" w:rsidR="009B01AD" w:rsidRDefault="009B01AD">
      <w:pPr>
        <w:spacing w:before="60" w:after="60"/>
      </w:pPr>
    </w:p>
    <w:p w14:paraId="23BEF714" w14:textId="77777777" w:rsidR="009B01AD" w:rsidRDefault="00000000">
      <w:pPr>
        <w:pStyle w:val="Titre2"/>
      </w:pPr>
      <w:r>
        <w:lastRenderedPageBreak/>
        <w:t>V.2  Application concrète en cabinet de CAC</w:t>
      </w:r>
    </w:p>
    <w:p w14:paraId="70198172" w14:textId="77777777" w:rsidR="009B01AD" w:rsidRDefault="00000000">
      <w:pPr>
        <w:spacing w:before="60" w:after="60" w:line="360" w:lineRule="auto"/>
        <w:ind w:firstLine="720"/>
        <w:jc w:val="both"/>
      </w:pPr>
      <w:r>
        <w:t>Le déploiement opérationnel de ce modèle en cabinet d'audit s'articule en trois phases distinctes lors d'une mission de commissariat aux comptes.</w:t>
      </w:r>
    </w:p>
    <w:p w14:paraId="1D87E1AF" w14:textId="77777777" w:rsidR="009B01AD" w:rsidRDefault="00000000">
      <w:pPr>
        <w:spacing w:before="60" w:after="60" w:line="360" w:lineRule="auto"/>
        <w:ind w:firstLine="720"/>
        <w:jc w:val="both"/>
      </w:pPr>
      <w:r>
        <w:t>Lors de la phase de planification (Interim), l'auditeur en charge collecte les données nécessaires : extraction du Fichier des Écritures Comptables (FEC), administration du questionnaire d'évaluation du contrôle interne (QCI), et analyse du rapport des auditeurs IT sur la complexité du système d'information du client. L'ensemble de ces données est structuré sous forme de features compatibles avec le modèle.</w:t>
      </w:r>
    </w:p>
    <w:p w14:paraId="00E9C661" w14:textId="77777777" w:rsidR="009B01AD" w:rsidRDefault="00000000">
      <w:pPr>
        <w:spacing w:before="60" w:after="60" w:line="360" w:lineRule="auto"/>
        <w:ind w:firstLine="720"/>
        <w:jc w:val="both"/>
      </w:pPr>
      <w:r>
        <w:t>La phase de prédiction est entièrement automatisée : les paramètres de chaque cycle sont injectés dans le pipeline, et le modèle produit instantanément une classification tripartite (Faible / Modéré / Élevé) pour chacun des cinq cycles, assortie d'une probabilité de classe et d'une explication SHAP individuelle.</w:t>
      </w:r>
    </w:p>
    <w:p w14:paraId="236C1583" w14:textId="77777777" w:rsidR="009B01AD" w:rsidRDefault="00000000">
      <w:pPr>
        <w:spacing w:before="60" w:after="60" w:line="360" w:lineRule="auto"/>
        <w:ind w:firstLine="720"/>
        <w:jc w:val="both"/>
      </w:pPr>
      <w:r>
        <w:t>La phase d'allocation des ressources s'appuie directement sur ces outputs. Si le modèle indique Achats (Élevé) et Trésorerie (Élevé), l'associé signataire affectera un manager senior aux travaux de rapprochement bancaire et fera appel à des Data Analysts pour conduire des tests de validation massifs sur les décaissements fournisseurs. Le cycle Personnel, classé Faible, ne fera l'objet que d'examens analytiques de base.</w:t>
      </w:r>
    </w:p>
    <w:p w14:paraId="048204C2" w14:textId="77777777" w:rsidR="009B01AD" w:rsidRDefault="009B01AD">
      <w:pPr>
        <w:spacing w:before="60" w:after="60"/>
      </w:pPr>
    </w:p>
    <w:p w14:paraId="2DDA9BF1" w14:textId="7A57343B" w:rsidR="009B01AD" w:rsidRDefault="00000000" w:rsidP="005C2624">
      <w:r>
        <w:rPr>
          <w:b/>
          <w:bCs/>
          <w:color w:val="006633"/>
          <w:sz w:val="28"/>
          <w:szCs w:val="28"/>
        </w:rPr>
        <w:t>VI. Limites et Axes d'Amélioration</w:t>
      </w:r>
    </w:p>
    <w:p w14:paraId="369D37E4" w14:textId="77777777" w:rsidR="009B01AD" w:rsidRDefault="00000000">
      <w:pPr>
        <w:pStyle w:val="Titre2"/>
      </w:pPr>
      <w:r>
        <w:t>VI.1  Limites actuelles</w:t>
      </w:r>
    </w:p>
    <w:p w14:paraId="48760506" w14:textId="77777777" w:rsidR="009B01AD" w:rsidRDefault="00000000">
      <w:pPr>
        <w:spacing w:before="60" w:after="60" w:line="360" w:lineRule="auto"/>
        <w:ind w:firstLine="720"/>
        <w:jc w:val="both"/>
      </w:pPr>
      <w:r>
        <w:t>Plusieurs limites méritent d'être soulevées avec honnêteté intellectuelle. La première concerne la nature des données : bien que le dataset soit généré selon des heuristiques métier réalistes et cohérentes avec les normes d'audit, il ne capture pas la granularité et la complexité d'environnements frauduleux réels. L'adaptation du modèle à un cabinet réel nécessiterait un historique de données labellisées issues de missions passées, ce qui soulève des questions de confidentialité et de disponibilité.</w:t>
      </w:r>
    </w:p>
    <w:p w14:paraId="72AB9B95" w14:textId="77777777" w:rsidR="009B01AD" w:rsidRDefault="00000000">
      <w:pPr>
        <w:spacing w:before="60" w:after="60" w:line="360" w:lineRule="auto"/>
        <w:ind w:firstLine="720"/>
        <w:jc w:val="both"/>
      </w:pPr>
      <w:r>
        <w:t>La deuxième limite porte sur la subjectivité résiduelle : le score de contrôle interne dépend de l'appréciation de l'auditeur qui a rempli le questionnaire initial. Deux auditeurs différents peuvent attribuer des scores distincts à la même entité, introduisant une variabilité inter-évaluateurs que le modèle ne peut neutraliser.</w:t>
      </w:r>
    </w:p>
    <w:p w14:paraId="3C7C8C41" w14:textId="77777777" w:rsidR="009B01AD" w:rsidRDefault="00000000">
      <w:pPr>
        <w:spacing w:before="60" w:after="60" w:line="360" w:lineRule="auto"/>
        <w:ind w:firstLine="720"/>
        <w:jc w:val="both"/>
      </w:pPr>
      <w:r>
        <w:lastRenderedPageBreak/>
        <w:t>Troisièmement, le modèle opère à l'échelle du cycle comptable, et non à l'échelle de la transaction individuelle. Pour la détection d'anomalies granulaires (ex. : une écriture comptable atypique), d'autres approches seraient plus adaptées.</w:t>
      </w:r>
    </w:p>
    <w:p w14:paraId="111D6D76" w14:textId="77777777" w:rsidR="009B01AD" w:rsidRDefault="009B01AD">
      <w:pPr>
        <w:spacing w:before="60" w:after="60"/>
      </w:pPr>
    </w:p>
    <w:p w14:paraId="30FD0529" w14:textId="77777777" w:rsidR="009B01AD" w:rsidRDefault="00000000">
      <w:pPr>
        <w:pStyle w:val="Titre2"/>
      </w:pPr>
      <w:r>
        <w:t>VI.2  Axes d'amélioration envisagés</w:t>
      </w:r>
    </w:p>
    <w:p w14:paraId="75BBBFB2" w14:textId="77777777" w:rsidR="009B01AD" w:rsidRDefault="00000000">
      <w:pPr>
        <w:spacing w:before="60" w:after="60" w:line="360" w:lineRule="auto"/>
        <w:ind w:firstLine="720"/>
        <w:jc w:val="both"/>
      </w:pPr>
      <w:r>
        <w:t>Plusieurs pistes d'amélioration ont été identifiées pour des développements futurs. L'application de méthodes de détection d'anomalies non supervisées (Isolation Forest, Autoencoder) permettrait de passer de la classification au niveau du cycle à la détection au niveau de l'écriture comptable individuelle, ce qui constitue le graal de l'audit par les données.</w:t>
      </w:r>
    </w:p>
    <w:p w14:paraId="3EB60CA5" w14:textId="77777777" w:rsidR="009B01AD" w:rsidRDefault="00000000">
      <w:pPr>
        <w:spacing w:before="60" w:after="60" w:line="360" w:lineRule="auto"/>
        <w:ind w:firstLine="720"/>
        <w:jc w:val="both"/>
      </w:pPr>
      <w:r>
        <w:t>L'intégration du traitement du langage naturel (NLP) ouvre une perspective prometteuse : l'analyse automatique des procès-verbaux de conseils d'administration et des rapports de gestion permettrait d'extraire un indicateur quantitatif du « Tone at the Top » (climat éthique de la direction), variable documentée comme prédictive du risque de fraude managériale par la recherche académique en audit forensique.</w:t>
      </w:r>
    </w:p>
    <w:p w14:paraId="690FEEE1" w14:textId="77777777" w:rsidR="009B01AD" w:rsidRDefault="00000000">
      <w:pPr>
        <w:spacing w:before="60" w:after="60" w:line="360" w:lineRule="auto"/>
        <w:ind w:firstLine="720"/>
        <w:jc w:val="both"/>
      </w:pPr>
      <w:r>
        <w:t>Sur le plan de l'infrastructure, le packaging du modèle via MLflow ou joblib, puis son exposition sous forme d'API REST (Flask ou FastAPI), permettrait une intégration directe dans les outils de planification d'audit existants, sans nécessiter de compétences Python de la part des auditeurs utilisateurs finaux.</w:t>
      </w:r>
    </w:p>
    <w:p w14:paraId="234C1EE2" w14:textId="77777777" w:rsidR="009B01AD" w:rsidRDefault="009B01AD">
      <w:pPr>
        <w:spacing w:before="60" w:after="60"/>
      </w:pPr>
    </w:p>
    <w:p w14:paraId="3A498238" w14:textId="77777777" w:rsidR="009B01AD" w:rsidRDefault="00000000">
      <w:r>
        <w:br w:type="page"/>
      </w:r>
    </w:p>
    <w:p w14:paraId="31156813" w14:textId="77777777" w:rsidR="009B01AD" w:rsidRDefault="00000000">
      <w:pPr>
        <w:pStyle w:val="Titre1"/>
      </w:pPr>
      <w:r>
        <w:lastRenderedPageBreak/>
        <w:t>VII. Conclusion</w:t>
      </w:r>
    </w:p>
    <w:p w14:paraId="1D46708E" w14:textId="77777777" w:rsidR="009B01AD" w:rsidRDefault="00000000">
      <w:pPr>
        <w:spacing w:before="60" w:after="60" w:line="360" w:lineRule="auto"/>
        <w:ind w:firstLine="720"/>
        <w:jc w:val="both"/>
      </w:pPr>
      <w:r>
        <w:t>Ce projet illustre la convergence fertile entre la Data Science et l'audit financier. En modélisant le processus d'évaluation des risques d'audit — processus traditionnellement subjectif et chronophage — sous forme d'un problème de classification supervisée, il démontre la faisabilité technique et la pertinence métier d'une telle approche.</w:t>
      </w:r>
    </w:p>
    <w:p w14:paraId="3258AE49" w14:textId="77777777" w:rsidR="009B01AD" w:rsidRDefault="00000000">
      <w:pPr>
        <w:spacing w:before="60" w:after="60" w:line="360" w:lineRule="auto"/>
        <w:ind w:firstLine="720"/>
        <w:jc w:val="both"/>
      </w:pPr>
      <w:r>
        <w:t>Les résultats obtenus confirment que des algorithmes d'ensemble tels que XGBoost et Random Forest sont capables d'apprendre les règles implicites de l'évaluation du risque avec une accuracy supérieure à 90 %, tout en produisant des explications suffisamment lisibles pour satisfaire les exigences de transparence imposées par les normes professionnelles d'audit.</w:t>
      </w:r>
    </w:p>
    <w:p w14:paraId="0F22F0ED" w14:textId="77777777" w:rsidR="009B01AD" w:rsidRDefault="00000000">
      <w:pPr>
        <w:spacing w:before="60" w:after="60" w:line="360" w:lineRule="auto"/>
        <w:ind w:firstLine="720"/>
        <w:jc w:val="both"/>
      </w:pPr>
      <w:r>
        <w:t>Au-delà des performances numériques, ce projet met en lumière la valeur de l'explicabilité (SHAP) comme condition sine qua non de l'adoption de l'intelligence artificielle dans des professions réglementées. Un modèle performant mais opaque ne franchira pas le seuil d'un cabinet d'audit : la confiance se construit par la démonstration que la machine a appris ce que les normes enseignent.</w:t>
      </w:r>
    </w:p>
    <w:p w14:paraId="4A8175BC" w14:textId="77777777" w:rsidR="009B01AD" w:rsidRDefault="00000000">
      <w:pPr>
        <w:spacing w:before="60" w:after="60" w:line="360" w:lineRule="auto"/>
        <w:ind w:firstLine="720"/>
        <w:jc w:val="both"/>
      </w:pPr>
      <w:r>
        <w:t>Ce travail constitue ainsi une première brique vers ce que la profession appelle l'audit augmenté : un auditeur humain, expert en normes et en jugement professionnel, assisté d'outils analytiques capables de traiter des volumes de données inaccessibles à l'analyse manuelle. Ce n'est pas l'automatisation de l'auditeur, c'est l'amplification de son efficacité.</w:t>
      </w:r>
    </w:p>
    <w:p w14:paraId="638E8BA1" w14:textId="77777777" w:rsidR="009B01AD" w:rsidRDefault="009B01AD">
      <w:pPr>
        <w:spacing w:before="60" w:after="60"/>
      </w:pPr>
    </w:p>
    <w:p w14:paraId="6E8F93A0" w14:textId="77777777" w:rsidR="009B01AD" w:rsidRDefault="00000000">
      <w:r>
        <w:br w:type="page"/>
      </w:r>
    </w:p>
    <w:p w14:paraId="151F4FCC" w14:textId="77777777" w:rsidR="009B01AD" w:rsidRPr="005C2624" w:rsidRDefault="00000000">
      <w:pPr>
        <w:pStyle w:val="Titre1"/>
        <w:rPr>
          <w:lang w:val="en-US"/>
        </w:rPr>
      </w:pPr>
      <w:r w:rsidRPr="005C2624">
        <w:rPr>
          <w:lang w:val="en-US"/>
        </w:rPr>
        <w:lastRenderedPageBreak/>
        <w:t>Bibliographie / Webographie</w:t>
      </w:r>
    </w:p>
    <w:p w14:paraId="6D450386" w14:textId="77777777" w:rsidR="009B01AD" w:rsidRPr="005C2624" w:rsidRDefault="00000000">
      <w:pPr>
        <w:spacing w:before="60" w:after="60" w:line="360" w:lineRule="auto"/>
        <w:ind w:firstLine="720"/>
        <w:jc w:val="both"/>
        <w:rPr>
          <w:lang w:val="en-US"/>
        </w:rPr>
      </w:pPr>
      <w:r w:rsidRPr="005C2624">
        <w:rPr>
          <w:lang w:val="en-US"/>
        </w:rPr>
        <w:t>IFAC (2023). International Standards on Auditing — ISA 315 (Revised 2019) : Identifying and Assessing the Risks of Material Misstatement. International Auditing and Assurance Standards Board.</w:t>
      </w:r>
    </w:p>
    <w:p w14:paraId="0BA51149" w14:textId="77777777" w:rsidR="009B01AD" w:rsidRPr="005C2624" w:rsidRDefault="00000000">
      <w:pPr>
        <w:spacing w:before="60" w:after="60" w:line="360" w:lineRule="auto"/>
        <w:ind w:firstLine="720"/>
        <w:jc w:val="both"/>
        <w:rPr>
          <w:lang w:val="en-US"/>
        </w:rPr>
      </w:pPr>
      <w:r w:rsidRPr="005C2624">
        <w:rPr>
          <w:lang w:val="en-US"/>
        </w:rPr>
        <w:t>IFAC (2023). ISA 330 : The Auditor's Responses to Assessed Risks. IAASB.</w:t>
      </w:r>
    </w:p>
    <w:p w14:paraId="5694DCAF" w14:textId="77777777" w:rsidR="009B01AD" w:rsidRPr="005C2624" w:rsidRDefault="00000000">
      <w:pPr>
        <w:spacing w:before="60" w:after="60" w:line="360" w:lineRule="auto"/>
        <w:ind w:firstLine="720"/>
        <w:jc w:val="both"/>
        <w:rPr>
          <w:lang w:val="en-US"/>
        </w:rPr>
      </w:pPr>
      <w:r w:rsidRPr="005C2624">
        <w:rPr>
          <w:lang w:val="en-US"/>
        </w:rPr>
        <w:t>IFAC (2023). ISA 240 : The Auditor's Responsibilities Relating to Fraud in an Audit of Financial Statements. IAASB.</w:t>
      </w:r>
    </w:p>
    <w:p w14:paraId="27E30423" w14:textId="77777777" w:rsidR="009B01AD" w:rsidRPr="005C2624" w:rsidRDefault="00000000">
      <w:pPr>
        <w:spacing w:before="60" w:after="60" w:line="360" w:lineRule="auto"/>
        <w:ind w:firstLine="720"/>
        <w:jc w:val="both"/>
        <w:rPr>
          <w:lang w:val="en-US"/>
        </w:rPr>
      </w:pPr>
      <w:r w:rsidRPr="005C2624">
        <w:rPr>
          <w:lang w:val="en-US"/>
        </w:rPr>
        <w:t>Pedregosa, F. et al. (2011). Scikit-learn: Machine Learning in Python. Journal of Machine Learning Research, 12, 2825–2830.</w:t>
      </w:r>
    </w:p>
    <w:p w14:paraId="4B226F08" w14:textId="77777777" w:rsidR="009B01AD" w:rsidRPr="005C2624" w:rsidRDefault="00000000">
      <w:pPr>
        <w:spacing w:before="60" w:after="60" w:line="360" w:lineRule="auto"/>
        <w:ind w:firstLine="720"/>
        <w:jc w:val="both"/>
        <w:rPr>
          <w:lang w:val="en-US"/>
        </w:rPr>
      </w:pPr>
      <w:r w:rsidRPr="005C2624">
        <w:rPr>
          <w:lang w:val="en-US"/>
        </w:rPr>
        <w:t>Lundberg, S. M., &amp; Lee, S. I. (2017). A Unified Approach to Interpreting Model Predictions. Advances in Neural Information Processing Systems (NeurIPS).</w:t>
      </w:r>
    </w:p>
    <w:p w14:paraId="030A6837" w14:textId="77777777" w:rsidR="009B01AD" w:rsidRPr="005C2624" w:rsidRDefault="00000000">
      <w:pPr>
        <w:spacing w:before="60" w:after="60" w:line="360" w:lineRule="auto"/>
        <w:ind w:firstLine="720"/>
        <w:jc w:val="both"/>
        <w:rPr>
          <w:lang w:val="en-US"/>
        </w:rPr>
      </w:pPr>
      <w:r w:rsidRPr="005C2624">
        <w:rPr>
          <w:lang w:val="en-US"/>
        </w:rPr>
        <w:t>Chen, T., &amp; Guestrin, C. (2016). XGBoost: A Scalable Tree Boosting System. Proceedings of the 22nd ACM SIGKDD International Conference on Knowledge Discovery and Data Mining.</w:t>
      </w:r>
    </w:p>
    <w:p w14:paraId="414CC572" w14:textId="77777777" w:rsidR="009B01AD" w:rsidRDefault="00000000">
      <w:pPr>
        <w:spacing w:before="60" w:after="60" w:line="360" w:lineRule="auto"/>
        <w:ind w:firstLine="720"/>
        <w:jc w:val="both"/>
      </w:pPr>
      <w:r>
        <w:t xml:space="preserve">Ngai, E. W. T. et al. </w:t>
      </w:r>
      <w:r w:rsidRPr="005C2624">
        <w:rPr>
          <w:lang w:val="en-US"/>
        </w:rPr>
        <w:t xml:space="preserve">(2011). The application of data mining techniques in financial fraud detection: A classification framework and an academic review of literature. </w:t>
      </w:r>
      <w:r>
        <w:t>Decision Support Systems, 50(3), 559–569.</w:t>
      </w:r>
    </w:p>
    <w:p w14:paraId="393F7A7D" w14:textId="77777777" w:rsidR="009B01AD" w:rsidRDefault="00000000">
      <w:pPr>
        <w:spacing w:before="60" w:after="60" w:line="360" w:lineRule="auto"/>
        <w:ind w:firstLine="720"/>
        <w:jc w:val="both"/>
      </w:pPr>
      <w:r>
        <w:t>OECCA Maroc (2022). Guide des normes d'audit applicables au Maroc. Ordre des Experts-Comptables et Comptables Agréés.</w:t>
      </w:r>
    </w:p>
    <w:p w14:paraId="534AD03F" w14:textId="77777777" w:rsidR="009B01AD" w:rsidRDefault="009B01AD">
      <w:pPr>
        <w:spacing w:before="60" w:after="60"/>
      </w:pPr>
    </w:p>
    <w:sectPr w:rsidR="009B01AD">
      <w:footerReference w:type="default" r:id="rId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E5006" w14:textId="77777777" w:rsidR="00C37B92" w:rsidRDefault="00C37B92">
      <w:r>
        <w:separator/>
      </w:r>
    </w:p>
  </w:endnote>
  <w:endnote w:type="continuationSeparator" w:id="0">
    <w:p w14:paraId="4782F1AC" w14:textId="77777777" w:rsidR="00C37B92" w:rsidRDefault="00C37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810D" w14:textId="77777777" w:rsidR="009B01AD" w:rsidRDefault="00000000">
    <w:pPr>
      <w:jc w:val="center"/>
    </w:pPr>
    <w:r>
      <w:rPr>
        <w:color w:val="888888"/>
        <w:sz w:val="18"/>
        <w:szCs w:val="18"/>
      </w:rPr>
      <w:t xml:space="preserve">ENCG Settat — Compte Rendu de Projet S8 — CAC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C2624">
      <w:rPr>
        <w:noProof/>
        <w:color w:val="888888"/>
        <w:sz w:val="18"/>
        <w:szCs w:val="18"/>
      </w:rPr>
      <w:t>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5C2624">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3B0B1" w14:textId="77777777" w:rsidR="00C37B92" w:rsidRDefault="00C37B92">
      <w:r>
        <w:separator/>
      </w:r>
    </w:p>
  </w:footnote>
  <w:footnote w:type="continuationSeparator" w:id="0">
    <w:p w14:paraId="5A153645" w14:textId="77777777" w:rsidR="00C37B92" w:rsidRDefault="00C37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5405E"/>
    <w:multiLevelType w:val="hybridMultilevel"/>
    <w:tmpl w:val="0A42F7EE"/>
    <w:lvl w:ilvl="0" w:tplc="F51855F6">
      <w:start w:val="1"/>
      <w:numFmt w:val="bullet"/>
      <w:lvlText w:val="●"/>
      <w:lvlJc w:val="left"/>
      <w:pPr>
        <w:ind w:left="720" w:hanging="360"/>
      </w:pPr>
    </w:lvl>
    <w:lvl w:ilvl="1" w:tplc="5950AEE6">
      <w:start w:val="1"/>
      <w:numFmt w:val="bullet"/>
      <w:lvlText w:val="○"/>
      <w:lvlJc w:val="left"/>
      <w:pPr>
        <w:ind w:left="1440" w:hanging="360"/>
      </w:pPr>
    </w:lvl>
    <w:lvl w:ilvl="2" w:tplc="5DEEF676">
      <w:start w:val="1"/>
      <w:numFmt w:val="bullet"/>
      <w:lvlText w:val="■"/>
      <w:lvlJc w:val="left"/>
      <w:pPr>
        <w:ind w:left="2160" w:hanging="360"/>
      </w:pPr>
    </w:lvl>
    <w:lvl w:ilvl="3" w:tplc="95D6C132">
      <w:start w:val="1"/>
      <w:numFmt w:val="bullet"/>
      <w:lvlText w:val="●"/>
      <w:lvlJc w:val="left"/>
      <w:pPr>
        <w:ind w:left="2880" w:hanging="360"/>
      </w:pPr>
    </w:lvl>
    <w:lvl w:ilvl="4" w:tplc="43D23F4C">
      <w:start w:val="1"/>
      <w:numFmt w:val="bullet"/>
      <w:lvlText w:val="○"/>
      <w:lvlJc w:val="left"/>
      <w:pPr>
        <w:ind w:left="3600" w:hanging="360"/>
      </w:pPr>
    </w:lvl>
    <w:lvl w:ilvl="5" w:tplc="AFCA65AC">
      <w:start w:val="1"/>
      <w:numFmt w:val="bullet"/>
      <w:lvlText w:val="■"/>
      <w:lvlJc w:val="left"/>
      <w:pPr>
        <w:ind w:left="4320" w:hanging="360"/>
      </w:pPr>
    </w:lvl>
    <w:lvl w:ilvl="6" w:tplc="D1925FDC">
      <w:start w:val="1"/>
      <w:numFmt w:val="bullet"/>
      <w:lvlText w:val="●"/>
      <w:lvlJc w:val="left"/>
      <w:pPr>
        <w:ind w:left="5040" w:hanging="360"/>
      </w:pPr>
    </w:lvl>
    <w:lvl w:ilvl="7" w:tplc="E9CCD8A8">
      <w:start w:val="1"/>
      <w:numFmt w:val="bullet"/>
      <w:lvlText w:val="●"/>
      <w:lvlJc w:val="left"/>
      <w:pPr>
        <w:ind w:left="5760" w:hanging="360"/>
      </w:pPr>
    </w:lvl>
    <w:lvl w:ilvl="8" w:tplc="3C028DC0">
      <w:start w:val="1"/>
      <w:numFmt w:val="bullet"/>
      <w:lvlText w:val="●"/>
      <w:lvlJc w:val="left"/>
      <w:pPr>
        <w:ind w:left="6480" w:hanging="360"/>
      </w:pPr>
    </w:lvl>
  </w:abstractNum>
  <w:abstractNum w:abstractNumId="1" w15:restartNumberingAfterBreak="0">
    <w:nsid w:val="7BE425F0"/>
    <w:multiLevelType w:val="hybridMultilevel"/>
    <w:tmpl w:val="273C8D00"/>
    <w:lvl w:ilvl="0" w:tplc="E06E8C0A">
      <w:start w:val="1"/>
      <w:numFmt w:val="bullet"/>
      <w:lvlText w:val="–"/>
      <w:lvlJc w:val="left"/>
      <w:pPr>
        <w:ind w:left="720" w:hanging="360"/>
      </w:pPr>
    </w:lvl>
    <w:lvl w:ilvl="1" w:tplc="F7D2EDD4">
      <w:numFmt w:val="decimal"/>
      <w:lvlText w:val=""/>
      <w:lvlJc w:val="left"/>
    </w:lvl>
    <w:lvl w:ilvl="2" w:tplc="8B3CFE8C">
      <w:numFmt w:val="decimal"/>
      <w:lvlText w:val=""/>
      <w:lvlJc w:val="left"/>
    </w:lvl>
    <w:lvl w:ilvl="3" w:tplc="F65CCB8C">
      <w:numFmt w:val="decimal"/>
      <w:lvlText w:val=""/>
      <w:lvlJc w:val="left"/>
    </w:lvl>
    <w:lvl w:ilvl="4" w:tplc="5FCA43F2">
      <w:numFmt w:val="decimal"/>
      <w:lvlText w:val=""/>
      <w:lvlJc w:val="left"/>
    </w:lvl>
    <w:lvl w:ilvl="5" w:tplc="0322A1C0">
      <w:numFmt w:val="decimal"/>
      <w:lvlText w:val=""/>
      <w:lvlJc w:val="left"/>
    </w:lvl>
    <w:lvl w:ilvl="6" w:tplc="D878FE76">
      <w:numFmt w:val="decimal"/>
      <w:lvlText w:val=""/>
      <w:lvlJc w:val="left"/>
    </w:lvl>
    <w:lvl w:ilvl="7" w:tplc="8E3E565A">
      <w:numFmt w:val="decimal"/>
      <w:lvlText w:val=""/>
      <w:lvlJc w:val="left"/>
    </w:lvl>
    <w:lvl w:ilvl="8" w:tplc="3A38D422">
      <w:numFmt w:val="decimal"/>
      <w:lvlText w:val=""/>
      <w:lvlJc w:val="left"/>
    </w:lvl>
  </w:abstractNum>
  <w:num w:numId="1" w16cid:durableId="350569046">
    <w:abstractNumId w:val="0"/>
    <w:lvlOverride w:ilvl="0">
      <w:startOverride w:val="1"/>
    </w:lvlOverride>
  </w:num>
  <w:num w:numId="2" w16cid:durableId="20329547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1AD"/>
    <w:rsid w:val="005C2624"/>
    <w:rsid w:val="00752728"/>
    <w:rsid w:val="009B01AD"/>
    <w:rsid w:val="00C37B9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3DB94"/>
  <w15:docId w15:val="{C42225C5-26B5-479C-8A0F-37E353EF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006633"/>
      <w:sz w:val="28"/>
      <w:szCs w:val="28"/>
    </w:rPr>
  </w:style>
  <w:style w:type="paragraph" w:styleId="Titre2">
    <w:name w:val="heading 2"/>
    <w:uiPriority w:val="9"/>
    <w:unhideWhenUsed/>
    <w:qFormat/>
    <w:pPr>
      <w:spacing w:before="240" w:after="120"/>
      <w:outlineLvl w:val="1"/>
    </w:pPr>
    <w:rPr>
      <w:b/>
      <w:bCs/>
      <w:color w:val="004422"/>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2758</Words>
  <Characters>15173</Characters>
  <Application>Microsoft Office Word</Application>
  <DocSecurity>0</DocSecurity>
  <Lines>126</Lines>
  <Paragraphs>35</Paragraphs>
  <ScaleCrop>false</ScaleCrop>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KH5610</cp:lastModifiedBy>
  <cp:revision>2</cp:revision>
  <dcterms:created xsi:type="dcterms:W3CDTF">2026-03-19T00:08:00Z</dcterms:created>
  <dcterms:modified xsi:type="dcterms:W3CDTF">2026-03-19T00:21:00Z</dcterms:modified>
</cp:coreProperties>
</file>