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79C3A" w14:textId="77777777" w:rsidR="0088214C" w:rsidRPr="0088214C" w:rsidRDefault="0088214C" w:rsidP="0088214C">
      <w:pPr>
        <w:spacing w:before="400" w:after="100"/>
        <w:ind w:left="720" w:firstLine="720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Restaurant Performance Analysis</w:t>
      </w:r>
    </w:p>
    <w:p w14:paraId="2479BF35" w14:textId="77777777" w:rsidR="006B5F16" w:rsidRDefault="0088214C" w:rsidP="006B5F16">
      <w:pPr>
        <w:pBdr>
          <w:bottom w:val="single" w:sz="6" w:space="8" w:color="E8723A"/>
        </w:pBdr>
        <w:spacing w:before="80" w:after="80"/>
        <w:jc w:val="center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FY2024 vs FY2025 </w:t>
      </w:r>
    </w:p>
    <w:p w14:paraId="01C66643" w14:textId="77777777" w:rsidR="00DD443F" w:rsidRDefault="0088214C" w:rsidP="00DD443F">
      <w:pPr>
        <w:pBdr>
          <w:bottom w:val="single" w:sz="6" w:space="8" w:color="E8723A"/>
        </w:pBdr>
        <w:spacing w:before="80" w:after="80"/>
        <w:jc w:val="center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  <w:sz w:val="24"/>
          <w:szCs w:val="24"/>
        </w:rPr>
        <w:t>Prepared by: Muhammad Salman</w:t>
      </w:r>
    </w:p>
    <w:p w14:paraId="7131C6AB" w14:textId="712CFD72" w:rsidR="0088214C" w:rsidRDefault="0088214C" w:rsidP="00DD443F">
      <w:pPr>
        <w:pBdr>
          <w:bottom w:val="single" w:sz="6" w:space="8" w:color="E8723A"/>
        </w:pBdr>
        <w:spacing w:before="80" w:after="8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214C">
        <w:rPr>
          <w:rFonts w:ascii="Times New Roman" w:hAnsi="Times New Roman" w:cs="Times New Roman"/>
          <w:color w:val="000000" w:themeColor="text1"/>
          <w:sz w:val="24"/>
          <w:szCs w:val="24"/>
        </w:rPr>
        <w:t>Data Analyst Assessment Submission</w:t>
      </w:r>
    </w:p>
    <w:p w14:paraId="6603E30A" w14:textId="77777777" w:rsidR="00DC3752" w:rsidRPr="00DC3752" w:rsidRDefault="00DC3752" w:rsidP="00DD443F">
      <w:pPr>
        <w:pBdr>
          <w:bottom w:val="single" w:sz="6" w:space="8" w:color="E8723A"/>
        </w:pBdr>
        <w:spacing w:before="80" w:after="80"/>
        <w:jc w:val="center"/>
        <w:rPr>
          <w:rFonts w:ascii="Times New Roman" w:hAnsi="Times New Roman" w:cs="Times New Roman"/>
          <w:color w:val="000000" w:themeColor="text1"/>
          <w:sz w:val="2"/>
        </w:rPr>
      </w:pPr>
    </w:p>
    <w:p w14:paraId="782CFE84" w14:textId="77777777" w:rsidR="00DC3752" w:rsidRDefault="00DC3752" w:rsidP="00CE28D8">
      <w:pPr>
        <w:spacing w:before="40" w:after="4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D4D24E5" w14:textId="5DAE061A" w:rsidR="0049147D" w:rsidRPr="0088214C" w:rsidRDefault="000E6BBE" w:rsidP="00CE28D8">
      <w:pPr>
        <w:spacing w:before="40"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214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Approach</w:t>
      </w:r>
    </w:p>
    <w:p w14:paraId="438D5210" w14:textId="41F3FEDF" w:rsidR="0049147D" w:rsidRPr="00266148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>The dataset covers transactional sales from May to July in both FY2024 and FY2025, across four restaurant sites: London, Manchester, Liverpool, and Birmingham. Five tables were provided</w:t>
      </w:r>
      <w:r w:rsidR="0026614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="0026614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softHyphen/>
      </w:r>
      <w:r w:rsidR="0026614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softHyphen/>
        <w:t>–</w:t>
      </w: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Sales (2024 &amp; 2025), Menu, Sites, and Financial Calendar.</w:t>
      </w:r>
    </w:p>
    <w:p w14:paraId="1F9206CE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01BE241" w14:textId="7F1D691C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Data was </w:t>
      </w: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cleaned and merged in Power Query. The 2025 sheet contained approximately 497,000 blank rows </w:t>
      </w: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>which were removed. Both years were appended into a single fact table and joined to the Calendar on date, to Site on restaurant ID, and to Me</w:t>
      </w: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>nu on item ID. A transaction type flag was added to separate paid transactions from fully discounted ones.</w:t>
      </w:r>
    </w:p>
    <w:p w14:paraId="08C3B427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6964954" w14:textId="1FFE5DB9" w:rsidR="00CE28D8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>All time-based analysis uses the Financial Calendar</w:t>
      </w:r>
      <w:r w:rsidR="0026614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periods (P5, P6, P7) and week numbers</w:t>
      </w:r>
      <w:r w:rsidR="00266148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rather than standard calendar months, as specified in </w:t>
      </w:r>
      <w:r w:rsidRPr="0088214C">
        <w:rPr>
          <w:rFonts w:ascii="Times New Roman" w:hAnsi="Times New Roman" w:cs="Times New Roman"/>
          <w:color w:val="000000" w:themeColor="text1"/>
          <w:sz w:val="22"/>
          <w:szCs w:val="22"/>
        </w:rPr>
        <w:t>the brief. DAX measures were built for Net Sales, Gross Sales, Discount Rate, YoY Growth, and Transactions. The analysis was delivered through a four-page Power BI dashboard.</w:t>
      </w:r>
    </w:p>
    <w:p w14:paraId="48F1F0E8" w14:textId="77777777" w:rsidR="00CE28D8" w:rsidRDefault="00CE28D8" w:rsidP="00CE28D8">
      <w:pPr>
        <w:spacing w:before="60" w:after="6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DF99A2B" w14:textId="79CAF611" w:rsidR="0049147D" w:rsidRPr="00CE28D8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88214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Key </w:t>
      </w:r>
      <w:r w:rsidR="00266148" w:rsidRPr="0088214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Insigh</w:t>
      </w:r>
      <w:proofErr w:type="spellStart"/>
      <w:r w:rsidR="0026614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ts</w:t>
      </w:r>
      <w:proofErr w:type="spellEnd"/>
    </w:p>
    <w:p w14:paraId="3B9C23AF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Overall Sales Performance</w:t>
      </w:r>
    </w:p>
    <w:p w14:paraId="7011D606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GridTable2"/>
        <w:tblW w:w="9360" w:type="dxa"/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88214C" w:rsidRPr="0088214C" w14:paraId="74036DBA" w14:textId="77777777" w:rsidTr="00CE2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74CA222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Metric</w:t>
            </w:r>
          </w:p>
        </w:tc>
        <w:tc>
          <w:tcPr>
            <w:tcW w:w="2000" w:type="dxa"/>
          </w:tcPr>
          <w:p w14:paraId="51F4D93A" w14:textId="77777777" w:rsidR="0049147D" w:rsidRPr="0088214C" w:rsidRDefault="000E6BBE" w:rsidP="00CE28D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93E6F0C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FY2025</w:t>
            </w:r>
          </w:p>
        </w:tc>
        <w:tc>
          <w:tcPr>
            <w:tcW w:w="2360" w:type="dxa"/>
          </w:tcPr>
          <w:p w14:paraId="2B36E532" w14:textId="77777777" w:rsidR="0049147D" w:rsidRPr="0088214C" w:rsidRDefault="000E6BBE" w:rsidP="00CE28D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Change</w:t>
            </w:r>
          </w:p>
        </w:tc>
      </w:tr>
      <w:tr w:rsidR="0088214C" w:rsidRPr="0088214C" w14:paraId="5223C522" w14:textId="77777777" w:rsidTr="00CE28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2956C1C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Net Sales</w:t>
            </w:r>
          </w:p>
        </w:tc>
        <w:tc>
          <w:tcPr>
            <w:tcW w:w="2000" w:type="dxa"/>
          </w:tcPr>
          <w:p w14:paraId="79614B9B" w14:textId="77777777" w:rsidR="0049147D" w:rsidRPr="0088214C" w:rsidRDefault="000E6BBE" w:rsidP="00CE28D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£6,529,858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49E668E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£6,248,506</w:t>
            </w:r>
          </w:p>
        </w:tc>
        <w:tc>
          <w:tcPr>
            <w:tcW w:w="2360" w:type="dxa"/>
          </w:tcPr>
          <w:p w14:paraId="6BD12921" w14:textId="77777777" w:rsidR="0049147D" w:rsidRPr="0088214C" w:rsidRDefault="000E6BBE" w:rsidP="00CE28D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4.3%</w:t>
            </w:r>
          </w:p>
        </w:tc>
      </w:tr>
      <w:tr w:rsidR="0088214C" w:rsidRPr="0088214C" w14:paraId="53DFBB86" w14:textId="77777777" w:rsidTr="00CE2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14E83CA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Gross Sales</w:t>
            </w:r>
          </w:p>
        </w:tc>
        <w:tc>
          <w:tcPr>
            <w:tcW w:w="2000" w:type="dxa"/>
          </w:tcPr>
          <w:p w14:paraId="7C22BF6F" w14:textId="77777777" w:rsidR="0049147D" w:rsidRPr="0088214C" w:rsidRDefault="000E6BBE" w:rsidP="00CE28D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£6,921,394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C170A78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£6,702,631</w:t>
            </w:r>
          </w:p>
        </w:tc>
        <w:tc>
          <w:tcPr>
            <w:tcW w:w="2360" w:type="dxa"/>
          </w:tcPr>
          <w:p w14:paraId="7AF99540" w14:textId="77777777" w:rsidR="0049147D" w:rsidRPr="0088214C" w:rsidRDefault="000E6BBE" w:rsidP="00CE28D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3.2%</w:t>
            </w:r>
          </w:p>
        </w:tc>
      </w:tr>
      <w:tr w:rsidR="0088214C" w:rsidRPr="0088214C" w14:paraId="3A279F8F" w14:textId="77777777" w:rsidTr="00CE28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929E683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Transactions</w:t>
            </w:r>
          </w:p>
        </w:tc>
        <w:tc>
          <w:tcPr>
            <w:tcW w:w="2000" w:type="dxa"/>
          </w:tcPr>
          <w:p w14:paraId="677CF978" w14:textId="77777777" w:rsidR="0049147D" w:rsidRPr="0088214C" w:rsidRDefault="000E6BBE" w:rsidP="00CE28D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63,884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07B4E2E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59,065</w:t>
            </w:r>
          </w:p>
        </w:tc>
        <w:tc>
          <w:tcPr>
            <w:tcW w:w="2360" w:type="dxa"/>
          </w:tcPr>
          <w:p w14:paraId="55730F87" w14:textId="77777777" w:rsidR="0049147D" w:rsidRPr="0088214C" w:rsidRDefault="000E6BBE" w:rsidP="00CE28D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7.5%</w:t>
            </w:r>
          </w:p>
        </w:tc>
      </w:tr>
      <w:tr w:rsidR="0088214C" w:rsidRPr="0088214C" w14:paraId="57954FAA" w14:textId="77777777" w:rsidTr="00CE2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1D2111E9" w14:textId="2E553C6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Q</w:t>
            </w:r>
            <w:r w:rsidR="00F77016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u</w:t>
            </w:r>
            <w:r w:rsidR="00F77016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lang w:val="en-US"/>
              </w:rPr>
              <w:t>an</w:t>
            </w: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</w:t>
            </w:r>
            <w:r w:rsidR="00F77016">
              <w:rPr>
                <w:rFonts w:ascii="Times New Roman" w:hAnsi="Times New Roman" w:cs="Times New Roman"/>
                <w:color w:val="000000" w:themeColor="text1"/>
                <w:sz w:val="19"/>
                <w:szCs w:val="19"/>
                <w:lang w:val="en-US"/>
              </w:rPr>
              <w:t>it</w:t>
            </w: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y Sold</w:t>
            </w:r>
          </w:p>
        </w:tc>
        <w:tc>
          <w:tcPr>
            <w:tcW w:w="2000" w:type="dxa"/>
          </w:tcPr>
          <w:p w14:paraId="18B8CCC5" w14:textId="77777777" w:rsidR="0049147D" w:rsidRPr="0088214C" w:rsidRDefault="000E6BBE" w:rsidP="00CE28D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543,206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4947318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492,528</w:t>
            </w:r>
          </w:p>
        </w:tc>
        <w:tc>
          <w:tcPr>
            <w:tcW w:w="2360" w:type="dxa"/>
          </w:tcPr>
          <w:p w14:paraId="4E1004CF" w14:textId="77777777" w:rsidR="0049147D" w:rsidRPr="0088214C" w:rsidRDefault="000E6BBE" w:rsidP="00CE28D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9.3%</w:t>
            </w:r>
          </w:p>
        </w:tc>
      </w:tr>
      <w:tr w:rsidR="0088214C" w:rsidRPr="0088214C" w14:paraId="5C676A79" w14:textId="77777777" w:rsidTr="00CE28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161E1E21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Discount Rate</w:t>
            </w:r>
          </w:p>
        </w:tc>
        <w:tc>
          <w:tcPr>
            <w:tcW w:w="2000" w:type="dxa"/>
          </w:tcPr>
          <w:p w14:paraId="1C7684A6" w14:textId="77777777" w:rsidR="0049147D" w:rsidRPr="0088214C" w:rsidRDefault="000E6BBE" w:rsidP="00CE28D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5.66%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9CB91AD" w14:textId="77777777" w:rsidR="0049147D" w:rsidRPr="0088214C" w:rsidRDefault="000E6BBE" w:rsidP="00CE28D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6.78%</w:t>
            </w:r>
          </w:p>
        </w:tc>
        <w:tc>
          <w:tcPr>
            <w:tcW w:w="2360" w:type="dxa"/>
          </w:tcPr>
          <w:p w14:paraId="61A04441" w14:textId="77777777" w:rsidR="0049147D" w:rsidRPr="0088214C" w:rsidRDefault="000E6BBE" w:rsidP="00CE28D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▲ 1.1pp</w:t>
            </w:r>
          </w:p>
        </w:tc>
      </w:tr>
    </w:tbl>
    <w:p w14:paraId="066C7D47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0B0EADB1" w14:textId="5B8D0077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Revenue declined across every metric in FY2025. The fall in transactions (7.5%) and quantity sold (9.3%) points to fewer customers visiting and ordering less</w:t>
      </w:r>
      <w:r w:rsidR="006A691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8214C">
        <w:rPr>
          <w:rFonts w:ascii="Times New Roman" w:hAnsi="Times New Roman" w:cs="Times New Roman"/>
          <w:color w:val="000000" w:themeColor="text1"/>
        </w:rPr>
        <w:t>not just lower prices. At the same time, the discount rate increased, meaning the business spent</w:t>
      </w:r>
      <w:r w:rsidRPr="0088214C">
        <w:rPr>
          <w:rFonts w:ascii="Times New Roman" w:hAnsi="Times New Roman" w:cs="Times New Roman"/>
          <w:color w:val="000000" w:themeColor="text1"/>
        </w:rPr>
        <w:t xml:space="preserve"> more on discounts while generating less revenue. That combination is worth monitoring closely.</w:t>
      </w:r>
    </w:p>
    <w:p w14:paraId="4D2A08D0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60A0DF2A" w14:textId="77777777" w:rsidR="00882837" w:rsidRPr="0088214C" w:rsidRDefault="00882837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5AFDDD34" w14:textId="77777777" w:rsidR="006A6912" w:rsidRDefault="006A6912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</w:p>
    <w:p w14:paraId="169E32AA" w14:textId="2656621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lastRenderedPageBreak/>
        <w:t>Week-on-Week Trends</w:t>
      </w:r>
    </w:p>
    <w:p w14:paraId="4E0A6685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GridTable2"/>
        <w:tblW w:w="9360" w:type="dxa"/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3560"/>
      </w:tblGrid>
      <w:tr w:rsidR="0088214C" w:rsidRPr="0088214C" w14:paraId="6F4F40ED" w14:textId="77777777" w:rsidTr="006A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00BD017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Week</w:t>
            </w:r>
          </w:p>
        </w:tc>
        <w:tc>
          <w:tcPr>
            <w:tcW w:w="2000" w:type="dxa"/>
          </w:tcPr>
          <w:p w14:paraId="603AB8AD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7CBB923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FY2025</w:t>
            </w:r>
          </w:p>
        </w:tc>
        <w:tc>
          <w:tcPr>
            <w:tcW w:w="3560" w:type="dxa"/>
          </w:tcPr>
          <w:p w14:paraId="6D8A5798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vs Prior Year</w:t>
            </w:r>
          </w:p>
        </w:tc>
      </w:tr>
      <w:tr w:rsidR="0088214C" w:rsidRPr="0088214C" w14:paraId="2046E017" w14:textId="77777777" w:rsidTr="006A6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E7AB4B7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Week 19</w:t>
            </w:r>
          </w:p>
        </w:tc>
        <w:tc>
          <w:tcPr>
            <w:tcW w:w="2000" w:type="dxa"/>
          </w:tcPr>
          <w:p w14:paraId="5473AA9E" w14:textId="77777777" w:rsidR="0049147D" w:rsidRPr="0088214C" w:rsidRDefault="000E6BBE" w:rsidP="006A691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£685K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4655CF1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£705K</w:t>
            </w:r>
          </w:p>
        </w:tc>
        <w:tc>
          <w:tcPr>
            <w:tcW w:w="3560" w:type="dxa"/>
          </w:tcPr>
          <w:p w14:paraId="6FAB78D1" w14:textId="77777777" w:rsidR="0049147D" w:rsidRPr="0088214C" w:rsidRDefault="000E6BBE" w:rsidP="006A691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▲ +2.9%</w:t>
            </w:r>
          </w:p>
        </w:tc>
      </w:tr>
      <w:tr w:rsidR="0088214C" w:rsidRPr="0088214C" w14:paraId="777AC375" w14:textId="77777777" w:rsidTr="006A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A0F9710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Week 20</w:t>
            </w:r>
          </w:p>
        </w:tc>
        <w:tc>
          <w:tcPr>
            <w:tcW w:w="2000" w:type="dxa"/>
          </w:tcPr>
          <w:p w14:paraId="2323304F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£826K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80104F8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£739K</w:t>
            </w:r>
          </w:p>
        </w:tc>
        <w:tc>
          <w:tcPr>
            <w:tcW w:w="3560" w:type="dxa"/>
          </w:tcPr>
          <w:p w14:paraId="7A284F65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-10.5%</w:t>
            </w:r>
          </w:p>
        </w:tc>
      </w:tr>
      <w:tr w:rsidR="0088214C" w:rsidRPr="0088214C" w14:paraId="2D7702AC" w14:textId="77777777" w:rsidTr="006A6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BA963C1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Week 21</w:t>
            </w:r>
          </w:p>
        </w:tc>
        <w:tc>
          <w:tcPr>
            <w:tcW w:w="2000" w:type="dxa"/>
          </w:tcPr>
          <w:p w14:paraId="6C64AD84" w14:textId="77777777" w:rsidR="0049147D" w:rsidRPr="0088214C" w:rsidRDefault="000E6BBE" w:rsidP="006A691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£732K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D6188F3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£908K</w:t>
            </w:r>
          </w:p>
        </w:tc>
        <w:tc>
          <w:tcPr>
            <w:tcW w:w="3560" w:type="dxa"/>
          </w:tcPr>
          <w:p w14:paraId="51CFD6F9" w14:textId="77777777" w:rsidR="0049147D" w:rsidRPr="0088214C" w:rsidRDefault="000E6BBE" w:rsidP="006A691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▲ +24.1%</w:t>
            </w:r>
          </w:p>
        </w:tc>
      </w:tr>
      <w:tr w:rsidR="0088214C" w:rsidRPr="0088214C" w14:paraId="034CD26F" w14:textId="77777777" w:rsidTr="006A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9AE4FC2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Week 22</w:t>
            </w:r>
          </w:p>
        </w:tc>
        <w:tc>
          <w:tcPr>
            <w:tcW w:w="2000" w:type="dxa"/>
          </w:tcPr>
          <w:p w14:paraId="3F36A60F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£747K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E8D6C76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£700K</w:t>
            </w:r>
          </w:p>
        </w:tc>
        <w:tc>
          <w:tcPr>
            <w:tcW w:w="3560" w:type="dxa"/>
          </w:tcPr>
          <w:p w14:paraId="0286AAA3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-6.2%</w:t>
            </w:r>
          </w:p>
        </w:tc>
      </w:tr>
      <w:tr w:rsidR="0088214C" w:rsidRPr="0088214C" w14:paraId="00454D8E" w14:textId="77777777" w:rsidTr="006A69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531AE0A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Week 23</w:t>
            </w:r>
          </w:p>
        </w:tc>
        <w:tc>
          <w:tcPr>
            <w:tcW w:w="2000" w:type="dxa"/>
          </w:tcPr>
          <w:p w14:paraId="4DEE8B92" w14:textId="77777777" w:rsidR="0049147D" w:rsidRPr="0088214C" w:rsidRDefault="000E6BBE" w:rsidP="006A691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£804K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36D3F59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£660K</w:t>
            </w:r>
          </w:p>
        </w:tc>
        <w:tc>
          <w:tcPr>
            <w:tcW w:w="3560" w:type="dxa"/>
          </w:tcPr>
          <w:p w14:paraId="212414F9" w14:textId="77777777" w:rsidR="0049147D" w:rsidRPr="0088214C" w:rsidRDefault="000E6BBE" w:rsidP="006A6912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-17.9%</w:t>
            </w:r>
          </w:p>
        </w:tc>
      </w:tr>
      <w:tr w:rsidR="0088214C" w:rsidRPr="0088214C" w14:paraId="7C8A1667" w14:textId="77777777" w:rsidTr="006A6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DBD03CB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Week 24–26</w:t>
            </w:r>
          </w:p>
        </w:tc>
        <w:tc>
          <w:tcPr>
            <w:tcW w:w="2000" w:type="dxa"/>
          </w:tcPr>
          <w:p w14:paraId="57478054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~£770K avg</w:t>
            </w:r>
            <w:bookmarkStart w:id="0" w:name="_GoBack"/>
            <w:bookmarkEnd w:id="0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D12E8DC" w14:textId="77777777" w:rsidR="0049147D" w:rsidRPr="0088214C" w:rsidRDefault="000E6BBE" w:rsidP="006A6912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~£711K avg</w:t>
            </w:r>
          </w:p>
        </w:tc>
        <w:tc>
          <w:tcPr>
            <w:tcW w:w="3560" w:type="dxa"/>
          </w:tcPr>
          <w:p w14:paraId="097C31AB" w14:textId="77777777" w:rsidR="0049147D" w:rsidRPr="0088214C" w:rsidRDefault="000E6BBE" w:rsidP="006A6912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~7.7%</w:t>
            </w:r>
          </w:p>
        </w:tc>
      </w:tr>
    </w:tbl>
    <w:p w14:paraId="588A70D7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5217D906" w14:textId="7E3200D7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Week 21 FY2025 was the standout, up 24.1% against the same week last year. However, weeks 23 to 26 consistently underperformed FY2024</w:t>
      </w:r>
      <w:r w:rsidR="00850928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a four-week run of decline during what should be peak summer trading. That stretch in June accounts for a significant po</w:t>
      </w:r>
      <w:r w:rsidRPr="0088214C">
        <w:rPr>
          <w:rFonts w:ascii="Times New Roman" w:hAnsi="Times New Roman" w:cs="Times New Roman"/>
          <w:color w:val="000000" w:themeColor="text1"/>
        </w:rPr>
        <w:t>rtion of the overall FY2025 shortfall.</w:t>
      </w:r>
    </w:p>
    <w:p w14:paraId="77ED8AC0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6EF0E434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Period Performance</w:t>
      </w:r>
    </w:p>
    <w:p w14:paraId="2A6F93DB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GridTable2"/>
        <w:tblW w:w="9360" w:type="dxa"/>
        <w:tblLook w:val="0000" w:firstRow="0" w:lastRow="0" w:firstColumn="0" w:lastColumn="0" w:noHBand="0" w:noVBand="0"/>
      </w:tblPr>
      <w:tblGrid>
        <w:gridCol w:w="2000"/>
        <w:gridCol w:w="2680"/>
        <w:gridCol w:w="2680"/>
        <w:gridCol w:w="2000"/>
      </w:tblGrid>
      <w:tr w:rsidR="0088214C" w:rsidRPr="0088214C" w14:paraId="748D81A0" w14:textId="77777777" w:rsidTr="0085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58800DE" w14:textId="77777777" w:rsidR="0049147D" w:rsidRPr="0088214C" w:rsidRDefault="000E6BBE" w:rsidP="0085092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Period</w:t>
            </w:r>
          </w:p>
        </w:tc>
        <w:tc>
          <w:tcPr>
            <w:tcW w:w="2680" w:type="dxa"/>
          </w:tcPr>
          <w:p w14:paraId="1D9602FE" w14:textId="77777777" w:rsidR="0049147D" w:rsidRPr="0088214C" w:rsidRDefault="000E6BBE" w:rsidP="0085092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0" w:type="dxa"/>
          </w:tcPr>
          <w:p w14:paraId="1EFD828C" w14:textId="77777777" w:rsidR="0049147D" w:rsidRPr="0088214C" w:rsidRDefault="000E6BBE" w:rsidP="0085092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FY2025</w:t>
            </w:r>
          </w:p>
        </w:tc>
        <w:tc>
          <w:tcPr>
            <w:tcW w:w="2000" w:type="dxa"/>
          </w:tcPr>
          <w:p w14:paraId="7E85F824" w14:textId="77777777" w:rsidR="0049147D" w:rsidRPr="0088214C" w:rsidRDefault="000E6BBE" w:rsidP="0085092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Change</w:t>
            </w:r>
          </w:p>
        </w:tc>
      </w:tr>
      <w:tr w:rsidR="0088214C" w:rsidRPr="0088214C" w14:paraId="7AA88AB2" w14:textId="77777777" w:rsidTr="0085092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3B2BD66" w14:textId="77777777" w:rsidR="0049147D" w:rsidRPr="0088214C" w:rsidRDefault="000E6BBE" w:rsidP="0085092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P5 (May)</w:t>
            </w:r>
          </w:p>
        </w:tc>
        <w:tc>
          <w:tcPr>
            <w:tcW w:w="2680" w:type="dxa"/>
          </w:tcPr>
          <w:p w14:paraId="2B18F003" w14:textId="77777777" w:rsidR="0049147D" w:rsidRPr="0088214C" w:rsidRDefault="000E6BBE" w:rsidP="0085092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£2,618,176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0" w:type="dxa"/>
          </w:tcPr>
          <w:p w14:paraId="76BC639A" w14:textId="77777777" w:rsidR="0049147D" w:rsidRPr="0088214C" w:rsidRDefault="000E6BBE" w:rsidP="0085092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£2,539,133</w:t>
            </w:r>
          </w:p>
        </w:tc>
        <w:tc>
          <w:tcPr>
            <w:tcW w:w="2000" w:type="dxa"/>
          </w:tcPr>
          <w:p w14:paraId="3445F3D9" w14:textId="77777777" w:rsidR="0049147D" w:rsidRPr="0088214C" w:rsidRDefault="000E6BBE" w:rsidP="0085092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3.0%</w:t>
            </w:r>
          </w:p>
        </w:tc>
      </w:tr>
      <w:tr w:rsidR="0088214C" w:rsidRPr="0088214C" w14:paraId="42DA2F67" w14:textId="77777777" w:rsidTr="00850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EDDB7B7" w14:textId="77777777" w:rsidR="0049147D" w:rsidRPr="0088214C" w:rsidRDefault="000E6BBE" w:rsidP="0085092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P6 (Jun–Jul)</w:t>
            </w:r>
          </w:p>
        </w:tc>
        <w:tc>
          <w:tcPr>
            <w:tcW w:w="2680" w:type="dxa"/>
          </w:tcPr>
          <w:p w14:paraId="0ADDB46F" w14:textId="77777777" w:rsidR="0049147D" w:rsidRPr="0088214C" w:rsidRDefault="000E6BBE" w:rsidP="0085092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£3,862,874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0" w:type="dxa"/>
          </w:tcPr>
          <w:p w14:paraId="765FCEB4" w14:textId="77777777" w:rsidR="0049147D" w:rsidRPr="0088214C" w:rsidRDefault="000E6BBE" w:rsidP="00850928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£3,493,846</w:t>
            </w:r>
          </w:p>
        </w:tc>
        <w:tc>
          <w:tcPr>
            <w:tcW w:w="2000" w:type="dxa"/>
          </w:tcPr>
          <w:p w14:paraId="5489BB10" w14:textId="77777777" w:rsidR="0049147D" w:rsidRPr="0088214C" w:rsidRDefault="000E6BBE" w:rsidP="0085092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9.6%</w:t>
            </w:r>
          </w:p>
        </w:tc>
      </w:tr>
    </w:tbl>
    <w:p w14:paraId="47594D0C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47ED9BE7" w14:textId="516D2C8A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P6 is the highest-revenue period in both years but dropped by 9.6% in FY2025</w:t>
      </w:r>
      <w:r w:rsidR="00850928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the sharpest single-period decline. Given that P6 covers peak summer weeks, this drop is significant and warrants attention ahead of FY2026 planning.</w:t>
      </w:r>
    </w:p>
    <w:p w14:paraId="0182BEE5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0FE1FFBB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Site Performance</w:t>
      </w:r>
    </w:p>
    <w:p w14:paraId="6C1C66AC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GridTable2"/>
        <w:tblW w:w="9360" w:type="dxa"/>
        <w:tblLook w:val="0000" w:firstRow="0" w:lastRow="0" w:firstColumn="0" w:lastColumn="0" w:noHBand="0" w:noVBand="0"/>
      </w:tblPr>
      <w:tblGrid>
        <w:gridCol w:w="2000"/>
        <w:gridCol w:w="2220"/>
        <w:gridCol w:w="2220"/>
        <w:gridCol w:w="2920"/>
      </w:tblGrid>
      <w:tr w:rsidR="0088214C" w:rsidRPr="0088214C" w14:paraId="3CF607D7" w14:textId="77777777" w:rsidTr="0037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89BD39A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Site</w:t>
            </w:r>
          </w:p>
        </w:tc>
        <w:tc>
          <w:tcPr>
            <w:tcW w:w="2220" w:type="dxa"/>
          </w:tcPr>
          <w:p w14:paraId="2D118799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</w:t>
            </w: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024 Net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148BCB75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FY2025 Net</w:t>
            </w:r>
          </w:p>
        </w:tc>
        <w:tc>
          <w:tcPr>
            <w:tcW w:w="2920" w:type="dxa"/>
          </w:tcPr>
          <w:p w14:paraId="5208F6EF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Change</w:t>
            </w:r>
          </w:p>
        </w:tc>
      </w:tr>
      <w:tr w:rsidR="0088214C" w:rsidRPr="0088214C" w14:paraId="6CA5F26A" w14:textId="77777777" w:rsidTr="003758C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59794DA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London</w:t>
            </w:r>
          </w:p>
        </w:tc>
        <w:tc>
          <w:tcPr>
            <w:tcW w:w="2220" w:type="dxa"/>
          </w:tcPr>
          <w:p w14:paraId="63364F8D" w14:textId="77777777" w:rsidR="0049147D" w:rsidRPr="0088214C" w:rsidRDefault="000E6BBE" w:rsidP="003758C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£2,147,641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3596C4B1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£2,072,185</w:t>
            </w:r>
          </w:p>
        </w:tc>
        <w:tc>
          <w:tcPr>
            <w:tcW w:w="2920" w:type="dxa"/>
          </w:tcPr>
          <w:p w14:paraId="7404866D" w14:textId="77777777" w:rsidR="0049147D" w:rsidRPr="0088214C" w:rsidRDefault="000E6BBE" w:rsidP="003758C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3.5%</w:t>
            </w:r>
          </w:p>
        </w:tc>
      </w:tr>
      <w:tr w:rsidR="0088214C" w:rsidRPr="0088214C" w14:paraId="6D6E8B11" w14:textId="77777777" w:rsidTr="0037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551BF39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Manchester</w:t>
            </w:r>
          </w:p>
        </w:tc>
        <w:tc>
          <w:tcPr>
            <w:tcW w:w="2220" w:type="dxa"/>
          </w:tcPr>
          <w:p w14:paraId="1C21CB25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£1,624,233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577B1153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£1,558,141</w:t>
            </w:r>
          </w:p>
        </w:tc>
        <w:tc>
          <w:tcPr>
            <w:tcW w:w="2920" w:type="dxa"/>
          </w:tcPr>
          <w:p w14:paraId="2754708D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4.1%</w:t>
            </w:r>
          </w:p>
        </w:tc>
      </w:tr>
      <w:tr w:rsidR="0088214C" w:rsidRPr="0088214C" w14:paraId="081089B7" w14:textId="77777777" w:rsidTr="003758C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4D9EDB5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Liverpool</w:t>
            </w:r>
          </w:p>
        </w:tc>
        <w:tc>
          <w:tcPr>
            <w:tcW w:w="2220" w:type="dxa"/>
          </w:tcPr>
          <w:p w14:paraId="77810D32" w14:textId="77777777" w:rsidR="0049147D" w:rsidRPr="0088214C" w:rsidRDefault="000E6BBE" w:rsidP="003758C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£1,490,354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2CE42C34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£1,431,917</w:t>
            </w:r>
          </w:p>
        </w:tc>
        <w:tc>
          <w:tcPr>
            <w:tcW w:w="2920" w:type="dxa"/>
          </w:tcPr>
          <w:p w14:paraId="4880963D" w14:textId="77777777" w:rsidR="0049147D" w:rsidRPr="0088214C" w:rsidRDefault="000E6BBE" w:rsidP="003758C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3.9%</w:t>
            </w:r>
          </w:p>
        </w:tc>
      </w:tr>
      <w:tr w:rsidR="0088214C" w:rsidRPr="0088214C" w14:paraId="78C89508" w14:textId="77777777" w:rsidTr="0037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D7FE600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Birmingham</w:t>
            </w:r>
          </w:p>
        </w:tc>
        <w:tc>
          <w:tcPr>
            <w:tcW w:w="2220" w:type="dxa"/>
          </w:tcPr>
          <w:p w14:paraId="2EA79ADE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£1,267,631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20" w:type="dxa"/>
          </w:tcPr>
          <w:p w14:paraId="6EECFCB4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£1,186,263</w:t>
            </w:r>
          </w:p>
        </w:tc>
        <w:tc>
          <w:tcPr>
            <w:tcW w:w="2920" w:type="dxa"/>
          </w:tcPr>
          <w:p w14:paraId="14A77F3A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▼ 6.4%</w:t>
            </w:r>
          </w:p>
        </w:tc>
      </w:tr>
    </w:tbl>
    <w:p w14:paraId="420A4041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1E4FCA44" w14:textId="3315A0CC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Every site declined, which rules out a single problem location. London remains the clear market leader, contributing 32.6% of total net sales. Birmingham's decline (6.4%) is steeper than the group average and deserves a closer look</w:t>
      </w:r>
      <w:r w:rsidR="00F77016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particularly whether i</w:t>
      </w:r>
      <w:r w:rsidRPr="0088214C">
        <w:rPr>
          <w:rFonts w:ascii="Times New Roman" w:hAnsi="Times New Roman" w:cs="Times New Roman"/>
          <w:color w:val="000000" w:themeColor="text1"/>
        </w:rPr>
        <w:t>ts discount rate is higher than other sites, which the data suggests it may be.</w:t>
      </w:r>
    </w:p>
    <w:p w14:paraId="760F6592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47B88E32" w14:textId="77777777" w:rsidR="00882837" w:rsidRPr="0088214C" w:rsidRDefault="00882837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</w:p>
    <w:p w14:paraId="0E33ED42" w14:textId="77777777" w:rsidR="0049147D" w:rsidRPr="00F77016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F77016">
        <w:rPr>
          <w:rFonts w:ascii="Times New Roman" w:hAnsi="Times New Roman" w:cs="Times New Roman"/>
          <w:color w:val="000000" w:themeColor="text1"/>
          <w:sz w:val="24"/>
        </w:rPr>
        <w:t>Menu Performance</w:t>
      </w:r>
    </w:p>
    <w:p w14:paraId="7921AF53" w14:textId="77777777" w:rsidR="0049147D" w:rsidRPr="00F77016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</w:rPr>
      </w:pPr>
    </w:p>
    <w:p w14:paraId="1C5005C1" w14:textId="77777777" w:rsidR="0049147D" w:rsidRPr="00F77016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sz w:val="22"/>
        </w:rPr>
      </w:pPr>
      <w:r w:rsidRPr="00F77016">
        <w:rPr>
          <w:rFonts w:ascii="Times New Roman" w:hAnsi="Times New Roman" w:cs="Times New Roman"/>
          <w:b/>
          <w:bCs/>
          <w:color w:val="000000" w:themeColor="text1"/>
          <w:sz w:val="22"/>
        </w:rPr>
        <w:t>Top five items by net sales:</w:t>
      </w:r>
    </w:p>
    <w:p w14:paraId="44F987AB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GridTable2"/>
        <w:tblW w:w="9360" w:type="dxa"/>
        <w:tblLook w:val="0000" w:firstRow="0" w:lastRow="0" w:firstColumn="0" w:lastColumn="0" w:noHBand="0" w:noVBand="0"/>
      </w:tblPr>
      <w:tblGrid>
        <w:gridCol w:w="4160"/>
        <w:gridCol w:w="2600"/>
        <w:gridCol w:w="2600"/>
      </w:tblGrid>
      <w:tr w:rsidR="0088214C" w:rsidRPr="0088214C" w14:paraId="4C2918A0" w14:textId="77777777" w:rsidTr="0037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33D67AB2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Item</w:t>
            </w:r>
          </w:p>
        </w:tc>
        <w:tc>
          <w:tcPr>
            <w:tcW w:w="2600" w:type="dxa"/>
          </w:tcPr>
          <w:p w14:paraId="462DD4C2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Net Sales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6747E500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Qty</w:t>
            </w:r>
          </w:p>
        </w:tc>
      </w:tr>
      <w:tr w:rsidR="0088214C" w:rsidRPr="0088214C" w14:paraId="032D7520" w14:textId="77777777" w:rsidTr="003758C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5FA293FB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Creamy Mushroom Curry</w:t>
            </w:r>
          </w:p>
        </w:tc>
        <w:tc>
          <w:tcPr>
            <w:tcW w:w="2600" w:type="dxa"/>
          </w:tcPr>
          <w:p w14:paraId="7B13E690" w14:textId="77777777" w:rsidR="0049147D" w:rsidRPr="0088214C" w:rsidRDefault="000E6BBE" w:rsidP="003758C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£811,276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45810F1C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22,339</w:t>
            </w:r>
          </w:p>
        </w:tc>
      </w:tr>
      <w:tr w:rsidR="0088214C" w:rsidRPr="0088214C" w14:paraId="48F672BB" w14:textId="77777777" w:rsidTr="0037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01F2F8D6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Black Pepper Teppanyaki</w:t>
            </w:r>
          </w:p>
        </w:tc>
        <w:tc>
          <w:tcPr>
            <w:tcW w:w="2600" w:type="dxa"/>
          </w:tcPr>
          <w:p w14:paraId="6140E3AA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£460,317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116ACAE5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12,187</w:t>
            </w:r>
          </w:p>
        </w:tc>
      </w:tr>
      <w:tr w:rsidR="0088214C" w:rsidRPr="0088214C" w14:paraId="32D45FB6" w14:textId="77777777" w:rsidTr="003758C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319C4AF9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Tofu Ember Curry</w:t>
            </w:r>
          </w:p>
        </w:tc>
        <w:tc>
          <w:tcPr>
            <w:tcW w:w="2600" w:type="dxa"/>
          </w:tcPr>
          <w:p w14:paraId="53F50088" w14:textId="77777777" w:rsidR="0049147D" w:rsidRPr="0088214C" w:rsidRDefault="000E6BBE" w:rsidP="003758C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£454,292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79224595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12,057</w:t>
            </w:r>
          </w:p>
        </w:tc>
      </w:tr>
      <w:tr w:rsidR="0088214C" w:rsidRPr="0088214C" w14:paraId="7081236B" w14:textId="77777777" w:rsidTr="0037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1868A941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Chilli Edamame</w:t>
            </w:r>
          </w:p>
        </w:tc>
        <w:tc>
          <w:tcPr>
            <w:tcW w:w="2600" w:type="dxa"/>
          </w:tcPr>
          <w:p w14:paraId="0231D7D1" w14:textId="77777777" w:rsidR="0049147D" w:rsidRPr="0088214C" w:rsidRDefault="000E6BBE" w:rsidP="003758C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£450,744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4D311F0D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20,870</w:t>
            </w:r>
          </w:p>
        </w:tc>
      </w:tr>
      <w:tr w:rsidR="0088214C" w:rsidRPr="0088214C" w14:paraId="4E84E613" w14:textId="77777777" w:rsidTr="003758C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60" w:type="dxa"/>
          </w:tcPr>
          <w:p w14:paraId="2538ADB8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Aubergine Miso Teppanyaki</w:t>
            </w:r>
          </w:p>
        </w:tc>
        <w:tc>
          <w:tcPr>
            <w:tcW w:w="2600" w:type="dxa"/>
          </w:tcPr>
          <w:p w14:paraId="0A6D2A6A" w14:textId="77777777" w:rsidR="0049147D" w:rsidRPr="0088214C" w:rsidRDefault="000E6BBE" w:rsidP="003758C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£345,827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0" w:type="dxa"/>
          </w:tcPr>
          <w:p w14:paraId="1900CB53" w14:textId="77777777" w:rsidR="0049147D" w:rsidRPr="0088214C" w:rsidRDefault="000E6BBE" w:rsidP="003758CC">
            <w:pPr>
              <w:spacing w:line="48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8214C">
              <w:rPr>
                <w:rFonts w:ascii="Times New Roman" w:hAnsi="Times New Roman" w:cs="Times New Roman"/>
                <w:color w:val="000000" w:themeColor="text1"/>
                <w:sz w:val="19"/>
                <w:szCs w:val="19"/>
              </w:rPr>
              <w:t>9,148</w:t>
            </w:r>
          </w:p>
        </w:tc>
      </w:tr>
    </w:tbl>
    <w:p w14:paraId="5B7B4636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23416142" w14:textId="2EDC8BEE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Creamy Mushroom Curry alone generates £811K</w:t>
      </w:r>
      <w:r w:rsidR="00F61C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8214C">
        <w:rPr>
          <w:rFonts w:ascii="Times New Roman" w:hAnsi="Times New Roman" w:cs="Times New Roman"/>
          <w:color w:val="000000" w:themeColor="text1"/>
        </w:rPr>
        <w:t xml:space="preserve">more than 6% of total net revenue and nearly double the second item. </w:t>
      </w:r>
      <w:r w:rsidRPr="0088214C">
        <w:rPr>
          <w:rFonts w:ascii="Times New Roman" w:hAnsi="Times New Roman" w:cs="Times New Roman"/>
          <w:color w:val="000000" w:themeColor="text1"/>
        </w:rPr>
        <w:t>Food accounts for 89.5% of net sales; beverages f</w:t>
      </w:r>
      <w:r w:rsidRPr="0088214C">
        <w:rPr>
          <w:rFonts w:ascii="Times New Roman" w:hAnsi="Times New Roman" w:cs="Times New Roman"/>
          <w:color w:val="000000" w:themeColor="text1"/>
        </w:rPr>
        <w:t>or 10.5%.</w:t>
      </w:r>
    </w:p>
    <w:p w14:paraId="1E3CDA13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1F86CE1E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Discount &amp; Transaction Analysis</w:t>
      </w:r>
    </w:p>
    <w:p w14:paraId="119E05C1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764F8112" w14:textId="3A5C5CBC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Total discounts given across both years came to £846,302. Of all transaction lines, 48.58% were fully discounted (net = £0)</w:t>
      </w:r>
      <w:r w:rsidR="00BB60D3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items like table water, modifiers, and complimentary portions. Paid transactions (51.42%) drive all revenue. Manchester and Liverp</w:t>
      </w:r>
      <w:r w:rsidRPr="0088214C">
        <w:rPr>
          <w:rFonts w:ascii="Times New Roman" w:hAnsi="Times New Roman" w:cs="Times New Roman"/>
          <w:color w:val="000000" w:themeColor="text1"/>
        </w:rPr>
        <w:t>ool carry the highest discount rates by site; London, despite being the largest site, has the lowest.</w:t>
      </w:r>
    </w:p>
    <w:p w14:paraId="63178613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187F6E88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Day of Week</w:t>
      </w:r>
    </w:p>
    <w:p w14:paraId="6BC012E6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42A1E3F0" w14:textId="60243C29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Sunday is the single strongest trading day, contributing 24.1% of total net sales</w:t>
      </w:r>
      <w:r w:rsidR="00272794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more than Saturday and Monday combined. The weekend (Sat</w:t>
      </w:r>
      <w:r w:rsidRPr="0088214C">
        <w:rPr>
          <w:rFonts w:ascii="Times New Roman" w:hAnsi="Times New Roman" w:cs="Times New Roman"/>
          <w:color w:val="000000" w:themeColor="text1"/>
        </w:rPr>
        <w:t>urday + Sunday) accounts for 40.8% of weekly revenue. Tuesday is the weakest day at 9.5%.</w:t>
      </w:r>
    </w:p>
    <w:p w14:paraId="57B234B2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6A9C6794" w14:textId="77777777" w:rsidR="0049147D" w:rsidRPr="0088214C" w:rsidRDefault="000E6BBE" w:rsidP="00CE28D8">
      <w:pPr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Business Interpretation</w:t>
      </w:r>
    </w:p>
    <w:p w14:paraId="0D3E8D95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33CA476D" w14:textId="26139224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The headline story is straightforward: the business is contracting. Revenue, volume, and customer count all fell between FY2024 and FY2025, and the decline is consistent across all four sites. This is not a localised issue</w:t>
      </w:r>
      <w:r w:rsidR="00272794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8214C">
        <w:rPr>
          <w:rFonts w:ascii="Times New Roman" w:hAnsi="Times New Roman" w:cs="Times New Roman"/>
          <w:color w:val="000000" w:themeColor="text1"/>
        </w:rPr>
        <w:t>it is a group-wide trend.</w:t>
      </w:r>
    </w:p>
    <w:p w14:paraId="7222E036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3F0059A0" w14:textId="77777777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What</w:t>
      </w:r>
      <w:r w:rsidRPr="0088214C">
        <w:rPr>
          <w:rFonts w:ascii="Times New Roman" w:hAnsi="Times New Roman" w:cs="Times New Roman"/>
          <w:color w:val="000000" w:themeColor="text1"/>
        </w:rPr>
        <w:t xml:space="preserve"> makes this more concerning is the discount dynamic. Spend on discounts increased year-on-year, yet it did not stop the volume decline. The business is effectively trading margin for footfall, but the footfall is not responding. If this pattern continues, </w:t>
      </w:r>
      <w:r w:rsidRPr="0088214C">
        <w:rPr>
          <w:rFonts w:ascii="Times New Roman" w:hAnsi="Times New Roman" w:cs="Times New Roman"/>
          <w:color w:val="000000" w:themeColor="text1"/>
        </w:rPr>
        <w:t>the discount rate will keep rising while revenue keeps falling.</w:t>
      </w:r>
    </w:p>
    <w:p w14:paraId="0B7B1915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0C7DF8D3" w14:textId="7191FFAE" w:rsidR="0049147D" w:rsidRPr="00272794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8214C">
        <w:rPr>
          <w:rFonts w:ascii="Times New Roman" w:hAnsi="Times New Roman" w:cs="Times New Roman"/>
          <w:color w:val="000000" w:themeColor="text1"/>
        </w:rPr>
        <w:t xml:space="preserve">P6 </w:t>
      </w:r>
      <w:r w:rsidR="00272794">
        <w:rPr>
          <w:rFonts w:ascii="Times New Roman" w:hAnsi="Times New Roman" w:cs="Times New Roman"/>
          <w:color w:val="000000" w:themeColor="text1"/>
          <w:lang w:val="en-US"/>
        </w:rPr>
        <w:t>–</w:t>
      </w:r>
      <w:r w:rsidRPr="0088214C">
        <w:rPr>
          <w:rFonts w:ascii="Times New Roman" w:hAnsi="Times New Roman" w:cs="Times New Roman"/>
          <w:color w:val="000000" w:themeColor="text1"/>
        </w:rPr>
        <w:t xml:space="preserve"> the peak summer period</w:t>
      </w:r>
      <w:r w:rsidR="00272794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declining by 9.6% is the most significant finding in the data. Summer is when hospitality businesses typically perform strongest. A near-10% drop in peak-period </w:t>
      </w:r>
      <w:r w:rsidRPr="0088214C">
        <w:rPr>
          <w:rFonts w:ascii="Times New Roman" w:hAnsi="Times New Roman" w:cs="Times New Roman"/>
          <w:color w:val="000000" w:themeColor="text1"/>
        </w:rPr>
        <w:t>revenue suggests either demand softness, competitive pressure, or operational constraints during the highest-traffic weeks.</w:t>
      </w:r>
    </w:p>
    <w:p w14:paraId="57BF60FC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63F89570" w14:textId="6903B2DE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 xml:space="preserve">London’s dominance (32.6% of total revenue) means the group’s overall performance is heavily tied to one location. What happens in </w:t>
      </w:r>
      <w:r w:rsidRPr="0088214C">
        <w:rPr>
          <w:rFonts w:ascii="Times New Roman" w:hAnsi="Times New Roman" w:cs="Times New Roman"/>
          <w:color w:val="000000" w:themeColor="text1"/>
        </w:rPr>
        <w:t>London disproportionately shapes the group result. Birmingham, despite being the smallest site, has the biggest percentage decline</w:t>
      </w:r>
      <w:r w:rsidR="00272794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8214C">
        <w:rPr>
          <w:rFonts w:ascii="Times New Roman" w:hAnsi="Times New Roman" w:cs="Times New Roman"/>
          <w:color w:val="000000" w:themeColor="text1"/>
        </w:rPr>
        <w:t>which may reflect local market conditions rather than anything systemic.</w:t>
      </w:r>
    </w:p>
    <w:p w14:paraId="5289C71F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0AA8DD83" w14:textId="68E2308D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On the menu side, the concentration of revenue in</w:t>
      </w:r>
      <w:r w:rsidRPr="0088214C">
        <w:rPr>
          <w:rFonts w:ascii="Times New Roman" w:hAnsi="Times New Roman" w:cs="Times New Roman"/>
          <w:color w:val="000000" w:themeColor="text1"/>
        </w:rPr>
        <w:t xml:space="preserve"> a single dish (Creamy Mushroom Curry at £811K) is both a strength and a risk. It is a proven, high-volume product</w:t>
      </w:r>
      <w:r w:rsidR="00272794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but heavy reliance on one item creates fragility if consumer preferences shift or supply becomes an issue.</w:t>
      </w:r>
    </w:p>
    <w:p w14:paraId="0B4697A0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2E338EF9" w14:textId="77777777" w:rsidR="0049147D" w:rsidRPr="0088214C" w:rsidRDefault="000E6BBE" w:rsidP="00CE28D8">
      <w:pPr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Recommendations</w:t>
      </w:r>
    </w:p>
    <w:p w14:paraId="0B00A2A1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326BA87F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1. Rethin</w:t>
      </w:r>
      <w:r w:rsidRPr="0088214C">
        <w:rPr>
          <w:rFonts w:ascii="Times New Roman" w:hAnsi="Times New Roman" w:cs="Times New Roman"/>
          <w:color w:val="000000" w:themeColor="text1"/>
        </w:rPr>
        <w:t>k the discount approach</w:t>
      </w:r>
    </w:p>
    <w:p w14:paraId="672BD7D7" w14:textId="1BDD3B84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Discounting is increasing but not driving volume growth</w:t>
      </w:r>
      <w:r w:rsidR="00AB14DC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8214C">
        <w:rPr>
          <w:rFonts w:ascii="Times New Roman" w:hAnsi="Times New Roman" w:cs="Times New Roman"/>
          <w:color w:val="000000" w:themeColor="text1"/>
        </w:rPr>
        <w:t xml:space="preserve">a sign that the current discount strategy is not working as intended. Rather than </w:t>
      </w:r>
      <w:r w:rsidRPr="0088214C">
        <w:rPr>
          <w:rFonts w:ascii="Times New Roman" w:hAnsi="Times New Roman" w:cs="Times New Roman"/>
          <w:color w:val="000000" w:themeColor="text1"/>
        </w:rPr>
        <w:t>discounts, the business should test targeted promotions: specific days (midweek), sp</w:t>
      </w:r>
      <w:r w:rsidRPr="0088214C">
        <w:rPr>
          <w:rFonts w:ascii="Times New Roman" w:hAnsi="Times New Roman" w:cs="Times New Roman"/>
          <w:color w:val="000000" w:themeColor="text1"/>
        </w:rPr>
        <w:t>ecific sites (Birmingham), or specific items where conversion is low. The goal should be to recover margin on items where the discount is not influencing customer behaviour.</w:t>
      </w:r>
    </w:p>
    <w:p w14:paraId="18044CCB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7802BA9F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2. Prioritise P6 in FY2026 planning</w:t>
      </w:r>
    </w:p>
    <w:p w14:paraId="1BBE4C6B" w14:textId="1BE28CBF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A 9.6% decline in the peak summer period is t</w:t>
      </w:r>
      <w:r w:rsidRPr="0088214C">
        <w:rPr>
          <w:rFonts w:ascii="Times New Roman" w:hAnsi="Times New Roman" w:cs="Times New Roman"/>
          <w:color w:val="000000" w:themeColor="text1"/>
        </w:rPr>
        <w:t>he most actionable finding in this analysis. The business should investigate what drove that drop</w:t>
      </w:r>
      <w:r w:rsidR="00AB14DC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was it footfall, average spend, or specific sites? </w:t>
      </w:r>
      <w:r w:rsidRPr="0088214C">
        <w:rPr>
          <w:rFonts w:ascii="Times New Roman" w:hAnsi="Times New Roman" w:cs="Times New Roman"/>
          <w:color w:val="000000" w:themeColor="text1"/>
        </w:rPr>
        <w:t>and build a plan for P6 FY2026 now: menu refresh, promotional events, or pre-booked group dining offers</w:t>
      </w:r>
      <w:r w:rsidRPr="0088214C">
        <w:rPr>
          <w:rFonts w:ascii="Times New Roman" w:hAnsi="Times New Roman" w:cs="Times New Roman"/>
          <w:color w:val="000000" w:themeColor="text1"/>
        </w:rPr>
        <w:t xml:space="preserve"> timed to peak weeks.</w:t>
      </w:r>
    </w:p>
    <w:p w14:paraId="6E8652A6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321DA9D5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3. Investigate Birmingham separately</w:t>
      </w:r>
    </w:p>
    <w:p w14:paraId="37093037" w14:textId="77777777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 xml:space="preserve">Birmingham's 6.4% decline outpaces the group average and warrants a dedicated review. Specifically: Is it taking in more fully discounted transactions than other sites? Is its average transaction </w:t>
      </w:r>
      <w:r w:rsidRPr="0088214C">
        <w:rPr>
          <w:rFonts w:ascii="Times New Roman" w:hAnsi="Times New Roman" w:cs="Times New Roman"/>
          <w:color w:val="000000" w:themeColor="text1"/>
        </w:rPr>
        <w:t>value lower? Are certain menu groups underperforming there that perform well elsewhere? The answers will determine whether this is a pricing, marketing, or demand issue.</w:t>
      </w:r>
    </w:p>
    <w:p w14:paraId="768B6DAB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5DFB2218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4. Reduce menu dependency on one dish</w:t>
      </w:r>
    </w:p>
    <w:p w14:paraId="0657DEFE" w14:textId="42DD53FD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Creamy Mushroom Curry generating over £800K fro</w:t>
      </w:r>
      <w:r w:rsidRPr="0088214C">
        <w:rPr>
          <w:rFonts w:ascii="Times New Roman" w:hAnsi="Times New Roman" w:cs="Times New Roman"/>
          <w:color w:val="000000" w:themeColor="text1"/>
        </w:rPr>
        <w:t>m a £12.8M revenue base is impressive but risky. The business should actively develop 2</w:t>
      </w:r>
      <w:r w:rsidR="00AB14DC">
        <w:rPr>
          <w:rFonts w:ascii="Times New Roman" w:hAnsi="Times New Roman" w:cs="Times New Roman"/>
          <w:color w:val="000000" w:themeColor="text1"/>
          <w:lang w:val="en-US"/>
        </w:rPr>
        <w:t>-</w:t>
      </w:r>
      <w:r w:rsidRPr="0088214C">
        <w:rPr>
          <w:rFonts w:ascii="Times New Roman" w:hAnsi="Times New Roman" w:cs="Times New Roman"/>
          <w:color w:val="000000" w:themeColor="text1"/>
        </w:rPr>
        <w:t>3 additional anchor dishes</w:t>
      </w:r>
      <w:r w:rsidR="00AB14DC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particularly in the Ramen and Donburi categories, which show strong unit economics</w:t>
      </w:r>
      <w:r w:rsidR="00AB14DC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88214C">
        <w:rPr>
          <w:rFonts w:ascii="Times New Roman" w:hAnsi="Times New Roman" w:cs="Times New Roman"/>
          <w:color w:val="000000" w:themeColor="text1"/>
        </w:rPr>
        <w:t xml:space="preserve"> to distribute that revenue concentration.</w:t>
      </w:r>
    </w:p>
    <w:p w14:paraId="74127BCE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p w14:paraId="04247D42" w14:textId="77777777" w:rsidR="0049147D" w:rsidRPr="0088214C" w:rsidRDefault="000E6BBE" w:rsidP="00CE28D8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5. Activate</w:t>
      </w:r>
      <w:r w:rsidRPr="0088214C">
        <w:rPr>
          <w:rFonts w:ascii="Times New Roman" w:hAnsi="Times New Roman" w:cs="Times New Roman"/>
          <w:color w:val="000000" w:themeColor="text1"/>
        </w:rPr>
        <w:t xml:space="preserve"> midweek demand</w:t>
      </w:r>
    </w:p>
    <w:p w14:paraId="06E6045A" w14:textId="3CDAD894" w:rsidR="0049147D" w:rsidRPr="0088214C" w:rsidRDefault="000E6BBE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  <w:r w:rsidRPr="0088214C">
        <w:rPr>
          <w:rFonts w:ascii="Times New Roman" w:hAnsi="Times New Roman" w:cs="Times New Roman"/>
          <w:color w:val="000000" w:themeColor="text1"/>
        </w:rPr>
        <w:t>Tuesday through Thursday collectively underperforms its proportional share. Structured weekday offers</w:t>
      </w:r>
      <w:r w:rsidR="00596167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8214C">
        <w:rPr>
          <w:rFonts w:ascii="Times New Roman" w:hAnsi="Times New Roman" w:cs="Times New Roman"/>
          <w:color w:val="000000" w:themeColor="text1"/>
        </w:rPr>
        <w:t>set menus, group packages, or loyalty incentives</w:t>
      </w:r>
      <w:r w:rsidR="00596167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8214C">
        <w:rPr>
          <w:rFonts w:ascii="Times New Roman" w:hAnsi="Times New Roman" w:cs="Times New Roman"/>
          <w:color w:val="000000" w:themeColor="text1"/>
        </w:rPr>
        <w:t>could help smooth revenue across the week, reduce weekend operational pressure, and improve overall y</w:t>
      </w:r>
      <w:r w:rsidRPr="0088214C">
        <w:rPr>
          <w:rFonts w:ascii="Times New Roman" w:hAnsi="Times New Roman" w:cs="Times New Roman"/>
          <w:color w:val="000000" w:themeColor="text1"/>
        </w:rPr>
        <w:t>ield without additional customer acquisition cost.</w:t>
      </w:r>
    </w:p>
    <w:p w14:paraId="4141AD16" w14:textId="77777777" w:rsidR="0049147D" w:rsidRPr="0088214C" w:rsidRDefault="0049147D" w:rsidP="00CE28D8">
      <w:pPr>
        <w:spacing w:before="60" w:after="60"/>
        <w:jc w:val="both"/>
        <w:rPr>
          <w:rFonts w:ascii="Times New Roman" w:hAnsi="Times New Roman" w:cs="Times New Roman"/>
          <w:color w:val="000000" w:themeColor="text1"/>
        </w:rPr>
      </w:pPr>
    </w:p>
    <w:sectPr w:rsidR="0049147D" w:rsidRPr="0088214C"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7D1C1" w14:textId="77777777" w:rsidR="000E6BBE" w:rsidRDefault="000E6BBE">
      <w:r>
        <w:separator/>
      </w:r>
    </w:p>
  </w:endnote>
  <w:endnote w:type="continuationSeparator" w:id="0">
    <w:p w14:paraId="1CC34758" w14:textId="77777777" w:rsidR="000E6BBE" w:rsidRDefault="000E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903F7" w14:textId="77777777" w:rsidR="0049147D" w:rsidRDefault="0049147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65DEB1" w14:textId="77777777" w:rsidR="000E6BBE" w:rsidRDefault="000E6BBE">
      <w:r>
        <w:separator/>
      </w:r>
    </w:p>
  </w:footnote>
  <w:footnote w:type="continuationSeparator" w:id="0">
    <w:p w14:paraId="02427E9F" w14:textId="77777777" w:rsidR="000E6BBE" w:rsidRDefault="000E6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E56688"/>
    <w:multiLevelType w:val="hybridMultilevel"/>
    <w:tmpl w:val="8160E7C2"/>
    <w:lvl w:ilvl="0" w:tplc="8E8067AA">
      <w:start w:val="1"/>
      <w:numFmt w:val="bullet"/>
      <w:lvlText w:val="●"/>
      <w:lvlJc w:val="left"/>
      <w:pPr>
        <w:ind w:left="720" w:hanging="360"/>
      </w:pPr>
    </w:lvl>
    <w:lvl w:ilvl="1" w:tplc="5FF83C74">
      <w:start w:val="1"/>
      <w:numFmt w:val="bullet"/>
      <w:lvlText w:val="○"/>
      <w:lvlJc w:val="left"/>
      <w:pPr>
        <w:ind w:left="1440" w:hanging="360"/>
      </w:pPr>
    </w:lvl>
    <w:lvl w:ilvl="2" w:tplc="B6BCCDEC">
      <w:start w:val="1"/>
      <w:numFmt w:val="bullet"/>
      <w:lvlText w:val="■"/>
      <w:lvlJc w:val="left"/>
      <w:pPr>
        <w:ind w:left="2160" w:hanging="360"/>
      </w:pPr>
    </w:lvl>
    <w:lvl w:ilvl="3" w:tplc="7CCAB120">
      <w:start w:val="1"/>
      <w:numFmt w:val="bullet"/>
      <w:lvlText w:val="●"/>
      <w:lvlJc w:val="left"/>
      <w:pPr>
        <w:ind w:left="2880" w:hanging="360"/>
      </w:pPr>
    </w:lvl>
    <w:lvl w:ilvl="4" w:tplc="B18CD12C">
      <w:start w:val="1"/>
      <w:numFmt w:val="bullet"/>
      <w:lvlText w:val="○"/>
      <w:lvlJc w:val="left"/>
      <w:pPr>
        <w:ind w:left="3600" w:hanging="360"/>
      </w:pPr>
    </w:lvl>
    <w:lvl w:ilvl="5" w:tplc="2E40A590">
      <w:start w:val="1"/>
      <w:numFmt w:val="bullet"/>
      <w:lvlText w:val="■"/>
      <w:lvlJc w:val="left"/>
      <w:pPr>
        <w:ind w:left="4320" w:hanging="360"/>
      </w:pPr>
    </w:lvl>
    <w:lvl w:ilvl="6" w:tplc="33F47576">
      <w:start w:val="1"/>
      <w:numFmt w:val="bullet"/>
      <w:lvlText w:val="●"/>
      <w:lvlJc w:val="left"/>
      <w:pPr>
        <w:ind w:left="5040" w:hanging="360"/>
      </w:pPr>
    </w:lvl>
    <w:lvl w:ilvl="7" w:tplc="9CA26FC0">
      <w:start w:val="1"/>
      <w:numFmt w:val="bullet"/>
      <w:lvlText w:val="●"/>
      <w:lvlJc w:val="left"/>
      <w:pPr>
        <w:ind w:left="5760" w:hanging="360"/>
      </w:pPr>
    </w:lvl>
    <w:lvl w:ilvl="8" w:tplc="B6DE0F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C91472"/>
    <w:multiLevelType w:val="hybridMultilevel"/>
    <w:tmpl w:val="2FAA145A"/>
    <w:lvl w:ilvl="0" w:tplc="3962F19A">
      <w:start w:val="1"/>
      <w:numFmt w:val="bullet"/>
      <w:lvlText w:val="•"/>
      <w:lvlJc w:val="left"/>
      <w:pPr>
        <w:ind w:left="680" w:hanging="340"/>
      </w:pPr>
    </w:lvl>
    <w:lvl w:ilvl="1" w:tplc="23C21402">
      <w:numFmt w:val="decimal"/>
      <w:lvlText w:val=""/>
      <w:lvlJc w:val="left"/>
    </w:lvl>
    <w:lvl w:ilvl="2" w:tplc="E21870BC">
      <w:numFmt w:val="decimal"/>
      <w:lvlText w:val=""/>
      <w:lvlJc w:val="left"/>
    </w:lvl>
    <w:lvl w:ilvl="3" w:tplc="489C1EE8">
      <w:numFmt w:val="decimal"/>
      <w:lvlText w:val=""/>
      <w:lvlJc w:val="left"/>
    </w:lvl>
    <w:lvl w:ilvl="4" w:tplc="F4FE7C44">
      <w:numFmt w:val="decimal"/>
      <w:lvlText w:val=""/>
      <w:lvlJc w:val="left"/>
    </w:lvl>
    <w:lvl w:ilvl="5" w:tplc="DE9A7C26">
      <w:numFmt w:val="decimal"/>
      <w:lvlText w:val=""/>
      <w:lvlJc w:val="left"/>
    </w:lvl>
    <w:lvl w:ilvl="6" w:tplc="4E42B790">
      <w:numFmt w:val="decimal"/>
      <w:lvlText w:val=""/>
      <w:lvlJc w:val="left"/>
    </w:lvl>
    <w:lvl w:ilvl="7" w:tplc="AE6C0FD4">
      <w:numFmt w:val="decimal"/>
      <w:lvlText w:val=""/>
      <w:lvlJc w:val="left"/>
    </w:lvl>
    <w:lvl w:ilvl="8" w:tplc="78CCA7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47D"/>
    <w:rsid w:val="000E6BBE"/>
    <w:rsid w:val="00266148"/>
    <w:rsid w:val="00272794"/>
    <w:rsid w:val="003758CC"/>
    <w:rsid w:val="0049147D"/>
    <w:rsid w:val="00596167"/>
    <w:rsid w:val="006A05EC"/>
    <w:rsid w:val="006A6912"/>
    <w:rsid w:val="006B5F16"/>
    <w:rsid w:val="00850928"/>
    <w:rsid w:val="0088214C"/>
    <w:rsid w:val="00882837"/>
    <w:rsid w:val="00981946"/>
    <w:rsid w:val="00A155CC"/>
    <w:rsid w:val="00AB14DC"/>
    <w:rsid w:val="00AE4EB4"/>
    <w:rsid w:val="00BB60D3"/>
    <w:rsid w:val="00C21C0F"/>
    <w:rsid w:val="00CE28D8"/>
    <w:rsid w:val="00DC3752"/>
    <w:rsid w:val="00DD443F"/>
    <w:rsid w:val="00F0653A"/>
    <w:rsid w:val="00F61C66"/>
    <w:rsid w:val="00F7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CF1B"/>
  <w15:docId w15:val="{DFD07276-D88C-4D35-A858-AB2AA9B6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B3A5C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6DA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28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2837"/>
  </w:style>
  <w:style w:type="paragraph" w:styleId="Footer">
    <w:name w:val="footer"/>
    <w:basedOn w:val="Normal"/>
    <w:link w:val="FooterChar"/>
    <w:uiPriority w:val="99"/>
    <w:unhideWhenUsed/>
    <w:rsid w:val="008828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2837"/>
  </w:style>
  <w:style w:type="table" w:styleId="GridTable2">
    <w:name w:val="Grid Table 2"/>
    <w:basedOn w:val="TableNormal"/>
    <w:uiPriority w:val="47"/>
    <w:rsid w:val="00CE28D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024CC-BAE9-4735-8B99-5FB665660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salman</cp:lastModifiedBy>
  <cp:revision>42</cp:revision>
  <dcterms:created xsi:type="dcterms:W3CDTF">2026-05-04T21:55:00Z</dcterms:created>
  <dcterms:modified xsi:type="dcterms:W3CDTF">2026-05-05T11:06:00Z</dcterms:modified>
</cp:coreProperties>
</file>