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b/>
          <w:color w:val="10B981"/>
          <w:sz w:val="36"/>
        </w:rPr>
        <w:t>ECOTRACK: AI-BASED CARBON FOOTPRINT CALCULATOR AND ECO RECOMMENDATION SYSTEM</w:t>
      </w:r>
    </w:p>
    <w:p>
      <w:pPr>
        <w:spacing w:after="480"/>
        <w:jc w:val="center"/>
      </w:pPr>
      <w:r>
        <w:rPr>
          <w:rFonts w:ascii="Times New Roman" w:hAnsi="Times New Roman"/>
          <w:b/>
          <w:color w:val="475569"/>
          <w:sz w:val="28"/>
        </w:rPr>
        <w:t>ENVIRONMENTAL STUDIES (EVS) PROJECT REPORT</w:t>
      </w:r>
    </w:p>
    <w:p>
      <w:pPr>
        <w:spacing w:after="720"/>
        <w:jc w:val="center"/>
      </w:pPr>
      <w:r>
        <w:rPr>
          <w:rFonts w:ascii="Times New Roman" w:hAnsi="Times New Roman"/>
          <w:i/>
          <w:sz w:val="22"/>
        </w:rPr>
        <w:t>A Full-Stack Deterministic Environmental Accounting and Artificial Intelligence Advisory Platform</w:t>
        <w:br/>
        <w:t>Submitted in partial fulfillment of the requirements for Environmental Studies / Computer Science Engineering</w:t>
      </w:r>
    </w:p>
    <w:p>
      <w:r>
        <w:br w:type="page"/>
      </w:r>
    </w:p>
    <w:p>
      <w:pPr>
        <w:spacing w:before="360" w:after="80"/>
        <w:jc w:val="center"/>
      </w:pPr>
      <w:r>
        <w:rPr>
          <w:rFonts w:ascii="Times New Roman" w:hAnsi="Times New Roman"/>
          <w:b/>
          <w:color w:val="0F172A"/>
          <w:sz w:val="32"/>
        </w:rPr>
        <w:t>CHAPTER 1</w:t>
      </w:r>
    </w:p>
    <w:p>
      <w:pPr>
        <w:spacing w:before="40" w:after="360"/>
        <w:jc w:val="center"/>
      </w:pPr>
      <w:r>
        <w:rPr>
          <w:rFonts w:ascii="Times New Roman" w:hAnsi="Times New Roman"/>
          <w:b/>
          <w:color w:val="10B981"/>
          <w:sz w:val="30"/>
        </w:rPr>
        <w:t>INTRODUCTION</w:t>
      </w:r>
    </w:p>
    <w:p>
      <w:pPr>
        <w:spacing w:before="280" w:after="80"/>
      </w:pPr>
      <w:r>
        <w:rPr>
          <w:rFonts w:ascii="Times New Roman" w:hAnsi="Times New Roman"/>
          <w:b/>
          <w:color w:val="1E293B"/>
          <w:sz w:val="27"/>
        </w:rPr>
        <w:t>1.1 DESCRIPTION</w:t>
      </w:r>
    </w:p>
    <w:p>
      <w:pPr>
        <w:spacing w:after="120"/>
        <w:jc w:val="both"/>
      </w:pPr>
      <w:r>
        <w:rPr>
          <w:rFonts w:ascii="Times New Roman" w:hAnsi="Times New Roman"/>
          <w:sz w:val="24"/>
        </w:rPr>
        <w:t>Global climate change represents the defining ecological, economic, and scientific challenge of the modern era. The unrelenting accumulation of anthropogenic greenhouse gases (GHGs)—predominantly carbon dioxide (CO2), methane (CH4), and nitrous oxide (N2O)—in the Earth's atmosphere has accelerated global mean temperature anomalies, exacerbated extreme meteorological events, triggered irreversible biodiversity degradation, and threatened freshwater and food security worldwide. While international environmental treaties such as the Paris Climate Agreement establish aggregate targets for national decarbonization, individual household consumption choices, commuting habits, energy utilization, dietary preferences, and disposal patterns directly influence over 65% to 72% of global greenhouse gas emissions.</w:t>
      </w:r>
    </w:p>
    <w:p>
      <w:pPr>
        <w:spacing w:after="120"/>
        <w:jc w:val="both"/>
      </w:pPr>
      <w:r>
        <w:rPr>
          <w:rFonts w:ascii="Times New Roman" w:hAnsi="Times New Roman"/>
          <w:sz w:val="24"/>
        </w:rPr>
        <w:t>Despite increasing public environmental awareness, a profound 'intention-action gap' persists among citizens, students, and organizations. Most individuals remain unaware of their exact quantitative carbon footprint or mistakenly believe that basic recycling alone mitigates the climate impact of intensive travel and fossil-fueled electricity consumption. Traditional approaches to carbon accounting rely heavily on static paper surveys, unverified rough mental estimations, or simplistic online forms that output a single ambiguous metric without transparent mathematical underpinnings or personalized guidance.</w:t>
      </w:r>
    </w:p>
    <w:p>
      <w:pPr>
        <w:spacing w:after="120"/>
        <w:jc w:val="both"/>
      </w:pPr>
      <w:r>
        <w:rPr>
          <w:rFonts w:ascii="Times New Roman" w:hAnsi="Times New Roman"/>
          <w:sz w:val="24"/>
        </w:rPr>
        <w:t>To bridge this critical divide, EcoTrack is introduced as an intelligent, full-stack, enterprise-grade environmental sustainability platform. EcoTrack combines a mathematically rigorous, deterministic calculation engine adhering strictly to international greenhouse gas accounting standards—specifically the Intergovernmental Panel on Climate Change (IPCC), the United States Environmental Protection Agency (US EPA), and the UK Department for Environment, Food and Rural Affairs (DEFRA)—with cutting-edge generative Artificial Intelligence powered by Groq's high-speed inference engine (executing openai/gpt-oss-120b). By decomposing complex everyday activities across 7 distinct emission categories, calculating a normalized 0-100 Eco Score, maintaining longitudinal historical audit trails through Supabase PostgreSQL, and delivering context-aware, actionable reduction recommendations, EcoTrack transforms passive environmental concern into proactive, measurable decarbonization.</w:t>
      </w:r>
    </w:p>
    <w:p>
      <w:pPr>
        <w:spacing w:before="280" w:after="80"/>
      </w:pPr>
      <w:r>
        <w:rPr>
          <w:rFonts w:ascii="Times New Roman" w:hAnsi="Times New Roman"/>
          <w:b/>
          <w:color w:val="1E293B"/>
          <w:sz w:val="27"/>
        </w:rPr>
        <w:t>1.2 PROBLEM STATEMENT</w:t>
      </w:r>
    </w:p>
    <w:p>
      <w:pPr>
        <w:spacing w:after="120"/>
        <w:jc w:val="both"/>
      </w:pPr>
      <w:r>
        <w:rPr>
          <w:rFonts w:ascii="Times New Roman" w:hAnsi="Times New Roman"/>
          <w:sz w:val="24"/>
        </w:rPr>
        <w:t>Quantifying individual and institutional carbon emissions is fundamentally challenged by data fragmentation, non-standardized estimation metrics, and lack of engaging feedback loops. The specific obstacles identified in contemporary environmental studies include:</w:t>
      </w:r>
    </w:p>
    <w:p>
      <w:pPr>
        <w:spacing w:after="120"/>
        <w:jc w:val="both"/>
      </w:pPr>
      <w:r>
        <w:rPr>
          <w:rFonts w:ascii="Times New Roman" w:hAnsi="Times New Roman"/>
          <w:sz w:val="24"/>
        </w:rPr>
        <w:t>1. Non-Deterministic Guesswork and High Algorithmic Variance: Most available web-based carbon calculators use arbitrary conversion formulas without citing underlying peer-reviewed factors. Studies indicate that computing the footprint of an identical household across five popular calculators yields variations exceeding 45%, destroying user trust and institutional audit credibility.</w:t>
      </w:r>
    </w:p>
    <w:p>
      <w:pPr>
        <w:spacing w:after="120"/>
        <w:jc w:val="both"/>
      </w:pPr>
      <w:r>
        <w:rPr>
          <w:rFonts w:ascii="Times New Roman" w:hAnsi="Times New Roman"/>
          <w:sz w:val="24"/>
        </w:rPr>
        <w:t>2. Omission of Granular Lifestyle Sectors: Prevailing tools focus almost exclusively on direct commuting or primary electricity bills, neglecting embedded lifecycle emissions from food consumption (e.g., carbon-intensive meat diets versus plant-based diets), solid waste disposal (methane emissions from landfill versus recycling offsets), secondary consumer shopping, and indirect aviation travel.</w:t>
      </w:r>
    </w:p>
    <w:p>
      <w:pPr>
        <w:spacing w:after="120"/>
        <w:jc w:val="both"/>
      </w:pPr>
      <w:r>
        <w:rPr>
          <w:rFonts w:ascii="Times New Roman" w:hAnsi="Times New Roman"/>
          <w:sz w:val="24"/>
        </w:rPr>
        <w:t>3. Absence of Actionable, Contextual AI Guidance: Traditional carbon accounting outputs an abstract gross figure (e.g., '14.2 tonnes CO2/year') accompanied by trivial, static aphorisms such as 'remember to switch off the lights.' They lack the contextual intelligence to evaluate the user's highest emission driver and formulate high-ROI, achievable behavioral substitution targets.</w:t>
      </w:r>
    </w:p>
    <w:p>
      <w:pPr>
        <w:spacing w:after="120"/>
        <w:jc w:val="both"/>
      </w:pPr>
      <w:r>
        <w:rPr>
          <w:rFonts w:ascii="Times New Roman" w:hAnsi="Times New Roman"/>
          <w:sz w:val="24"/>
        </w:rPr>
        <w:t>4. Ephemeral Data Architectures and Absence of Audit Logs: Existing public calculators operate as stateless single-page forms. Once the browser window is closed, calculation results vanish, preventing longitudinal progress tracking, historical comparison across seasonal billing cycles, or emission reduction certification.</w:t>
      </w:r>
    </w:p>
    <w:p>
      <w:pPr>
        <w:spacing w:after="120"/>
        <w:jc w:val="both"/>
      </w:pPr>
      <w:r>
        <w:rPr>
          <w:rFonts w:ascii="Times New Roman" w:hAnsi="Times New Roman"/>
          <w:sz w:val="24"/>
        </w:rPr>
        <w:t>Therefore, a comprehensive, secure, and user-centric platform is urgently needed to provide deterministic greenhouse gas calculations, enterprise-grade cloud persistence with Row-Level Security, and personalized, high-speed AI sustainability coaching. EcoTrack directly solves these systemic shortcomings.</w:t>
      </w:r>
    </w:p>
    <w:p>
      <w:pPr>
        <w:spacing w:before="280" w:after="80"/>
      </w:pPr>
      <w:r>
        <w:rPr>
          <w:rFonts w:ascii="Times New Roman" w:hAnsi="Times New Roman"/>
          <w:b/>
          <w:color w:val="1E293B"/>
          <w:sz w:val="27"/>
        </w:rPr>
        <w:t>1.3 CARBON ACCOUNTING &amp; SUSTAINABILITY APPLICATION DOMAIN</w:t>
      </w:r>
    </w:p>
    <w:p>
      <w:pPr>
        <w:spacing w:after="120"/>
        <w:jc w:val="both"/>
      </w:pPr>
      <w:r>
        <w:rPr>
          <w:rFonts w:ascii="Times New Roman" w:hAnsi="Times New Roman"/>
          <w:sz w:val="24"/>
        </w:rPr>
        <w:t>The carbon accounting application domain encompasses the systematic collection, verification, normalization, computation, and reporting of greenhouse gas emissions generated by human activities. EcoTrack divides this complex domain into three tightly coupled architectural pillars:</w:t>
      </w:r>
    </w:p>
    <w:p>
      <w:pPr>
        <w:spacing w:before="200" w:after="60"/>
      </w:pPr>
      <w:r>
        <w:rPr>
          <w:rFonts w:ascii="Times New Roman" w:hAnsi="Times New Roman"/>
          <w:b/>
          <w:color w:val="334155"/>
          <w:sz w:val="25"/>
        </w:rPr>
        <w:t>1.3.1 Emission Data Management &amp; Activity Auditing</w:t>
      </w:r>
    </w:p>
    <w:p>
      <w:pPr>
        <w:spacing w:after="120"/>
        <w:jc w:val="both"/>
      </w:pPr>
      <w:r>
        <w:rPr>
          <w:rFonts w:ascii="Times New Roman" w:hAnsi="Times New Roman"/>
          <w:sz w:val="24"/>
        </w:rPr>
        <w:t>This pillar governs the systematic ingestion and validation of activity parameters spanning transportation modes (petrol, diesel, hybrid, electric vehicles, public transit), energy consumption (kWh electricity, rooftop solar renewable offset percentages), water consumption (litres/day municipal distribution), dietary patterns (vegan, vegetarian, pescatarian, omnivorous, heavy-meat diets), municipal waste generation (kg/month discarded vs recycled), retail consumer acquisition (garments, electronics, general merchandise), and intercity passenger travel (domestic and long-haul international aviation, intercity electrified rail).</w:t>
      </w:r>
    </w:p>
    <w:p>
      <w:pPr>
        <w:spacing w:before="200" w:after="60"/>
      </w:pPr>
      <w:r>
        <w:rPr>
          <w:rFonts w:ascii="Times New Roman" w:hAnsi="Times New Roman"/>
          <w:b/>
          <w:color w:val="334155"/>
          <w:sz w:val="25"/>
        </w:rPr>
        <w:t>1.3.2 Deterministic Calculation Engine &amp; Standardized Emission Factors</w:t>
      </w:r>
    </w:p>
    <w:p>
      <w:pPr>
        <w:spacing w:after="120"/>
        <w:jc w:val="both"/>
      </w:pPr>
      <w:r>
        <w:rPr>
          <w:rFonts w:ascii="Times New Roman" w:hAnsi="Times New Roman"/>
          <w:sz w:val="24"/>
        </w:rPr>
        <w:t>Unlike stochastic or heuristic models, carbon footprint auditing requires absolute determinism. EcoTrack enforces strict mathematical immutability through an authoritative factor table sourced directly from the 2019 Refinement to the 2006 IPCC Guidelines, DEFRA 2023 Conversion Factors, and EPA 2023 inventories. Every input parameter is clamped, validated against numerical bounds, and mapped directly to peer-reviewed emission factors expressed in standard kilograms of carbon dioxide equivalent (kg CO2e). Furthermore, the engine computes a holistic, deterministic Eco Score scaled from 0 to 100 based on international net-zero benchmarks.</w:t>
      </w:r>
    </w:p>
    <w:p>
      <w:pPr>
        <w:spacing w:before="200" w:after="60"/>
      </w:pPr>
      <w:r>
        <w:rPr>
          <w:rFonts w:ascii="Times New Roman" w:hAnsi="Times New Roman"/>
          <w:b/>
          <w:color w:val="334155"/>
          <w:sz w:val="25"/>
        </w:rPr>
        <w:t>1.3.3 AI-Powered Behavioral Coaching &amp; Gamified Environmental Stewardship</w:t>
      </w:r>
    </w:p>
    <w:p>
      <w:pPr>
        <w:spacing w:after="120"/>
        <w:jc w:val="both"/>
      </w:pPr>
      <w:r>
        <w:rPr>
          <w:rFonts w:ascii="Times New Roman" w:hAnsi="Times New Roman"/>
          <w:sz w:val="24"/>
        </w:rPr>
        <w:t>To drive real-world decarbonization, raw metrics must be translated into compelling behavioral interventions. EcoTrack leverages Groq AI running large-scale open models (openai/gpt-oss-120b) to synthesize personalized reduction roadmaps. Crucially, EcoTrack enforces a strict architectural boundary: Groq AI is strictly prohibited from altering or recalculating emissions, functioning exclusively as an expert environmental advisor that analyzes the user's top emission sectors, proposes achievable monthly reduction milestones, and issues engaging weekly green challenges.</w:t>
      </w:r>
    </w:p>
    <w:p>
      <w:pPr>
        <w:spacing w:before="280" w:after="80"/>
      </w:pPr>
      <w:r>
        <w:rPr>
          <w:rFonts w:ascii="Times New Roman" w:hAnsi="Times New Roman"/>
          <w:b/>
          <w:color w:val="1E293B"/>
          <w:sz w:val="27"/>
        </w:rPr>
        <w:t>1.4 AIM AND OBJECTIVES</w:t>
      </w:r>
    </w:p>
    <w:p>
      <w:pPr>
        <w:spacing w:before="200" w:after="60"/>
      </w:pPr>
      <w:r>
        <w:rPr>
          <w:rFonts w:ascii="Times New Roman" w:hAnsi="Times New Roman"/>
          <w:b/>
          <w:color w:val="334155"/>
          <w:sz w:val="25"/>
        </w:rPr>
        <w:t>1.4.1 Aim</w:t>
      </w:r>
    </w:p>
    <w:p>
      <w:pPr>
        <w:spacing w:after="120"/>
        <w:jc w:val="both"/>
      </w:pPr>
      <w:r>
        <w:rPr>
          <w:rFonts w:ascii="Times New Roman" w:hAnsi="Times New Roman"/>
          <w:sz w:val="24"/>
        </w:rPr>
        <w:t>The primary aim of the EcoTrack project is to design, architect, implement, and validate a modern, full-stack, enterprise-grade carbon footprint auditing and artificial intelligence recommendation platform. The platform empowers individuals, students, households, and green campus organizations to compute precise greenhouse gas emissions across 7 comprehensive everyday categories, understand emissions through interactive visualizations, preserve verifiable historical audit trails, and receive contextual, high-impact decarbonization plans.</w:t>
      </w:r>
    </w:p>
    <w:p>
      <w:pPr>
        <w:spacing w:before="200" w:after="60"/>
      </w:pPr>
      <w:r>
        <w:rPr>
          <w:rFonts w:ascii="Times New Roman" w:hAnsi="Times New Roman"/>
          <w:b/>
          <w:color w:val="334155"/>
          <w:sz w:val="25"/>
        </w:rPr>
        <w:t>1.4.2 Objectives</w:t>
      </w:r>
    </w:p>
    <w:p>
      <w:pPr>
        <w:pStyle w:val="ListParagraph"/>
        <w:spacing w:after="60"/>
      </w:pPr>
      <w:r>
        <w:rPr>
          <w:rFonts w:ascii="Times New Roman" w:hAnsi="Times New Roman"/>
          <w:sz w:val="23"/>
        </w:rPr>
        <w:t>•  To develop a responsive, accessible, and high-performance client application using React 18, Vite, Bootstrap 5, and Chart.js.</w:t>
      </w:r>
    </w:p>
    <w:p>
      <w:pPr>
        <w:pStyle w:val="ListParagraph"/>
        <w:spacing w:after="60"/>
      </w:pPr>
      <w:r>
        <w:rPr>
          <w:rFonts w:ascii="Times New Roman" w:hAnsi="Times New Roman"/>
          <w:sz w:val="23"/>
        </w:rPr>
        <w:t>•  To construct a high-throughput, secure RESTful API gateway using Node.js and Express.js equipped with Helmet security, CORS origin isolation, and rate-limiting middleware.</w:t>
      </w:r>
    </w:p>
    <w:p>
      <w:pPr>
        <w:pStyle w:val="ListParagraph"/>
        <w:spacing w:after="60"/>
      </w:pPr>
      <w:r>
        <w:rPr>
          <w:rFonts w:ascii="Times New Roman" w:hAnsi="Times New Roman"/>
          <w:sz w:val="23"/>
        </w:rPr>
        <w:t>•  To engineer a 100% deterministic calculation service executing standardized mathematical models parameterized with IPCC, US EPA, and UK DEFRA greenhouse gas conversion factors.</w:t>
      </w:r>
    </w:p>
    <w:p>
      <w:pPr>
        <w:pStyle w:val="ListParagraph"/>
        <w:spacing w:after="60"/>
      </w:pPr>
      <w:r>
        <w:rPr>
          <w:rFonts w:ascii="Times New Roman" w:hAnsi="Times New Roman"/>
          <w:sz w:val="23"/>
        </w:rPr>
        <w:t>•  To implement a mathematical 0-100 Eco Score and 4-tier carbon classification model (Eco Champion, Eco Conscious, Needs Improvement, High Carbon Impact).</w:t>
      </w:r>
    </w:p>
    <w:p>
      <w:pPr>
        <w:pStyle w:val="ListParagraph"/>
        <w:spacing w:after="60"/>
      </w:pPr>
      <w:r>
        <w:rPr>
          <w:rFonts w:ascii="Times New Roman" w:hAnsi="Times New Roman"/>
          <w:sz w:val="23"/>
        </w:rPr>
        <w:t>•  To integrate the Groq SDK with ultra-fast Language Processing Unit (LPU) cloud inference to generate customized, structured JSON decarbonization roadmaps.</w:t>
      </w:r>
    </w:p>
    <w:p>
      <w:pPr>
        <w:pStyle w:val="ListParagraph"/>
        <w:spacing w:after="60"/>
      </w:pPr>
      <w:r>
        <w:rPr>
          <w:rFonts w:ascii="Times New Roman" w:hAnsi="Times New Roman"/>
          <w:sz w:val="23"/>
        </w:rPr>
        <w:t>•  To establish an enterprise relational database schema using Supabase PostgreSQL secured with cryptographic JWT authentication and Row-Level Security (RLS) policies for complete multi-tenant tenant isolation.</w:t>
      </w:r>
    </w:p>
    <w:p>
      <w:pPr>
        <w:pStyle w:val="ListParagraph"/>
        <w:spacing w:after="60"/>
      </w:pPr>
      <w:r>
        <w:rPr>
          <w:rFonts w:ascii="Times New Roman" w:hAnsi="Times New Roman"/>
          <w:sz w:val="23"/>
        </w:rPr>
        <w:t>•  To deliver official, tamper-evident Environmental Audit Certification and structured PDF/CSV export services for institutional reporting and individual verification.</w:t>
      </w:r>
    </w:p>
    <w:p>
      <w:pPr>
        <w:spacing w:before="280" w:after="80"/>
      </w:pPr>
      <w:r>
        <w:rPr>
          <w:rFonts w:ascii="Times New Roman" w:hAnsi="Times New Roman"/>
          <w:b/>
          <w:color w:val="1E293B"/>
          <w:sz w:val="27"/>
        </w:rPr>
        <w:t>1.5 SCOPE OF THE PROJECT</w:t>
      </w:r>
    </w:p>
    <w:p>
      <w:pPr>
        <w:spacing w:after="120"/>
        <w:jc w:val="both"/>
      </w:pPr>
      <w:r>
        <w:rPr>
          <w:rFonts w:ascii="Times New Roman" w:hAnsi="Times New Roman"/>
          <w:sz w:val="24"/>
        </w:rPr>
        <w:t>The scope of EcoTrack encompasses individual, academic, and institutional environmental sustainability monitoring. The application is intentionally designed for universal applicability across several key sectors:</w:t>
      </w:r>
    </w:p>
    <w:p>
      <w:pPr>
        <w:spacing w:after="120"/>
        <w:jc w:val="both"/>
      </w:pPr>
      <w:r>
        <w:rPr>
          <w:rFonts w:ascii="Times New Roman" w:hAnsi="Times New Roman"/>
          <w:sz w:val="24"/>
        </w:rPr>
        <w:t>• Household Carbon Auditing: Enables families and residential consumers to track monthly utility consumption, optimize commuting habits, and evaluate solar panel ROI.</w:t>
      </w:r>
    </w:p>
    <w:p>
      <w:pPr>
        <w:spacing w:after="120"/>
        <w:jc w:val="both"/>
      </w:pPr>
      <w:r>
        <w:rPr>
          <w:rFonts w:ascii="Times New Roman" w:hAnsi="Times New Roman"/>
          <w:sz w:val="24"/>
        </w:rPr>
        <w:t>• Academic Campuses and Green School Initiatives: Serves as an interactive digital laboratory for Environmental Studies (EVS) curricula, educating students through hands-on carbon tracking, peer comparisons, and verifiable carbon reduction goals.</w:t>
      </w:r>
    </w:p>
    <w:p>
      <w:pPr>
        <w:spacing w:after="120"/>
        <w:jc w:val="both"/>
      </w:pPr>
      <w:r>
        <w:rPr>
          <w:rFonts w:ascii="Times New Roman" w:hAnsi="Times New Roman"/>
          <w:sz w:val="24"/>
        </w:rPr>
        <w:t>• Corporate Scope 3 Employee Auditing: Assists sustainability officers in measuring indirect employee commuting, remote home-office electricity consumption, and corporate business travel footprints.</w:t>
      </w:r>
    </w:p>
    <w:p>
      <w:pPr>
        <w:spacing w:after="120"/>
        <w:jc w:val="both"/>
      </w:pPr>
      <w:r>
        <w:rPr>
          <w:rFonts w:ascii="Times New Roman" w:hAnsi="Times New Roman"/>
          <w:sz w:val="24"/>
        </w:rPr>
        <w:t>• Community Environmental Programs &amp; NGOs: Facilitates local municipal climate action campaigns by supplying aggregated, anonymized benchmarking data on regional carbon intensities.</w:t>
      </w:r>
    </w:p>
    <w:p>
      <w:r>
        <w:br w:type="page"/>
      </w:r>
    </w:p>
    <w:p>
      <w:pPr>
        <w:spacing w:before="360" w:after="80"/>
        <w:jc w:val="center"/>
      </w:pPr>
      <w:r>
        <w:rPr>
          <w:rFonts w:ascii="Times New Roman" w:hAnsi="Times New Roman"/>
          <w:b/>
          <w:color w:val="0F172A"/>
          <w:sz w:val="32"/>
        </w:rPr>
        <w:t>CHAPTER 2</w:t>
      </w:r>
    </w:p>
    <w:p>
      <w:pPr>
        <w:spacing w:before="40" w:after="360"/>
        <w:jc w:val="center"/>
      </w:pPr>
      <w:r>
        <w:rPr>
          <w:rFonts w:ascii="Times New Roman" w:hAnsi="Times New Roman"/>
          <w:b/>
          <w:color w:val="10B981"/>
          <w:sz w:val="30"/>
        </w:rPr>
        <w:t>LITERATURE SURVEY</w:t>
      </w:r>
    </w:p>
    <w:p>
      <w:pPr>
        <w:spacing w:before="280" w:after="80"/>
      </w:pPr>
      <w:r>
        <w:rPr>
          <w:rFonts w:ascii="Times New Roman" w:hAnsi="Times New Roman"/>
          <w:b/>
          <w:color w:val="1E293B"/>
          <w:sz w:val="27"/>
        </w:rPr>
        <w:t>2.1 DEFINITION AND METHODOLOGICAL FRAMEWORK OF CARBON FOOTPRINTS, T. WIEDMANN AND J. MINX (2008)</w:t>
      </w:r>
    </w:p>
    <w:p>
      <w:pPr>
        <w:spacing w:after="120"/>
        <w:jc w:val="both"/>
      </w:pPr>
      <w:r>
        <w:rPr>
          <w:rFonts w:ascii="Times New Roman" w:hAnsi="Times New Roman"/>
          <w:sz w:val="24"/>
        </w:rPr>
        <w:t>This seminal research provides the foundational epistemological definition of a carbon footprint as the total amount of greenhouse gas emissions directly and indirectly caused by an activity or accumulated over the life stages of a product. The authors examine the historical evolution from ecological footprints to carbon accounting, emphasizing the critical necessity of multi-sector lifecycle accounting rather than isolated tailpipe measurements. The paper outlines the mathematical principles of greenhouse gas equivalency (CO2e) utilizing the 100-year Global Warming Potential (GWP100) indices established by the IPCC.</w:t>
      </w:r>
    </w:p>
    <w:p>
      <w:pPr>
        <w:spacing w:after="120"/>
        <w:jc w:val="both"/>
      </w:pPr>
      <w:r>
        <w:rPr>
          <w:rFonts w:ascii="Times New Roman" w:hAnsi="Times New Roman"/>
          <w:sz w:val="24"/>
        </w:rPr>
        <w:t>The authors review input-output analysis and process-based bottom-up methodologies for carbon estimation. Process-based accounting is identified as optimal for consumer-facing digital applications because it directly maps observed activity quantities (such as passenger-kilometers traveled or kilowatt-hours consumed) to validated physical emission coefficients.</w:t>
      </w:r>
    </w:p>
    <w:p>
      <w:pPr>
        <w:spacing w:after="120"/>
        <w:jc w:val="both"/>
      </w:pPr>
      <w:r>
        <w:rPr>
          <w:rFonts w:ascii="Times New Roman" w:hAnsi="Times New Roman"/>
          <w:sz w:val="24"/>
        </w:rPr>
        <w:t>The research highlights that excluding indirect supply chain emissions (such as the embodied carbon in consumer electronics or agricultural food processing) produces a severe systematic underestimation of personal climate impact, often obscuring up to 40% of an individual's true footprint.</w:t>
      </w:r>
    </w:p>
    <w:p>
      <w:pPr>
        <w:spacing w:after="120"/>
        <w:jc w:val="both"/>
      </w:pPr>
      <w:r>
        <w:rPr>
          <w:rFonts w:ascii="Times New Roman" w:hAnsi="Times New Roman"/>
          <w:sz w:val="24"/>
        </w:rPr>
        <w:t>This literature forms the foundational mathematical baseline for EcoTrack. EcoTrack implements Wiedmann and Minx's bottom-up process lifecycle framework across all 7 operational categories, incorporating indirect emissions for purchased goods, dietary supply chains, and municipal landfill methane generation rather than limiting calculations to direct fossil fuel combustion alone.</w:t>
      </w:r>
    </w:p>
    <w:p>
      <w:pPr>
        <w:spacing w:before="280" w:after="80"/>
      </w:pPr>
      <w:r>
        <w:rPr>
          <w:rFonts w:ascii="Times New Roman" w:hAnsi="Times New Roman"/>
          <w:b/>
          <w:color w:val="1E293B"/>
          <w:sz w:val="27"/>
        </w:rPr>
        <w:t>2.2 2019 REFINEMENT TO THE 2006 IPCC GUIDELINES FOR NATIONAL GREENHOUSE GAS INVENTORIES, IPCC (2019)</w:t>
      </w:r>
    </w:p>
    <w:p>
      <w:pPr>
        <w:spacing w:after="120"/>
        <w:jc w:val="both"/>
      </w:pPr>
      <w:r>
        <w:rPr>
          <w:rFonts w:ascii="Times New Roman" w:hAnsi="Times New Roman"/>
          <w:sz w:val="24"/>
        </w:rPr>
        <w:t>The Intergovernmental Panel on Climate Change (IPCC) guidelines serve as the authoritative global standard for quantifying anthropogenic greenhouse gas emissions across sovereign nations, industries, and civil society. The 2019 Refinement updates previous methodologies by establishing refined default emission coefficients, updated methane radiative forcing coefficients, and advanced stationary combustion and mobile transport formulas.</w:t>
      </w:r>
    </w:p>
    <w:p>
      <w:pPr>
        <w:spacing w:after="120"/>
        <w:jc w:val="both"/>
      </w:pPr>
      <w:r>
        <w:rPr>
          <w:rFonts w:ascii="Times New Roman" w:hAnsi="Times New Roman"/>
          <w:sz w:val="24"/>
        </w:rPr>
        <w:t>The IPCC documentation details the Tier 1, Tier 2, and Tier 3 calculation methodologies. Tier 1 represents deterministic mathematical multiplication of readily accessible activity data (e.g., fuel volume or distance) by internationally standardized default emission factors. Tier 2 and Tier 3 introduce regional grid adjustments and empirical dynamic sensor telemetry.</w:t>
      </w:r>
    </w:p>
    <w:p>
      <w:pPr>
        <w:spacing w:after="120"/>
        <w:jc w:val="both"/>
      </w:pPr>
      <w:r>
        <w:rPr>
          <w:rFonts w:ascii="Times New Roman" w:hAnsi="Times New Roman"/>
          <w:sz w:val="24"/>
        </w:rPr>
        <w:t>The guidelines emphasize that high-level environmental integrity requires transparency, consistency, comparability, completeness, and mathematical accuracy in emission factor selection, cautioning against heuristic or unverified estimation coefficients.</w:t>
      </w:r>
    </w:p>
    <w:p>
      <w:pPr>
        <w:spacing w:after="120"/>
        <w:jc w:val="both"/>
      </w:pPr>
      <w:r>
        <w:rPr>
          <w:rFonts w:ascii="Times New Roman" w:hAnsi="Times New Roman"/>
          <w:sz w:val="24"/>
        </w:rPr>
        <w:t>EcoTrack strictly implements the Tier 1 deterministic methodology prescribed by the IPCC. The backend EmissionFactorService hardcodes authoritative baseline constants for electricity generation (0.475 kg CO2e/kWh global grid baseline), mobile combustion, and organic municipal waste decomposition, guaranteeing that EcoTrack's calculations are fully aligned with international climate protocols.</w:t>
      </w:r>
    </w:p>
    <w:p>
      <w:pPr>
        <w:spacing w:before="280" w:after="80"/>
      </w:pPr>
      <w:r>
        <w:rPr>
          <w:rFonts w:ascii="Times New Roman" w:hAnsi="Times New Roman"/>
          <w:b/>
          <w:color w:val="1E293B"/>
          <w:sz w:val="27"/>
        </w:rPr>
        <w:t>2.3 UK GREENHOUSE GAS CONVERSION FACTORS FOR COMPANY REPORTING, DEFRA / DESNZ (2023)</w:t>
      </w:r>
    </w:p>
    <w:p>
      <w:pPr>
        <w:spacing w:after="120"/>
        <w:jc w:val="both"/>
      </w:pPr>
      <w:r>
        <w:rPr>
          <w:rFonts w:ascii="Times New Roman" w:hAnsi="Times New Roman"/>
          <w:sz w:val="24"/>
        </w:rPr>
        <w:t>The UK Department for Environment, Food and Rural Affairs (DEFRA) and the Department for Energy Security and Net Zero (DESNZ) publish an exhaustive, annually updated repository of empirical greenhouse gas conversion factors. This resource is universally recognized as the gold standard for granular lifecycle and transport footprint auditing.</w:t>
      </w:r>
    </w:p>
    <w:p>
      <w:pPr>
        <w:spacing w:after="120"/>
        <w:jc w:val="both"/>
      </w:pPr>
      <w:r>
        <w:rPr>
          <w:rFonts w:ascii="Times New Roman" w:hAnsi="Times New Roman"/>
          <w:sz w:val="24"/>
        </w:rPr>
        <w:t>The DEFRA methodology derives specific coefficients across passenger vehicles by fuel type (petrol car: 0.192 kg CO2e/km, diesel car: 0.171 kg CO2e/km, hybrid vehicle: 0.110 kg CO2e/km, electric vehicle: 0.053 kg CO2e/km grid average), mass passenger transport (local public bus: 0.089 kg CO2e/pkm, intercity commuter train: 0.041 kg CO2e/pkm), and commercial passenger aviation (domestic short-haul vs international long-haul flights).</w:t>
      </w:r>
    </w:p>
    <w:p>
      <w:pPr>
        <w:spacing w:after="120"/>
        <w:jc w:val="both"/>
      </w:pPr>
      <w:r>
        <w:rPr>
          <w:rFonts w:ascii="Times New Roman" w:hAnsi="Times New Roman"/>
          <w:sz w:val="24"/>
        </w:rPr>
        <w:t>The publication demonstrates that vehicle electrification reduces direct per-kilometer emissions by over 72% compared to internal combustion engines, while rail mass transit delivers an 78% emission reduction compared to single-occupancy petrol automobiles.</w:t>
      </w:r>
    </w:p>
    <w:p>
      <w:pPr>
        <w:spacing w:after="120"/>
        <w:jc w:val="both"/>
      </w:pPr>
      <w:r>
        <w:rPr>
          <w:rFonts w:ascii="Times New Roman" w:hAnsi="Times New Roman"/>
          <w:sz w:val="24"/>
        </w:rPr>
        <w:t>EcoTrack directly integrates DEFRA's official 2023 conversion factors into its core JavaScript calculation engine. By distinguishing between nine discrete commuting modalities and multiple flight tiers, EcoTrack achieves institutional-grade accuracy that far surpasses conventional calculators that utilize a single generic 'car' coefficient.</w:t>
      </w:r>
    </w:p>
    <w:p>
      <w:pPr>
        <w:spacing w:before="280" w:after="80"/>
      </w:pPr>
      <w:r>
        <w:rPr>
          <w:rFonts w:ascii="Times New Roman" w:hAnsi="Times New Roman"/>
          <w:b/>
          <w:color w:val="1E293B"/>
          <w:sz w:val="27"/>
        </w:rPr>
        <w:t>2.4 EMISSION FACTORS FOR GREENHOUSE GAS INVENTORIES, US ENVIRONMENTAL PROTECTION AGENCY (2023)</w:t>
      </w:r>
    </w:p>
    <w:p>
      <w:pPr>
        <w:spacing w:after="120"/>
        <w:jc w:val="both"/>
      </w:pPr>
      <w:r>
        <w:rPr>
          <w:rFonts w:ascii="Times New Roman" w:hAnsi="Times New Roman"/>
          <w:sz w:val="24"/>
        </w:rPr>
        <w:t>The United States Environmental Protection Agency (US EPA) Center for Corporate Climate Leadership provides standardized emission benchmarks for Scope 1 direct fuel use, Scope 2 purchased electricity, and Scope 3 supply chain operations. The 2023 technical tables establish authoritative coefficients for municipal water distribution, consumer waste streams, and retail consumer product embodied carbon.</w:t>
      </w:r>
    </w:p>
    <w:p>
      <w:pPr>
        <w:spacing w:after="120"/>
        <w:jc w:val="both"/>
      </w:pPr>
      <w:r>
        <w:rPr>
          <w:rFonts w:ascii="Times New Roman" w:hAnsi="Times New Roman"/>
          <w:sz w:val="24"/>
        </w:rPr>
        <w:t>The EPA methodology evaluates the indirect carbon intensity of treated municipal tap water distribution (0.0003 kg CO2e/litre) associated with high-pressure pumping, aeration, and chemical filtration. It also models the differential emissions between landfill-bound solid municipal waste (0.5 kg CO2e/kg waste) due to anaerobic methane generation versus sorted recycling/composting streams (0.1 kg CO2e/kg waste), demonstrating an 80% net carbon avoidance through active material diversion.</w:t>
      </w:r>
    </w:p>
    <w:p>
      <w:pPr>
        <w:spacing w:after="120"/>
        <w:jc w:val="both"/>
      </w:pPr>
      <w:r>
        <w:rPr>
          <w:rFonts w:ascii="Times New Roman" w:hAnsi="Times New Roman"/>
          <w:sz w:val="24"/>
        </w:rPr>
        <w:t>The EPA documentation proves that consumer goods manufacturing—particularly textiles and electronic devices—involves massive upstream extraction and fabrication emissions, requiring discrete per-item carbon allowances in personal accounting.</w:t>
      </w:r>
    </w:p>
    <w:p>
      <w:pPr>
        <w:spacing w:after="120"/>
        <w:jc w:val="both"/>
      </w:pPr>
      <w:r>
        <w:rPr>
          <w:rFonts w:ascii="Times New Roman" w:hAnsi="Times New Roman"/>
          <w:sz w:val="24"/>
        </w:rPr>
        <w:t>EcoTrack adopts the EPA's verified coefficients for its Water, Waste, and Consumer Shopping modules. Specifically, EcoTrack credits users for recycling participation by dynamically separating landfill-bound waste from recycled fractions, providing mathematically sound incentives for household zero-waste practices.</w:t>
      </w:r>
    </w:p>
    <w:p>
      <w:pPr>
        <w:spacing w:before="280" w:after="80"/>
      </w:pPr>
      <w:r>
        <w:rPr>
          <w:rFonts w:ascii="Times New Roman" w:hAnsi="Times New Roman"/>
          <w:b/>
          <w:color w:val="1E293B"/>
          <w:sz w:val="27"/>
        </w:rPr>
        <w:t>2.5 BEHAVIORAL INTERVENTIONS AND DIGITAL FEEDBACK IN REDUCING HOUSEHOLD CARBON FOOTPRINTS, M. KENNEY ET AL. (2020)</w:t>
      </w:r>
    </w:p>
    <w:p>
      <w:pPr>
        <w:spacing w:after="120"/>
        <w:jc w:val="both"/>
      </w:pPr>
      <w:r>
        <w:rPr>
          <w:rFonts w:ascii="Times New Roman" w:hAnsi="Times New Roman"/>
          <w:sz w:val="24"/>
        </w:rPr>
        <w:t>This empirical study evaluates the psychological and operational effectiveness of digital eco-feedback applications across 1,200 residential households over an 18-month longitudinal trial. The researchers assessed how numerical carbon displays, historical comparisons, and contextual advice influence sustained behavioral energy conservation.</w:t>
      </w:r>
    </w:p>
    <w:p>
      <w:pPr>
        <w:spacing w:after="120"/>
        <w:jc w:val="both"/>
      </w:pPr>
      <w:r>
        <w:rPr>
          <w:rFonts w:ascii="Times New Roman" w:hAnsi="Times New Roman"/>
          <w:sz w:val="24"/>
        </w:rPr>
        <w:t>The study utilized randomized control trials comparing three intervention groups: Group A received static periodic utility invoices, Group B received raw numerical digital dashboards, and Group C received interactive feedback coupled with personalized behavioral nudges and goal commitments.</w:t>
      </w:r>
    </w:p>
    <w:p>
      <w:pPr>
        <w:spacing w:after="120"/>
        <w:jc w:val="both"/>
      </w:pPr>
      <w:r>
        <w:rPr>
          <w:rFonts w:ascii="Times New Roman" w:hAnsi="Times New Roman"/>
          <w:sz w:val="24"/>
        </w:rPr>
        <w:t>The findings revealed that households in Group C achieved an average verified carbon reduction of 14.8% over the evaluation period, compared to only 2.1% in Group B and 0.4% in Group A. The researchers concluded that quantitative awareness alone is insufficient to drive conservation; users require specific, manageable, and timely guidance on which activities to modify first.</w:t>
      </w:r>
    </w:p>
    <w:p>
      <w:pPr>
        <w:spacing w:after="120"/>
        <w:jc w:val="both"/>
      </w:pPr>
      <w:r>
        <w:rPr>
          <w:rFonts w:ascii="Times New Roman" w:hAnsi="Times New Roman"/>
          <w:sz w:val="24"/>
        </w:rPr>
        <w:t>Kenney et al.'s behavioral findings directly inspired the architecture of EcoTrack's Groq AI Eco-Coach. EcoTrack does not merely present a static footprint; it automatically analyzes the user's highest emission sectors, formulates an achievable monthly goal, and issues bite-sized weekly challenges to maximize real-world behavioral follow-through.</w:t>
      </w:r>
    </w:p>
    <w:p>
      <w:pPr>
        <w:spacing w:before="280" w:after="80"/>
      </w:pPr>
      <w:r>
        <w:rPr>
          <w:rFonts w:ascii="Times New Roman" w:hAnsi="Times New Roman"/>
          <w:b/>
          <w:color w:val="1E293B"/>
          <w:sz w:val="27"/>
        </w:rPr>
        <w:t>2.6 THE DESIGN OF ECO-FEEDBACK TECHNOLOGY: ENHANCING PERSONAL ENVIRONMENTAL AWARENESS, J. FROEHLICH ET AL. (2010)</w:t>
      </w:r>
    </w:p>
    <w:p>
      <w:pPr>
        <w:spacing w:after="120"/>
        <w:jc w:val="both"/>
      </w:pPr>
      <w:r>
        <w:rPr>
          <w:rFonts w:ascii="Times New Roman" w:hAnsi="Times New Roman"/>
          <w:sz w:val="24"/>
        </w:rPr>
        <w:t>This foundational survey in Human-Computer Interaction (HCI) examines the design space of digital environmental feedback systems. The authors analyze motivational techniques, data visualization paradigms, visual aesthetics, and information architectures across 89 environmental monitoring interfaces.</w:t>
      </w:r>
    </w:p>
    <w:p>
      <w:pPr>
        <w:spacing w:after="120"/>
        <w:jc w:val="both"/>
      </w:pPr>
      <w:r>
        <w:rPr>
          <w:rFonts w:ascii="Times New Roman" w:hAnsi="Times New Roman"/>
          <w:sz w:val="24"/>
        </w:rPr>
        <w:t>Froehlich et al. establish key design heuristics for effective eco-technology: real-time computational responsiveness, visual data decomposition using intuitive color-coded charts (e.g., doughnut and trend visualizations), positive reinforcement rather than punitive messaging, and transparent cause-and-effect correlation between user actions and environmental outcomes.</w:t>
      </w:r>
    </w:p>
    <w:p>
      <w:pPr>
        <w:spacing w:after="120"/>
        <w:jc w:val="both"/>
      </w:pPr>
      <w:r>
        <w:rPr>
          <w:rFonts w:ascii="Times New Roman" w:hAnsi="Times New Roman"/>
          <w:sz w:val="24"/>
        </w:rPr>
        <w:t>The paper identifies that interfaces with sluggish response times (&gt;500ms) or cluttered scientific nomenclature create cognitive overload, leading to high user abandonment rates exceeding 65% within the first session.</w:t>
      </w:r>
    </w:p>
    <w:p>
      <w:pPr>
        <w:spacing w:after="120"/>
        <w:jc w:val="both"/>
      </w:pPr>
      <w:r>
        <w:rPr>
          <w:rFonts w:ascii="Times New Roman" w:hAnsi="Times New Roman"/>
          <w:sz w:val="24"/>
        </w:rPr>
        <w:t>EcoTrack rigorously adheres to Froehlich's HCI principles. The frontend is built with React 18, Vite, and Chart.js to deliver instantaneous client-side reactivity, smooth animations, glassmorphic dark-mode aesthetics, and clean doughnut/bar breakdowns that make complex greenhouse gas metrics immediately comprehensible to non-expert users.</w:t>
      </w:r>
    </w:p>
    <w:p>
      <w:pPr>
        <w:spacing w:before="280" w:after="80"/>
      </w:pPr>
      <w:r>
        <w:rPr>
          <w:rFonts w:ascii="Times New Roman" w:hAnsi="Times New Roman"/>
          <w:b/>
          <w:color w:val="1E293B"/>
          <w:sz w:val="27"/>
        </w:rPr>
        <w:t>2.7 APPLICATIONS OF LARGE LANGUAGE MODELS IN CLIMATE CHANGE MITIGATION AND SUSTAINABILITY ADVISORY, A. KULKARNI ET AL. (2024)</w:t>
      </w:r>
    </w:p>
    <w:p>
      <w:pPr>
        <w:spacing w:after="120"/>
        <w:jc w:val="both"/>
      </w:pPr>
      <w:r>
        <w:rPr>
          <w:rFonts w:ascii="Times New Roman" w:hAnsi="Times New Roman"/>
          <w:sz w:val="24"/>
        </w:rPr>
        <w:t>This contemporary investigation explores the integration of advanced Large Language Models (LLMs) and generative conversational agents in translating complex environmental science datasets into personalized climate advisory dialogues. The authors evaluate model accuracy, hallucination risks, and user engagement across various sustainability consulting domains.</w:t>
      </w:r>
    </w:p>
    <w:p>
      <w:pPr>
        <w:spacing w:after="120"/>
        <w:jc w:val="both"/>
      </w:pPr>
      <w:r>
        <w:rPr>
          <w:rFonts w:ascii="Times New Roman" w:hAnsi="Times New Roman"/>
          <w:sz w:val="24"/>
        </w:rPr>
        <w:t>The researchers tested multi-agent and zero-shot prompting techniques on climate policy datasets. A primary finding of the study is that LLMs must never be permitted to perform raw arithmetic or calculate carbon conversion formulas directly, as generative models frequently hallucinate quantitative figures, introducing calculation errors ranging from 20% to over 150%.</w:t>
      </w:r>
    </w:p>
    <w:p>
      <w:pPr>
        <w:spacing w:after="120"/>
        <w:jc w:val="both"/>
      </w:pPr>
      <w:r>
        <w:rPr>
          <w:rFonts w:ascii="Times New Roman" w:hAnsi="Times New Roman"/>
          <w:sz w:val="24"/>
        </w:rPr>
        <w:t>Conversely, when deterministic backend algorithms handle the numerical calculations and feed verified, structured metric payloads into the LLM as immutable context, generative models achieve a 96.4% advisory relevance score, crafting highly customized, empathetic, and context-aware lifestyle recommendations.</w:t>
      </w:r>
    </w:p>
    <w:p>
      <w:pPr>
        <w:spacing w:after="120"/>
        <w:jc w:val="both"/>
      </w:pPr>
      <w:r>
        <w:rPr>
          <w:rFonts w:ascii="Times New Roman" w:hAnsi="Times New Roman"/>
          <w:sz w:val="24"/>
        </w:rPr>
        <w:t>This literature forms the explicit architectural justification for EcoTrack's hybrid system design. EcoTrack completely separates calculation from recommendation: the backend JavaScript engine computes 100% deterministic emissions, which are then formatted into an immutable JSON prompt for Groq AI (gpt-oss-120b) to synthesize engaging natural-language advice without mathematical hallucination.</w:t>
      </w:r>
    </w:p>
    <w:p>
      <w:pPr>
        <w:spacing w:before="280" w:after="80"/>
      </w:pPr>
      <w:r>
        <w:rPr>
          <w:rFonts w:ascii="Times New Roman" w:hAnsi="Times New Roman"/>
          <w:b/>
          <w:color w:val="1E293B"/>
          <w:sz w:val="27"/>
        </w:rPr>
        <w:t>2.8 PERSONALIZED WEB-BASED FEEDBACK ON HOUSEHOLD ENERGY AND CARBON REDUCTION, R. M. J. BENDERS ET AL. (2006)</w:t>
      </w:r>
    </w:p>
    <w:p>
      <w:pPr>
        <w:spacing w:after="120"/>
        <w:jc w:val="both"/>
      </w:pPr>
      <w:r>
        <w:rPr>
          <w:rFonts w:ascii="Times New Roman" w:hAnsi="Times New Roman"/>
          <w:sz w:val="24"/>
        </w:rPr>
        <w:t>This pioneering environmental engineering research investigates the implementation and efficacy of computer-based carbon calculators in educating citizens on direct and indirect energy consumption. The authors developed an interactive carbon accounting tool evaluated across residential cohorts in the Netherlands.</w:t>
      </w:r>
    </w:p>
    <w:p>
      <w:pPr>
        <w:spacing w:after="120"/>
        <w:jc w:val="both"/>
      </w:pPr>
      <w:r>
        <w:rPr>
          <w:rFonts w:ascii="Times New Roman" w:hAnsi="Times New Roman"/>
          <w:sz w:val="24"/>
        </w:rPr>
        <w:t>The methodology coupled user-reported consumer consumption metrics with an environmental input-output matrix, allowing participants to experiment with hypothetical lifestyle modifications (e.g., reducing thermostat temperatures or altering commute routes) and observe projected emission savings in real time.</w:t>
      </w:r>
    </w:p>
    <w:p>
      <w:pPr>
        <w:spacing w:after="120"/>
        <w:jc w:val="both"/>
      </w:pPr>
      <w:r>
        <w:rPr>
          <w:rFonts w:ascii="Times New Roman" w:hAnsi="Times New Roman"/>
          <w:sz w:val="24"/>
        </w:rPr>
        <w:t>The experimental results demonstrated that personalized interactive feedback produced a statistically significant 8.5% household direct energy reduction and a 6.2% total carbon footprint curtailment that persisted beyond two billing cycles.</w:t>
      </w:r>
    </w:p>
    <w:p>
      <w:pPr>
        <w:spacing w:after="120"/>
        <w:jc w:val="both"/>
      </w:pPr>
      <w:r>
        <w:rPr>
          <w:rFonts w:ascii="Times New Roman" w:hAnsi="Times New Roman"/>
          <w:sz w:val="24"/>
        </w:rPr>
        <w:t>Benders et al.'s findings substantiate EcoTrack's interactive calculation methodology. EcoTrack provides live slider controls and instant parameter toggling, allowing users to immediately simulate how transitioning from a petrol vehicle to public rail transit or adopting a vegetarian diet improves their overall Eco Score in real time.</w:t>
      </w:r>
    </w:p>
    <w:p>
      <w:pPr>
        <w:spacing w:before="280" w:after="80"/>
      </w:pPr>
      <w:r>
        <w:rPr>
          <w:rFonts w:ascii="Times New Roman" w:hAnsi="Times New Roman"/>
          <w:b/>
          <w:color w:val="1E293B"/>
          <w:sz w:val="27"/>
        </w:rPr>
        <w:t>2.9 GAMIFICATION MECHANICS AND SELF-EFFICACY IN ENVIRONMENTAL BEHAVIOR CHANGE PLATFORMS, J. HAN AND S.-J. YUN (2024)</w:t>
      </w:r>
    </w:p>
    <w:p>
      <w:pPr>
        <w:spacing w:after="120"/>
        <w:jc w:val="both"/>
      </w:pPr>
      <w:r>
        <w:rPr>
          <w:rFonts w:ascii="Times New Roman" w:hAnsi="Times New Roman"/>
          <w:sz w:val="24"/>
        </w:rPr>
        <w:t>This recent empirical study investigates how gamification frameworks—including milestone badges, tiered achievement levels, continuous streaks, and digital certification—influence self-efficacy and long-term user retention in environmental monitoring applications.</w:t>
      </w:r>
    </w:p>
    <w:p>
      <w:pPr>
        <w:spacing w:after="120"/>
        <w:jc w:val="both"/>
      </w:pPr>
      <w:r>
        <w:rPr>
          <w:rFonts w:ascii="Times New Roman" w:hAnsi="Times New Roman"/>
          <w:sz w:val="24"/>
        </w:rPr>
        <w:t>The authors conducted a multi-month trial with 450 participants, contrasting traditional non-gamified carbon logging tools against platforms equipped with progressive achievement tiers and social sharing artifacts. Self-efficacy was measured using standardized psychological scales alongside telemetry tracking session frequencies.</w:t>
      </w:r>
    </w:p>
    <w:p>
      <w:pPr>
        <w:spacing w:after="120"/>
        <w:jc w:val="both"/>
      </w:pPr>
      <w:r>
        <w:rPr>
          <w:rFonts w:ascii="Times New Roman" w:hAnsi="Times New Roman"/>
          <w:sz w:val="24"/>
        </w:rPr>
        <w:t>Participants utilizing gamified platforms exhibited a 3.4x higher weekly check-in frequency and completed 64% more voluntary conservation actions compared to users in the control group. The study proved that tangible recognition artifacts (such as verifiable completion certificates) solidify intrinsic environmental commitment.</w:t>
      </w:r>
    </w:p>
    <w:p>
      <w:pPr>
        <w:spacing w:after="120"/>
        <w:jc w:val="both"/>
      </w:pPr>
      <w:r>
        <w:rPr>
          <w:rFonts w:ascii="Times New Roman" w:hAnsi="Times New Roman"/>
          <w:sz w:val="24"/>
        </w:rPr>
        <w:t>EcoTrack operationalizes these gamification findings through its 4-tier status progression (Eco Champion, Eco Conscious, Needs Improvement, High Carbon Impact), green challenge badges, and automated PDF Environmental Audit Certificate generator, transforming repetitive footprint tracking into an intrinsically rewarding personal achievement journey.</w:t>
      </w:r>
    </w:p>
    <w:p>
      <w:pPr>
        <w:spacing w:before="280" w:after="80"/>
      </w:pPr>
      <w:r>
        <w:rPr>
          <w:rFonts w:ascii="Times New Roman" w:hAnsi="Times New Roman"/>
          <w:b/>
          <w:color w:val="1E293B"/>
          <w:sz w:val="27"/>
        </w:rPr>
        <w:t>2.10 EVALUATION OF QUALITY, SECURITY, AND ALGORITHMIC RIGOR IN CLIMATE ACTION MOBILE AND WEB APPLICATIONS, A. SCIARRETTA ET AL. (2022)</w:t>
      </w:r>
    </w:p>
    <w:p>
      <w:pPr>
        <w:spacing w:after="120"/>
        <w:jc w:val="both"/>
      </w:pPr>
      <w:r>
        <w:rPr>
          <w:rFonts w:ascii="Times New Roman" w:hAnsi="Times New Roman"/>
          <w:sz w:val="24"/>
        </w:rPr>
        <w:t>This comprehensive software engineering review evaluates 64 commercially available carbon footprint and climate action applications available across web and mobile marketplaces. The researchers audited application architecture, security postures, algorithmic transparency, and compliance with data privacy regulations.</w:t>
      </w:r>
    </w:p>
    <w:p>
      <w:pPr>
        <w:spacing w:after="120"/>
        <w:jc w:val="both"/>
      </w:pPr>
      <w:r>
        <w:rPr>
          <w:rFonts w:ascii="Times New Roman" w:hAnsi="Times New Roman"/>
          <w:sz w:val="24"/>
        </w:rPr>
        <w:t>The audit revealed widespread systemic software deficiencies across existing tools: over 58% of surveyed calculators lacked any documented emission factor sources, 42% suffered from insecure data transmission or unencrypted user profiling, and less than 15% provided multi-factor access control or audit trails. Crucially, none of the audited applications offered verified, exportable PDF audit statements for compliance or academic use.</w:t>
      </w:r>
    </w:p>
    <w:p>
      <w:pPr>
        <w:spacing w:after="120"/>
        <w:jc w:val="both"/>
      </w:pPr>
      <w:r>
        <w:rPr>
          <w:rFonts w:ascii="Times New Roman" w:hAnsi="Times New Roman"/>
          <w:sz w:val="24"/>
        </w:rPr>
        <w:t>The authors formulated a technical recommendation framework emphasizing the necessity of modern REST API architectures, enterprise-grade cloud authentication, robust data encryption at rest and in transit, and transparent algorithmic provenance.</w:t>
      </w:r>
    </w:p>
    <w:p>
      <w:pPr>
        <w:spacing w:after="120"/>
        <w:jc w:val="both"/>
      </w:pPr>
      <w:r>
        <w:rPr>
          <w:rFonts w:ascii="Times New Roman" w:hAnsi="Times New Roman"/>
          <w:sz w:val="24"/>
        </w:rPr>
        <w:t>EcoTrack was engineered from the ground up to overcome every limitation documented by Sciarretta et al. EcoTrack implements enterprise security via Supabase JWT Bearer authentication, Row-Level Security (RLS) policies guaranteeing strict multi-tenant database isolation, Helmet HTTP security headers, CORS origin whitelisting, rate limiting, and automated PDFKit audit certification.</w:t>
      </w:r>
    </w:p>
    <w:p>
      <w:r>
        <w:br w:type="page"/>
      </w:r>
    </w:p>
    <w:p>
      <w:pPr>
        <w:spacing w:before="360" w:after="80"/>
        <w:jc w:val="center"/>
      </w:pPr>
      <w:r>
        <w:rPr>
          <w:rFonts w:ascii="Times New Roman" w:hAnsi="Times New Roman"/>
          <w:b/>
          <w:color w:val="0F172A"/>
          <w:sz w:val="32"/>
        </w:rPr>
        <w:t>CHAPTER 3</w:t>
      </w:r>
    </w:p>
    <w:p>
      <w:pPr>
        <w:spacing w:before="40" w:after="360"/>
        <w:jc w:val="center"/>
      </w:pPr>
      <w:r>
        <w:rPr>
          <w:rFonts w:ascii="Times New Roman" w:hAnsi="Times New Roman"/>
          <w:b/>
          <w:color w:val="10B981"/>
          <w:sz w:val="30"/>
        </w:rPr>
        <w:t>EXISTING SYSTEM</w:t>
      </w:r>
    </w:p>
    <w:p>
      <w:pPr>
        <w:spacing w:before="280" w:after="80"/>
      </w:pPr>
      <w:r>
        <w:rPr>
          <w:rFonts w:ascii="Times New Roman" w:hAnsi="Times New Roman"/>
          <w:b/>
          <w:color w:val="1E293B"/>
          <w:sz w:val="27"/>
        </w:rPr>
        <w:t>3.1 EXISTING SYSTEM OVERVIEW</w:t>
      </w:r>
    </w:p>
    <w:p>
      <w:pPr>
        <w:spacing w:after="120"/>
        <w:jc w:val="both"/>
      </w:pPr>
      <w:r>
        <w:rPr>
          <w:rFonts w:ascii="Times New Roman" w:hAnsi="Times New Roman"/>
          <w:sz w:val="24"/>
        </w:rPr>
        <w:t>Traditional and existing approaches to individual and institutional carbon footprint auditing rely predominantly on manual observation, unverified personal spreadsheets, and isolated, single-session web forms. In most academic, residential, and corporate settings, individuals attempting to measure their environmental impact collect disconnected physical utility invoices, fuel receipts, and travel itineraries, attempting to apply approximate conversion rules obtained from diverse internet sources.</w:t>
      </w:r>
    </w:p>
    <w:p>
      <w:pPr>
        <w:spacing w:after="120"/>
        <w:jc w:val="both"/>
      </w:pPr>
      <w:r>
        <w:rPr>
          <w:rFonts w:ascii="Times New Roman" w:hAnsi="Times New Roman"/>
          <w:sz w:val="24"/>
        </w:rPr>
        <w:t>Commercial web calculators currently available in the public domain typically present rudimentary questionnaires consisting of three or four generalized fields (e.g., 'approximate monthly electricity expense in dollars' and 'general vehicle type'). These tools suffer from severe architectural limitations: they utilize static, opaque conversion formulas that cannot be inspected, fail to account for regional electrical grid compositions, completely ignore food and consumer shopping lifecycles, and operate as stateless web pages that discard calculation data the moment the user navigates away. The workflow of existing conventional carbon estimation systems is illustrated in Figure 3.1.</w:t>
      </w:r>
    </w:p>
    <w:p>
      <w:pPr>
        <w:spacing w:before="200" w:after="120"/>
        <w:jc w:val="center"/>
      </w:pPr>
      <w:r>
        <w:drawing>
          <wp:inline xmlns:a="http://schemas.openxmlformats.org/drawingml/2006/main" xmlns:pic="http://schemas.openxmlformats.org/drawingml/2006/picture">
            <wp:extent cx="5486400" cy="3241964"/>
            <wp:docPr id="1" name="Picture 1"/>
            <wp:cNvGraphicFramePr>
              <a:graphicFrameLocks noChangeAspect="1"/>
            </wp:cNvGraphicFramePr>
            <a:graphic>
              <a:graphicData uri="http://schemas.openxmlformats.org/drawingml/2006/picture">
                <pic:pic>
                  <pic:nvPicPr>
                    <pic:cNvPr id="0" name="figure_3_1_existing_system.png"/>
                    <pic:cNvPicPr/>
                  </pic:nvPicPr>
                  <pic:blipFill>
                    <a:blip r:embed="rId9"/>
                    <a:stretch>
                      <a:fillRect/>
                    </a:stretch>
                  </pic:blipFill>
                  <pic:spPr>
                    <a:xfrm>
                      <a:off x="0" y="0"/>
                      <a:ext cx="5486400" cy="3241964"/>
                    </a:xfrm>
                    <a:prstGeom prst="rect"/>
                  </pic:spPr>
                </pic:pic>
              </a:graphicData>
            </a:graphic>
          </wp:inline>
        </w:drawing>
      </w:r>
    </w:p>
    <w:p>
      <w:pPr>
        <w:spacing w:before="40" w:after="280"/>
        <w:jc w:val="center"/>
      </w:pPr>
      <w:r>
        <w:rPr>
          <w:rFonts w:ascii="Times New Roman" w:hAnsi="Times New Roman"/>
          <w:b/>
          <w:i/>
          <w:color w:val="475569"/>
          <w:sz w:val="21"/>
        </w:rPr>
        <w:t>Figure 3.1: Existing Conventional Carbon Accounting System Workflow and Inherent Limitations</w:t>
      </w:r>
    </w:p>
    <w:p>
      <w:pPr>
        <w:spacing w:before="280" w:after="80"/>
      </w:pPr>
      <w:r>
        <w:rPr>
          <w:rFonts w:ascii="Times New Roman" w:hAnsi="Times New Roman"/>
          <w:b/>
          <w:color w:val="1E293B"/>
          <w:sz w:val="27"/>
        </w:rPr>
        <w:t>3.2 DISADVANTAGES OF THE EXISTING SYSTEM</w:t>
      </w:r>
    </w:p>
    <w:p>
      <w:pPr>
        <w:spacing w:after="120"/>
        <w:jc w:val="both"/>
      </w:pPr>
      <w:r>
        <w:rPr>
          <w:rFonts w:ascii="Times New Roman" w:hAnsi="Times New Roman"/>
          <w:sz w:val="24"/>
        </w:rPr>
        <w:t>The conventional carbon accounting and sustainability assessment paradigm exhibits multiple structural flaws, including:</w:t>
      </w:r>
    </w:p>
    <w:p>
      <w:pPr>
        <w:pStyle w:val="ListParagraph"/>
        <w:spacing w:after="60"/>
      </w:pPr>
      <w:r>
        <w:rPr>
          <w:rFonts w:ascii="Times New Roman" w:hAnsi="Times New Roman"/>
          <w:sz w:val="23"/>
        </w:rPr>
        <w:t>•  High Mathematical Inaccuracy and Calculation Discrepancies: Reliance on rough user approximations and unverified, non-standardized conversion coefficients results in estimation variances exceeding ±45% across different tools.</w:t>
      </w:r>
    </w:p>
    <w:p>
      <w:pPr>
        <w:pStyle w:val="ListParagraph"/>
        <w:spacing w:after="60"/>
      </w:pPr>
      <w:r>
        <w:rPr>
          <w:rFonts w:ascii="Times New Roman" w:hAnsi="Times New Roman"/>
          <w:sz w:val="23"/>
        </w:rPr>
        <w:t>•  Omission of Vital Consumption Categories: Crucial lifestyle emission drivers—including dietary food composition, municipal solid waste recycling fractions, consumer retail purchases, and indirect aviation emissions—are omitted entirely from standard calculators.</w:t>
      </w:r>
    </w:p>
    <w:p>
      <w:pPr>
        <w:pStyle w:val="ListParagraph"/>
        <w:spacing w:after="60"/>
      </w:pPr>
      <w:r>
        <w:rPr>
          <w:rFonts w:ascii="Times New Roman" w:hAnsi="Times New Roman"/>
          <w:sz w:val="23"/>
        </w:rPr>
        <w:t>•  Zero Personalization and Non-Actionable Guidance: Existing systems produce generic, one-size-fits-all aphorisms ('turn off unused lights') that fail to identify the user's primary emission hotspots or calculate realistic potential kilogram savings.</w:t>
      </w:r>
    </w:p>
    <w:p>
      <w:pPr>
        <w:pStyle w:val="ListParagraph"/>
        <w:spacing w:after="60"/>
      </w:pPr>
      <w:r>
        <w:rPr>
          <w:rFonts w:ascii="Times New Roman" w:hAnsi="Times New Roman"/>
          <w:sz w:val="23"/>
        </w:rPr>
        <w:t>•  Ephemeral Single-Session Architecture: Lack of persistent cloud database storage prevents users from monitoring longitudinal progress, tracking seasonal trends, or assessing whether lifestyle modifications actually reduced emissions.</w:t>
      </w:r>
    </w:p>
    <w:p>
      <w:pPr>
        <w:pStyle w:val="ListParagraph"/>
        <w:spacing w:after="60"/>
      </w:pPr>
      <w:r>
        <w:rPr>
          <w:rFonts w:ascii="Times New Roman" w:hAnsi="Times New Roman"/>
          <w:sz w:val="23"/>
        </w:rPr>
        <w:t>•  Absence of Formal Audit Verification: Conventional calculators do not provide tamper-evident documentation, downloadable certification, or verifiable audit trails suitable for academic submissions or institutional reporting.</w:t>
      </w:r>
    </w:p>
    <w:p>
      <w:pPr>
        <w:pStyle w:val="ListParagraph"/>
        <w:spacing w:after="60"/>
      </w:pPr>
      <w:r>
        <w:rPr>
          <w:rFonts w:ascii="Times New Roman" w:hAnsi="Times New Roman"/>
          <w:sz w:val="23"/>
        </w:rPr>
        <w:t>•  Poor User Engagement and High Abandonment: Static, dry numerical interfaces lack gamification, milestone tiers, or responsive micro-interactions, leading to over 78% single-visit user churn.</w:t>
      </w:r>
    </w:p>
    <w:p>
      <w:r>
        <w:br w:type="page"/>
      </w:r>
    </w:p>
    <w:p>
      <w:pPr>
        <w:spacing w:before="360" w:after="80"/>
        <w:jc w:val="center"/>
      </w:pPr>
      <w:r>
        <w:rPr>
          <w:rFonts w:ascii="Times New Roman" w:hAnsi="Times New Roman"/>
          <w:b/>
          <w:color w:val="0F172A"/>
          <w:sz w:val="32"/>
        </w:rPr>
        <w:t>CHAPTER 4</w:t>
      </w:r>
    </w:p>
    <w:p>
      <w:pPr>
        <w:spacing w:before="40" w:after="360"/>
        <w:jc w:val="center"/>
      </w:pPr>
      <w:r>
        <w:rPr>
          <w:rFonts w:ascii="Times New Roman" w:hAnsi="Times New Roman"/>
          <w:b/>
          <w:color w:val="10B981"/>
          <w:sz w:val="30"/>
        </w:rPr>
        <w:t>PROBLEMS IDENTIFIED</w:t>
      </w:r>
    </w:p>
    <w:p>
      <w:pPr>
        <w:spacing w:after="120"/>
        <w:jc w:val="both"/>
      </w:pPr>
      <w:r>
        <w:rPr>
          <w:rFonts w:ascii="Times New Roman" w:hAnsi="Times New Roman"/>
          <w:sz w:val="24"/>
        </w:rPr>
        <w:t>Through thorough domain analysis, technical benchmarking of contemporary sustainability software, and empirical review of published environmental studies literature, five fundamental architectural and operational problems have been identified:</w:t>
      </w:r>
    </w:p>
    <w:p>
      <w:pPr>
        <w:spacing w:after="120"/>
        <w:jc w:val="both"/>
      </w:pPr>
      <w:r>
        <w:rPr>
          <w:rFonts w:ascii="Times New Roman" w:hAnsi="Times New Roman"/>
          <w:sz w:val="24"/>
        </w:rPr>
        <w:t>1. Epistemological Disconnect Between Raw Data and Behavioral Action: Existing carbon calculators treat emissions calculation as an end in itself. When a user is presented with an abstract figure such as '640 kg CO2e/month', they experience cognitive paralysis because raw metrics convey neither context nor a concrete roadmap for remediation. The lack of an intelligent advisory intermediary prevents the translation of awareness into carbon reduction.</w:t>
      </w:r>
    </w:p>
    <w:p>
      <w:pPr>
        <w:spacing w:after="120"/>
        <w:jc w:val="both"/>
      </w:pPr>
      <w:r>
        <w:rPr>
          <w:rFonts w:ascii="Times New Roman" w:hAnsi="Times New Roman"/>
          <w:sz w:val="24"/>
        </w:rPr>
        <w:t>2. Flawed and Non-Standardized Mathematical Foundations: The carbon calculation landscape is plagued by conflicting equations. Many consumer tools multiply currency expenditures (e.g., '$100 spent on fuel') by arbitrary constants rather than multiplying physical activity units (kilometers traveled, kWh consumed) by IPCC-validated emission coefficients, introducing massive inflationary and regional distortions.</w:t>
      </w:r>
    </w:p>
    <w:p>
      <w:pPr>
        <w:spacing w:after="120"/>
        <w:jc w:val="both"/>
      </w:pPr>
      <w:r>
        <w:rPr>
          <w:rFonts w:ascii="Times New Roman" w:hAnsi="Times New Roman"/>
          <w:sz w:val="24"/>
        </w:rPr>
        <w:t>3. Critical Algorithmic Risks in Emerging AI Applications: Recent attempts to incorporate Artificial Intelligence into sustainability tools have frequently succumbed to generative hallucination. When generative models are tasked with directly calculating arithmetic sums, they produce erratic, unrepeatable results. A robust software architecture must guarantee mathematical determinism while leveraging AI strictly for contextual reasoning and natural language synthesis.</w:t>
      </w:r>
    </w:p>
    <w:p>
      <w:pPr>
        <w:spacing w:after="120"/>
        <w:jc w:val="both"/>
      </w:pPr>
      <w:r>
        <w:rPr>
          <w:rFonts w:ascii="Times New Roman" w:hAnsi="Times New Roman"/>
          <w:sz w:val="24"/>
        </w:rPr>
        <w:t>4. Severe Data Isolation and Insecure State Management: Contemporary environmental tools lack enterprise data modeling. Personal habits, travel logs, and billing history are frequently captured in unencrypted, insecure client storage or discarded entirely, depriving environmental researchers and users of longitudinal time-series data necessary to observe decumulative carbon savings over multiple months.</w:t>
      </w:r>
    </w:p>
    <w:p>
      <w:pPr>
        <w:spacing w:after="120"/>
        <w:jc w:val="both"/>
      </w:pPr>
      <w:r>
        <w:rPr>
          <w:rFonts w:ascii="Times New Roman" w:hAnsi="Times New Roman"/>
          <w:sz w:val="24"/>
        </w:rPr>
        <w:t>5. Absence of Verified Environmental Certification: In educational institutions, corporate sustainability programs, and green building audits, participants require verifiable evidence of their environmental evaluations. Conventional calculators provide no signed, verifiable PDF audit artifacts or cryptographic hashes confirming the integrity of reported metrics.</w:t>
      </w:r>
    </w:p>
    <w:p>
      <w:r>
        <w:br w:type="page"/>
      </w:r>
    </w:p>
    <w:p>
      <w:pPr>
        <w:spacing w:before="360" w:after="80"/>
        <w:jc w:val="center"/>
      </w:pPr>
      <w:r>
        <w:rPr>
          <w:rFonts w:ascii="Times New Roman" w:hAnsi="Times New Roman"/>
          <w:b/>
          <w:color w:val="0F172A"/>
          <w:sz w:val="32"/>
        </w:rPr>
        <w:t>CHAPTER 5</w:t>
      </w:r>
    </w:p>
    <w:p>
      <w:pPr>
        <w:spacing w:before="40" w:after="360"/>
        <w:jc w:val="center"/>
      </w:pPr>
      <w:r>
        <w:rPr>
          <w:rFonts w:ascii="Times New Roman" w:hAnsi="Times New Roman"/>
          <w:b/>
          <w:color w:val="10B981"/>
          <w:sz w:val="30"/>
        </w:rPr>
        <w:t>PROPOSED SYSTEM</w:t>
      </w:r>
    </w:p>
    <w:p>
      <w:pPr>
        <w:spacing w:before="280" w:after="80"/>
      </w:pPr>
      <w:r>
        <w:rPr>
          <w:rFonts w:ascii="Times New Roman" w:hAnsi="Times New Roman"/>
          <w:b/>
          <w:color w:val="1E293B"/>
          <w:sz w:val="27"/>
        </w:rPr>
        <w:t>5.1 PROPOSED SYSTEM OVERVIEW</w:t>
      </w:r>
    </w:p>
    <w:p>
      <w:pPr>
        <w:spacing w:after="120"/>
        <w:jc w:val="both"/>
      </w:pPr>
      <w:r>
        <w:rPr>
          <w:rFonts w:ascii="Times New Roman" w:hAnsi="Times New Roman"/>
          <w:sz w:val="24"/>
        </w:rPr>
        <w:t>The proposed EcoTrack platform is an advanced, full-stack, enterprise-grade environmental accounting and artificial intelligence sustainability platform engineered specifically to overcome the structural deficiencies of conventional calculators. EcoTrack seamlessly unifies a responsive React 18 client application, a hardened Express.js REST API gateway, an authoritative deterministic calculation engine, a high-throughput Groq AI recommendation service (gpt-oss-120b), an enterprise Supabase PostgreSQL relational database with Row-Level Security, and automated PDF certification services.</w:t>
      </w:r>
    </w:p>
    <w:p>
      <w:pPr>
        <w:spacing w:after="120"/>
        <w:jc w:val="both"/>
      </w:pPr>
      <w:r>
        <w:rPr>
          <w:rFonts w:ascii="Times New Roman" w:hAnsi="Times New Roman"/>
          <w:sz w:val="24"/>
        </w:rPr>
        <w:t>EcoTrack enables users to conduct detailed, multi-category greenhouse gas audits, receive instant visual analytics with interactive Chart.js visualizations, explore customized AI reduction plans, set measurable monthly targets, and generate official Environmental Audit Statements.</w:t>
      </w:r>
    </w:p>
    <w:p>
      <w:pPr>
        <w:spacing w:before="280" w:after="80"/>
      </w:pPr>
      <w:r>
        <w:rPr>
          <w:rFonts w:ascii="Times New Roman" w:hAnsi="Times New Roman"/>
          <w:b/>
          <w:color w:val="1E293B"/>
          <w:sz w:val="27"/>
        </w:rPr>
        <w:t>5.2 DETERMINISTIC EMISSION CALCULATION ENGINE</w:t>
      </w:r>
    </w:p>
    <w:p>
      <w:pPr>
        <w:spacing w:after="120"/>
        <w:jc w:val="both"/>
      </w:pPr>
      <w:r>
        <w:rPr>
          <w:rFonts w:ascii="Times New Roman" w:hAnsi="Times New Roman"/>
          <w:sz w:val="24"/>
        </w:rPr>
        <w:t>At the core of EcoTrack is a 100% deterministic, mathematically immutable calculation service implemented in backend/src/services/calculatorService.js and parameterized by backend/src/services/emissionFactorService.js. The engine strictly utilizes physical activity data mapped to authoritative IPCC 2019, US EPA 2023, and UK DEFRA 2023 emission factors. Emissions are calculated across 7 exhaustive categories:</w:t>
      </w:r>
    </w:p>
    <w:p>
      <w:pPr>
        <w:spacing w:after="120"/>
        <w:jc w:val="both"/>
      </w:pPr>
      <w:r>
        <w:rPr>
          <w:rFonts w:ascii="Times New Roman" w:hAnsi="Times New Roman"/>
          <w:sz w:val="24"/>
        </w:rPr>
        <w:t>1. Transportation Emissions (E_trans): Computes direct mobile combustion based on selected commute mode (m) and monthly distance traveled (d_km):</w:t>
      </w:r>
    </w:p>
    <w:p>
      <w:pPr>
        <w:spacing w:after="120"/>
        <w:jc w:val="both"/>
      </w:pPr>
      <w:r>
        <w:rPr>
          <w:rFonts w:ascii="Times New Roman" w:hAnsi="Times New Roman"/>
          <w:sz w:val="24"/>
        </w:rPr>
        <w:t xml:space="preserve">   E_trans = d_km × EF_transport(m)  [kg CO2e]</w:t>
      </w:r>
    </w:p>
    <w:p>
      <w:pPr>
        <w:spacing w:after="120"/>
        <w:jc w:val="both"/>
      </w:pPr>
      <w:r>
        <w:rPr>
          <w:rFonts w:ascii="Times New Roman" w:hAnsi="Times New Roman"/>
          <w:sz w:val="24"/>
        </w:rPr>
        <w:t xml:space="preserve">   Supported factors include: Petrol Car (0.192), Diesel Car (0.171), Hybrid Car (0.110), Electric Vehicle (0.053), Motorcycle (0.103), Public Bus (0.089), Transit Train (0.041), Bicycle (0.000), and Walking (0.000 kg CO2e/km).</w:t>
      </w:r>
    </w:p>
    <w:p>
      <w:pPr>
        <w:spacing w:after="120"/>
        <w:jc w:val="both"/>
      </w:pPr>
      <w:r>
        <w:rPr>
          <w:rFonts w:ascii="Times New Roman" w:hAnsi="Times New Roman"/>
          <w:sz w:val="24"/>
        </w:rPr>
        <w:t>2. Electricity Emissions (E_elec): Computes indirect stationary combustion based on monthly consumption (kWh) and clean renewable self-generation percentage (r_pct):</w:t>
      </w:r>
    </w:p>
    <w:p>
      <w:pPr>
        <w:spacing w:after="120"/>
        <w:jc w:val="both"/>
      </w:pPr>
      <w:r>
        <w:rPr>
          <w:rFonts w:ascii="Times New Roman" w:hAnsi="Times New Roman"/>
          <w:sz w:val="24"/>
        </w:rPr>
        <w:t xml:space="preserve">   E_elec = kWh × (1 - (r_pct / 100)) × 0.475  [kg CO2e]</w:t>
      </w:r>
    </w:p>
    <w:p>
      <w:pPr>
        <w:spacing w:after="120"/>
        <w:jc w:val="both"/>
      </w:pPr>
      <w:r>
        <w:rPr>
          <w:rFonts w:ascii="Times New Roman" w:hAnsi="Times New Roman"/>
          <w:sz w:val="24"/>
        </w:rPr>
        <w:t>3. Municipal Water Emissions (E_water): Accounts for high-pressure distribution, aeration, and treatment:</w:t>
      </w:r>
    </w:p>
    <w:p>
      <w:pPr>
        <w:spacing w:after="120"/>
        <w:jc w:val="both"/>
      </w:pPr>
      <w:r>
        <w:rPr>
          <w:rFonts w:ascii="Times New Roman" w:hAnsi="Times New Roman"/>
          <w:sz w:val="24"/>
        </w:rPr>
        <w:t xml:space="preserve">   E_water = litres_per_day × days × 0.0003  [kg CO2e]</w:t>
      </w:r>
    </w:p>
    <w:p>
      <w:pPr>
        <w:spacing w:after="120"/>
        <w:jc w:val="both"/>
      </w:pPr>
      <w:r>
        <w:rPr>
          <w:rFonts w:ascii="Times New Roman" w:hAnsi="Times New Roman"/>
          <w:sz w:val="24"/>
        </w:rPr>
        <w:t>4. Food &amp; Dietary Emissions (E_food): Computes monthly agricultural and processing lifecycle emissions based on dietary classification:</w:t>
      </w:r>
    </w:p>
    <w:p>
      <w:pPr>
        <w:spacing w:after="120"/>
        <w:jc w:val="both"/>
      </w:pPr>
      <w:r>
        <w:rPr>
          <w:rFonts w:ascii="Times New Roman" w:hAnsi="Times New Roman"/>
          <w:sz w:val="24"/>
        </w:rPr>
        <w:t xml:space="preserve">   E_food = EF_food(diet) × 30  [kg CO2e]</w:t>
      </w:r>
    </w:p>
    <w:p>
      <w:pPr>
        <w:spacing w:after="120"/>
        <w:jc w:val="both"/>
      </w:pPr>
      <w:r>
        <w:rPr>
          <w:rFonts w:ascii="Times New Roman" w:hAnsi="Times New Roman"/>
          <w:sz w:val="24"/>
        </w:rPr>
        <w:t xml:space="preserve">   Supported diet tiers: Vegan (1.50), Vegetarian (1.70), Pescatarian (1.90), Low Meat (2.10), Mixed Omnivore (2.50), and Heavy Meat (3.30 kg CO2e/day).</w:t>
      </w:r>
    </w:p>
    <w:p>
      <w:pPr>
        <w:spacing w:after="120"/>
        <w:jc w:val="both"/>
      </w:pPr>
      <w:r>
        <w:rPr>
          <w:rFonts w:ascii="Times New Roman" w:hAnsi="Times New Roman"/>
          <w:sz w:val="24"/>
        </w:rPr>
        <w:t>5. Municipal Solid Waste Emissions (E_waste): Dynamically separates landfill-bound waste from recycled streams:</w:t>
      </w:r>
    </w:p>
    <w:p>
      <w:pPr>
        <w:spacing w:after="120"/>
        <w:jc w:val="both"/>
      </w:pPr>
      <w:r>
        <w:rPr>
          <w:rFonts w:ascii="Times New Roman" w:hAnsi="Times New Roman"/>
          <w:sz w:val="24"/>
        </w:rPr>
        <w:t xml:space="preserve">   E_waste = [waste_kg × (1 - rec_pct) × 0.50] + [waste_kg × rec_pct × 0.10]  [kg CO2e]</w:t>
      </w:r>
    </w:p>
    <w:p>
      <w:pPr>
        <w:spacing w:after="120"/>
        <w:jc w:val="both"/>
      </w:pPr>
      <w:r>
        <w:rPr>
          <w:rFonts w:ascii="Times New Roman" w:hAnsi="Times New Roman"/>
          <w:sz w:val="24"/>
        </w:rPr>
        <w:t>6. Consumer Shopping Goods (E_shop): Quantifies embodied manufacturing and supply chain emissions:</w:t>
      </w:r>
    </w:p>
    <w:p>
      <w:pPr>
        <w:spacing w:after="120"/>
        <w:jc w:val="both"/>
      </w:pPr>
      <w:r>
        <w:rPr>
          <w:rFonts w:ascii="Times New Roman" w:hAnsi="Times New Roman"/>
          <w:sz w:val="24"/>
        </w:rPr>
        <w:t xml:space="preserve">   E_shop = (clothing_items × 15.0) + (electronics_items × 50.0) + (general_items × 10.0)  [kg CO2e]</w:t>
      </w:r>
    </w:p>
    <w:p>
      <w:pPr>
        <w:spacing w:after="120"/>
        <w:jc w:val="both"/>
      </w:pPr>
      <w:r>
        <w:rPr>
          <w:rFonts w:ascii="Times New Roman" w:hAnsi="Times New Roman"/>
          <w:sz w:val="24"/>
        </w:rPr>
        <w:t>7. Intercity Travel &amp; Aviation (E_travel): Calculates long-distance passenger transit:</w:t>
      </w:r>
    </w:p>
    <w:p>
      <w:pPr>
        <w:spacing w:after="120"/>
        <w:jc w:val="both"/>
      </w:pPr>
      <w:r>
        <w:rPr>
          <w:rFonts w:ascii="Times New Roman" w:hAnsi="Times New Roman"/>
          <w:sz w:val="24"/>
        </w:rPr>
        <w:t xml:space="preserve">   E_travel = (domestic_flights × 250.0) + (intl_flights × 1000.0) + (train_trips × 50.0)  [kg CO2e]</w:t>
      </w:r>
    </w:p>
    <w:p>
      <w:pPr>
        <w:spacing w:after="120"/>
        <w:jc w:val="both"/>
      </w:pPr>
      <w:r>
        <w:rPr>
          <w:rFonts w:ascii="Times New Roman" w:hAnsi="Times New Roman"/>
          <w:sz w:val="24"/>
        </w:rPr>
        <w:t>Total Monthly Emissions (E_total) is the exact deterministic sum:</w:t>
      </w:r>
    </w:p>
    <w:p>
      <w:pPr>
        <w:spacing w:after="120"/>
        <w:jc w:val="both"/>
      </w:pPr>
      <w:r>
        <w:rPr>
          <w:rFonts w:ascii="Times New Roman" w:hAnsi="Times New Roman"/>
          <w:sz w:val="24"/>
        </w:rPr>
        <w:t xml:space="preserve">   E_total = E_trans + E_elec + E_water + E_food + E_waste + E_shop + E_travel  [kg CO2e]</w:t>
      </w:r>
    </w:p>
    <w:p>
      <w:pPr>
        <w:spacing w:before="280" w:after="80"/>
      </w:pPr>
      <w:r>
        <w:rPr>
          <w:rFonts w:ascii="Times New Roman" w:hAnsi="Times New Roman"/>
          <w:b/>
          <w:color w:val="1E293B"/>
          <w:sz w:val="27"/>
        </w:rPr>
        <w:t>5.3 DETERMINISTIC ECO SCORE &amp; LEVEL CLASSIFICATION</w:t>
      </w:r>
    </w:p>
    <w:p>
      <w:pPr>
        <w:spacing w:after="120"/>
        <w:jc w:val="both"/>
      </w:pPr>
      <w:r>
        <w:rPr>
          <w:rFonts w:ascii="Times New Roman" w:hAnsi="Times New Roman"/>
          <w:sz w:val="24"/>
        </w:rPr>
        <w:t>To provide an intuitive, normalized benchmark comparable to academic grading, EcoTrack translates raw emission kilograms into an objective Eco Score scaled from 0.0 to 100.0:</w:t>
      </w:r>
    </w:p>
    <w:p>
      <w:pPr>
        <w:spacing w:after="120"/>
        <w:jc w:val="both"/>
      </w:pPr>
      <w:r>
        <w:rPr>
          <w:rFonts w:ascii="Times New Roman" w:hAnsi="Times New Roman"/>
          <w:sz w:val="24"/>
        </w:rPr>
        <w:t xml:space="preserve">   Eco Score = max(0, min(100, 100 - (E_total / 2000.0) × 100))</w:t>
      </w:r>
    </w:p>
    <w:p>
      <w:pPr>
        <w:spacing w:after="120"/>
        <w:jc w:val="both"/>
      </w:pPr>
      <w:r>
        <w:rPr>
          <w:rFonts w:ascii="Times New Roman" w:hAnsi="Times New Roman"/>
          <w:sz w:val="24"/>
        </w:rPr>
        <w:t>Where 2,000.0 kg CO2e represents the maximum baseline benchmark for an intensive consumer. Based on this score, the user is deterministically assigned to one of four environmental achievement tiers:</w:t>
      </w:r>
    </w:p>
    <w:p>
      <w:pPr>
        <w:pStyle w:val="ListParagraph"/>
        <w:spacing w:after="60"/>
      </w:pPr>
      <w:r>
        <w:rPr>
          <w:rFonts w:ascii="Times New Roman" w:hAnsi="Times New Roman"/>
          <w:sz w:val="23"/>
        </w:rPr>
        <w:t>•  Eco Champion (Score 80.0 – 100.0): Exemplary sustainability stewardship with minimal carbon impact.</w:t>
      </w:r>
    </w:p>
    <w:p>
      <w:pPr>
        <w:pStyle w:val="ListParagraph"/>
        <w:spacing w:after="60"/>
      </w:pPr>
      <w:r>
        <w:rPr>
          <w:rFonts w:ascii="Times New Roman" w:hAnsi="Times New Roman"/>
          <w:sz w:val="23"/>
        </w:rPr>
        <w:t>•  Eco Conscious (Score 60.0 – 79.9): Moderate carbon footprint with active conservation practices.</w:t>
      </w:r>
    </w:p>
    <w:p>
      <w:pPr>
        <w:pStyle w:val="ListParagraph"/>
        <w:spacing w:after="60"/>
      </w:pPr>
      <w:r>
        <w:rPr>
          <w:rFonts w:ascii="Times New Roman" w:hAnsi="Times New Roman"/>
          <w:sz w:val="23"/>
        </w:rPr>
        <w:t>•  Needs Improvement (Score 40.0 – 59.9): Above-average emissions; immediate lifestyle adjustments recommended.</w:t>
      </w:r>
    </w:p>
    <w:p>
      <w:pPr>
        <w:pStyle w:val="ListParagraph"/>
        <w:spacing w:after="60"/>
      </w:pPr>
      <w:r>
        <w:rPr>
          <w:rFonts w:ascii="Times New Roman" w:hAnsi="Times New Roman"/>
          <w:sz w:val="23"/>
        </w:rPr>
        <w:t>•  High Carbon Impact (Score 0.0 – 39.9): Critical carbon intensity driven by aviation, heavy commute, or high grid reliance.</w:t>
      </w:r>
    </w:p>
    <w:p>
      <w:pPr>
        <w:spacing w:before="280" w:after="80"/>
      </w:pPr>
      <w:r>
        <w:rPr>
          <w:rFonts w:ascii="Times New Roman" w:hAnsi="Times New Roman"/>
          <w:b/>
          <w:color w:val="1E293B"/>
          <w:sz w:val="27"/>
        </w:rPr>
        <w:t>5.4 GROQ AI ECO-COACH &amp; PERSONALIZED ADVISORY ENGINE</w:t>
      </w:r>
    </w:p>
    <w:p>
      <w:pPr>
        <w:spacing w:after="120"/>
        <w:jc w:val="both"/>
      </w:pPr>
      <w:r>
        <w:rPr>
          <w:rFonts w:ascii="Times New Roman" w:hAnsi="Times New Roman"/>
          <w:sz w:val="24"/>
        </w:rPr>
        <w:t>EcoTrack integrates Groq's high-speed Language Processing Unit (LPU) cloud inference running openai/gpt-oss-120b. Groq AI functions strictly within an immutable prompt harness constructed in backend/src/services/groqService.js:</w:t>
      </w:r>
    </w:p>
    <w:p>
      <w:pPr>
        <w:spacing w:after="120"/>
        <w:jc w:val="both"/>
      </w:pPr>
      <w:r>
        <w:rPr>
          <w:rFonts w:ascii="Times New Roman" w:hAnsi="Times New Roman"/>
          <w:sz w:val="24"/>
        </w:rPr>
        <w:t>1. The backend automatically sorts the user's 7 calculated categories from highest emission contributor to lowest.</w:t>
      </w:r>
    </w:p>
    <w:p>
      <w:pPr>
        <w:spacing w:after="120"/>
        <w:jc w:val="both"/>
      </w:pPr>
      <w:r>
        <w:rPr>
          <w:rFonts w:ascii="Times New Roman" w:hAnsi="Times New Roman"/>
          <w:sz w:val="24"/>
        </w:rPr>
        <w:t>2. An explicit system prompt instructs Groq AI to treat the calculated emissions and Eco Score as unalterable truth, strictly prohibiting mathematical recalculation.</w:t>
      </w:r>
    </w:p>
    <w:p>
      <w:pPr>
        <w:spacing w:after="120"/>
        <w:jc w:val="both"/>
      </w:pPr>
      <w:r>
        <w:rPr>
          <w:rFonts w:ascii="Times New Roman" w:hAnsi="Times New Roman"/>
          <w:sz w:val="24"/>
        </w:rPr>
        <w:t>3. Groq AI is constrained to generate a valid, raw JSON payload containing: overall_analysis (executive evaluation), category-specific reduction tips focused on the top 2-3 hotspots, monthly_goal (a quantifiable reduction target), green_challenge (an engaging weekly habit challenge), and estimated_reduction_kg (achievable potential savings).</w:t>
      </w:r>
    </w:p>
    <w:p>
      <w:pPr>
        <w:spacing w:after="120"/>
        <w:jc w:val="both"/>
      </w:pPr>
      <w:r>
        <w:rPr>
          <w:rFonts w:ascii="Times New Roman" w:hAnsi="Times New Roman"/>
          <w:sz w:val="24"/>
        </w:rPr>
        <w:t>This ensures instantaneous (&lt;1.2s), hallucination-free, high-impact environmental coaching tailored precisely to each user's unique consumption profile.</w:t>
      </w:r>
    </w:p>
    <w:p>
      <w:pPr>
        <w:spacing w:before="280" w:after="80"/>
      </w:pPr>
      <w:r>
        <w:rPr>
          <w:rFonts w:ascii="Times New Roman" w:hAnsi="Times New Roman"/>
          <w:b/>
          <w:color w:val="1E293B"/>
          <w:sz w:val="27"/>
        </w:rPr>
        <w:t>5.5 DYNAMIC ANALYTICS, AUDIT LOGGING &amp; RESULT VISUALIZATION</w:t>
      </w:r>
    </w:p>
    <w:p>
      <w:pPr>
        <w:spacing w:after="120"/>
        <w:jc w:val="both"/>
      </w:pPr>
      <w:r>
        <w:rPr>
          <w:rFonts w:ascii="Times New Roman" w:hAnsi="Times New Roman"/>
          <w:sz w:val="24"/>
        </w:rPr>
        <w:t>All calculation payloads, category breakdowns, and AI recommendations are committed to Supabase PostgreSQL in the carbon_calculations table with exact UTC timestamps. The frontend utilizes Chart.js to render interactive doughnut category distribution charts, comparative bar graphs against national benchmarks, and 6-month historical reduction trendlines. Users can review audit logs, observe percentage changes across billing cycles, and track cumulative kilograms of carbon avoided.</w:t>
      </w:r>
    </w:p>
    <w:p>
      <w:pPr>
        <w:spacing w:before="280" w:after="80"/>
      </w:pPr>
      <w:r>
        <w:rPr>
          <w:rFonts w:ascii="Times New Roman" w:hAnsi="Times New Roman"/>
          <w:b/>
          <w:color w:val="1E293B"/>
          <w:sz w:val="27"/>
        </w:rPr>
        <w:t>5.6 TAMPER-EVIDENT PDF AUDIT CERTIFICATION</w:t>
      </w:r>
    </w:p>
    <w:p>
      <w:pPr>
        <w:spacing w:after="120"/>
        <w:jc w:val="both"/>
      </w:pPr>
      <w:r>
        <w:rPr>
          <w:rFonts w:ascii="Times New Roman" w:hAnsi="Times New Roman"/>
          <w:sz w:val="24"/>
        </w:rPr>
        <w:t>To support academic submissions, institutional verification, and personal milestone documentation, EcoTrack features an automated export service built with PDFKit. The service dynamically compiles an official, high-resolution Environmental Audit Certificate containing verified metrics, Eco Score badge, category summary table, and a cryptographic verification hash, downloadable instantly in vector PDF format.</w:t>
      </w:r>
    </w:p>
    <w:p>
      <w:pPr>
        <w:spacing w:before="280" w:after="80"/>
      </w:pPr>
      <w:r>
        <w:rPr>
          <w:rFonts w:ascii="Times New Roman" w:hAnsi="Times New Roman"/>
          <w:b/>
          <w:color w:val="1E293B"/>
          <w:sz w:val="27"/>
        </w:rPr>
        <w:t>5.7 PROPOSED SYSTEM ARCHITECTURE</w:t>
      </w:r>
    </w:p>
    <w:p>
      <w:pPr>
        <w:spacing w:after="120"/>
        <w:jc w:val="both"/>
      </w:pPr>
      <w:r>
        <w:rPr>
          <w:rFonts w:ascii="Times New Roman" w:hAnsi="Times New Roman"/>
          <w:sz w:val="24"/>
        </w:rPr>
        <w:t>The complete multi-tier enterprise architecture of EcoTrack is illustrated in Figure 5.7, depicting the four decoupled layers: Presentation Layer, Secure REST API Gateway, Business Logic &amp; AI Intelligence Layer, and the Supabase Cloud Infrastructure Layer.</w:t>
      </w:r>
    </w:p>
    <w:p>
      <w:pPr>
        <w:spacing w:before="200" w:after="120"/>
        <w:jc w:val="center"/>
      </w:pPr>
      <w:r>
        <w:drawing>
          <wp:inline xmlns:a="http://schemas.openxmlformats.org/drawingml/2006/main" xmlns:pic="http://schemas.openxmlformats.org/drawingml/2006/picture">
            <wp:extent cx="5486400" cy="3599078"/>
            <wp:docPr id="2" name="Picture 2"/>
            <wp:cNvGraphicFramePr>
              <a:graphicFrameLocks noChangeAspect="1"/>
            </wp:cNvGraphicFramePr>
            <a:graphic>
              <a:graphicData uri="http://schemas.openxmlformats.org/drawingml/2006/picture">
                <pic:pic>
                  <pic:nvPicPr>
                    <pic:cNvPr id="0" name="figure_5_7_proposed_system_architecture.png"/>
                    <pic:cNvPicPr/>
                  </pic:nvPicPr>
                  <pic:blipFill>
                    <a:blip r:embed="rId10"/>
                    <a:stretch>
                      <a:fillRect/>
                    </a:stretch>
                  </pic:blipFill>
                  <pic:spPr>
                    <a:xfrm>
                      <a:off x="0" y="0"/>
                      <a:ext cx="5486400" cy="3599078"/>
                    </a:xfrm>
                    <a:prstGeom prst="rect"/>
                  </pic:spPr>
                </pic:pic>
              </a:graphicData>
            </a:graphic>
          </wp:inline>
        </w:drawing>
      </w:r>
    </w:p>
    <w:p>
      <w:pPr>
        <w:spacing w:before="40" w:after="280"/>
        <w:jc w:val="center"/>
      </w:pPr>
      <w:r>
        <w:rPr>
          <w:rFonts w:ascii="Times New Roman" w:hAnsi="Times New Roman"/>
          <w:b/>
          <w:i/>
          <w:color w:val="475569"/>
          <w:sz w:val="21"/>
        </w:rPr>
        <w:t>Figure 5.7: EcoTrack Multi-Tier Enterprise System Architecture</w:t>
      </w:r>
    </w:p>
    <w:p>
      <w:pPr>
        <w:spacing w:after="120"/>
        <w:jc w:val="both"/>
      </w:pPr>
      <w:r>
        <w:rPr>
          <w:rFonts w:ascii="Times New Roman" w:hAnsi="Times New Roman"/>
          <w:sz w:val="24"/>
        </w:rPr>
        <w:t>The end-to-end data flow pipeline demonstrating input ingestion, numerical validation, deterministic calculation, Groq AI inference, and database persistence is illustrated in Figure 5.8.</w:t>
      </w:r>
    </w:p>
    <w:p>
      <w:pPr>
        <w:spacing w:before="200" w:after="120"/>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figure_data_flow_pipeline.png"/>
                    <pic:cNvPicPr/>
                  </pic:nvPicPr>
                  <pic:blipFill>
                    <a:blip r:embed="rId11"/>
                    <a:stretch>
                      <a:fillRect/>
                    </a:stretch>
                  </pic:blipFill>
                  <pic:spPr>
                    <a:xfrm>
                      <a:off x="0" y="0"/>
                      <a:ext cx="5486400" cy="2194560"/>
                    </a:xfrm>
                    <a:prstGeom prst="rect"/>
                  </pic:spPr>
                </pic:pic>
              </a:graphicData>
            </a:graphic>
          </wp:inline>
        </w:drawing>
      </w:r>
    </w:p>
    <w:p>
      <w:pPr>
        <w:spacing w:before="40" w:after="280"/>
        <w:jc w:val="center"/>
      </w:pPr>
      <w:r>
        <w:rPr>
          <w:rFonts w:ascii="Times New Roman" w:hAnsi="Times New Roman"/>
          <w:b/>
          <w:i/>
          <w:color w:val="475569"/>
          <w:sz w:val="21"/>
        </w:rPr>
        <w:t>Figure 5.8: End-to-End Data Processing and Intelligence Pipeline</w:t>
      </w:r>
    </w:p>
    <w:p>
      <w:pPr>
        <w:spacing w:before="280" w:after="80"/>
      </w:pPr>
      <w:r>
        <w:rPr>
          <w:rFonts w:ascii="Times New Roman" w:hAnsi="Times New Roman"/>
          <w:b/>
          <w:color w:val="1E293B"/>
          <w:sz w:val="27"/>
        </w:rPr>
        <w:t>5.8 ADVANTAGES OF THE PROPOSED ECOTRACK SYSTEM</w:t>
      </w:r>
    </w:p>
    <w:p>
      <w:pPr>
        <w:pStyle w:val="ListParagraph"/>
        <w:spacing w:after="60"/>
      </w:pPr>
      <w:r>
        <w:rPr>
          <w:rFonts w:ascii="Times New Roman" w:hAnsi="Times New Roman"/>
          <w:sz w:val="23"/>
        </w:rPr>
        <w:t>•  100% Deterministic Mathematical Precision: Eliminates guesswork by enforcing authoritative IPCC, US EPA, and UK DEFRA greenhouse gas conversion standards.</w:t>
      </w:r>
    </w:p>
    <w:p>
      <w:pPr>
        <w:pStyle w:val="ListParagraph"/>
        <w:spacing w:after="60"/>
      </w:pPr>
      <w:r>
        <w:rPr>
          <w:rFonts w:ascii="Times New Roman" w:hAnsi="Times New Roman"/>
          <w:sz w:val="23"/>
        </w:rPr>
        <w:t>•  Comprehensive 7-Sector Lifestyle Granularity: Audits transportation, electricity, water, diet, municipal waste, consumer shopping, and aviation.</w:t>
      </w:r>
    </w:p>
    <w:p>
      <w:pPr>
        <w:pStyle w:val="ListParagraph"/>
        <w:spacing w:after="60"/>
      </w:pPr>
      <w:r>
        <w:rPr>
          <w:rFonts w:ascii="Times New Roman" w:hAnsi="Times New Roman"/>
          <w:sz w:val="23"/>
        </w:rPr>
        <w:t>•  Contextual AI Decarbonization Coaching: Delivers personalized, high-speed Groq AI recommendations focused on primary emission levers.</w:t>
      </w:r>
    </w:p>
    <w:p>
      <w:pPr>
        <w:pStyle w:val="ListParagraph"/>
        <w:spacing w:after="60"/>
      </w:pPr>
      <w:r>
        <w:rPr>
          <w:rFonts w:ascii="Times New Roman" w:hAnsi="Times New Roman"/>
          <w:sz w:val="23"/>
        </w:rPr>
        <w:t>•  Enterprise-Grade Cloud Persistence and RLS Security: Supabase PostgreSQL stores multi-session audit logs protected by cryptographic JWT and Row-Level Security.</w:t>
      </w:r>
    </w:p>
    <w:p>
      <w:pPr>
        <w:pStyle w:val="ListParagraph"/>
        <w:spacing w:after="60"/>
      </w:pPr>
      <w:r>
        <w:rPr>
          <w:rFonts w:ascii="Times New Roman" w:hAnsi="Times New Roman"/>
          <w:sz w:val="23"/>
        </w:rPr>
        <w:t>•  Engaging Gamified Experience: 0-100 Eco Score, 4 achievement tiers, weekly green challenges, and interactive Chart.js analytics.</w:t>
      </w:r>
    </w:p>
    <w:p>
      <w:pPr>
        <w:pStyle w:val="ListParagraph"/>
        <w:spacing w:after="60"/>
      </w:pPr>
      <w:r>
        <w:rPr>
          <w:rFonts w:ascii="Times New Roman" w:hAnsi="Times New Roman"/>
          <w:sz w:val="23"/>
        </w:rPr>
        <w:t>•  Official Verification &amp; Export: Generates downloadable, tamper-evident PDF Environmental Audit Certificates and raw CSV audit logs.</w:t>
      </w:r>
    </w:p>
    <w:p>
      <w:r>
        <w:br w:type="page"/>
      </w:r>
    </w:p>
    <w:p>
      <w:pPr>
        <w:spacing w:before="360" w:after="80"/>
        <w:jc w:val="center"/>
      </w:pPr>
      <w:r>
        <w:rPr>
          <w:rFonts w:ascii="Times New Roman" w:hAnsi="Times New Roman"/>
          <w:b/>
          <w:color w:val="0F172A"/>
          <w:sz w:val="32"/>
        </w:rPr>
        <w:t>CHAPTER 6</w:t>
      </w:r>
    </w:p>
    <w:p>
      <w:pPr>
        <w:spacing w:before="40" w:after="360"/>
        <w:jc w:val="center"/>
      </w:pPr>
      <w:r>
        <w:rPr>
          <w:rFonts w:ascii="Times New Roman" w:hAnsi="Times New Roman"/>
          <w:b/>
          <w:color w:val="10B981"/>
          <w:sz w:val="30"/>
        </w:rPr>
        <w:t>SYSTEM REQUIREMENTS</w:t>
      </w:r>
    </w:p>
    <w:p>
      <w:pPr>
        <w:spacing w:before="280" w:after="80"/>
      </w:pPr>
      <w:r>
        <w:rPr>
          <w:rFonts w:ascii="Times New Roman" w:hAnsi="Times New Roman"/>
          <w:b/>
          <w:color w:val="1E293B"/>
          <w:sz w:val="27"/>
        </w:rPr>
        <w:t>6.1 HARDWARE REQUIREMENTS</w:t>
      </w:r>
    </w:p>
    <w:p>
      <w:pPr>
        <w:spacing w:before="200" w:after="60"/>
      </w:pPr>
      <w:r>
        <w:rPr>
          <w:rFonts w:ascii="Times New Roman" w:hAnsi="Times New Roman"/>
          <w:b/>
          <w:color w:val="334155"/>
          <w:sz w:val="25"/>
        </w:rPr>
        <w:t>6.1.1 Processor</w:t>
      </w:r>
    </w:p>
    <w:p>
      <w:pPr>
        <w:spacing w:after="120"/>
        <w:jc w:val="both"/>
      </w:pPr>
      <w:r>
        <w:rPr>
          <w:rFonts w:ascii="Times New Roman" w:hAnsi="Times New Roman"/>
          <w:sz w:val="24"/>
        </w:rPr>
        <w:t>• Minimum: Intel Core i3 (4th Generation) / AMD Ryzen 3 or equivalent dual-core processor (2.0 GHz clock speed).</w:t>
      </w:r>
    </w:p>
    <w:p>
      <w:pPr>
        <w:spacing w:after="120"/>
        <w:jc w:val="both"/>
      </w:pPr>
      <w:r>
        <w:rPr>
          <w:rFonts w:ascii="Times New Roman" w:hAnsi="Times New Roman"/>
          <w:sz w:val="24"/>
        </w:rPr>
        <w:t>• Recommended: Intel Core i5 / AMD Ryzen 5 or Apple Silicon (M1/M2/M3) quad-core processor (2.5 GHz+ clock speed). The processor handles client-side Chart.js mathematical rendering, state computations, and high-concurrency Node.js Express asynchronous I/O event loops.</w:t>
      </w:r>
    </w:p>
    <w:p>
      <w:pPr>
        <w:spacing w:before="200" w:after="60"/>
      </w:pPr>
      <w:r>
        <w:rPr>
          <w:rFonts w:ascii="Times New Roman" w:hAnsi="Times New Roman"/>
          <w:b/>
          <w:color w:val="334155"/>
          <w:sz w:val="25"/>
        </w:rPr>
        <w:t>6.1.2 Memory (RAM)</w:t>
      </w:r>
    </w:p>
    <w:p>
      <w:pPr>
        <w:spacing w:after="120"/>
        <w:jc w:val="both"/>
      </w:pPr>
      <w:r>
        <w:rPr>
          <w:rFonts w:ascii="Times New Roman" w:hAnsi="Times New Roman"/>
          <w:sz w:val="24"/>
        </w:rPr>
        <w:t>• Minimum: 4 GB of physical system memory.</w:t>
      </w:r>
    </w:p>
    <w:p>
      <w:pPr>
        <w:spacing w:after="120"/>
        <w:jc w:val="both"/>
      </w:pPr>
      <w:r>
        <w:rPr>
          <w:rFonts w:ascii="Times New Roman" w:hAnsi="Times New Roman"/>
          <w:sz w:val="24"/>
        </w:rPr>
        <w:t>• Recommended: 8 GB or 16 GB of DDR4/DDR5 RAM. Ample memory ensures seamless concurrent execution of Vite hot-module replacement (HMR), local Express REST development servers, browser inspection tools, and background Node.js compilation processes.</w:t>
      </w:r>
    </w:p>
    <w:p>
      <w:pPr>
        <w:spacing w:before="200" w:after="60"/>
      </w:pPr>
      <w:r>
        <w:rPr>
          <w:rFonts w:ascii="Times New Roman" w:hAnsi="Times New Roman"/>
          <w:b/>
          <w:color w:val="334155"/>
          <w:sz w:val="25"/>
        </w:rPr>
        <w:t>6.1.3 Storage</w:t>
      </w:r>
    </w:p>
    <w:p>
      <w:pPr>
        <w:spacing w:after="120"/>
        <w:jc w:val="both"/>
      </w:pPr>
      <w:r>
        <w:rPr>
          <w:rFonts w:ascii="Times New Roman" w:hAnsi="Times New Roman"/>
          <w:sz w:val="24"/>
        </w:rPr>
        <w:t>• Minimum: 2 GB of available secondary storage.</w:t>
      </w:r>
    </w:p>
    <w:p>
      <w:pPr>
        <w:spacing w:after="120"/>
        <w:jc w:val="both"/>
      </w:pPr>
      <w:r>
        <w:rPr>
          <w:rFonts w:ascii="Times New Roman" w:hAnsi="Times New Roman"/>
          <w:sz w:val="24"/>
        </w:rPr>
        <w:t>• Recommended: 10 GB or more of high-speed Solid State Drive (SSD) storage. High NVMe/SSD read-write speeds significantly improve node_modules dependency installation, Vite bundling build times, and PDF streaming export buffering.</w:t>
      </w:r>
    </w:p>
    <w:p>
      <w:pPr>
        <w:spacing w:before="200" w:after="60"/>
      </w:pPr>
      <w:r>
        <w:rPr>
          <w:rFonts w:ascii="Times New Roman" w:hAnsi="Times New Roman"/>
          <w:b/>
          <w:color w:val="334155"/>
          <w:sz w:val="25"/>
        </w:rPr>
        <w:t>6.1.4 Display and Client Devices</w:t>
      </w:r>
    </w:p>
    <w:p>
      <w:pPr>
        <w:spacing w:after="120"/>
        <w:jc w:val="both"/>
      </w:pPr>
      <w:r>
        <w:rPr>
          <w:rFonts w:ascii="Times New Roman" w:hAnsi="Times New Roman"/>
          <w:sz w:val="24"/>
        </w:rPr>
        <w:t>• Display Resolution: Standard 1366 × 768 minimum; Full HD 1920 × 1080 recommended for optimal viewing of multi-category analytics dashboards.</w:t>
      </w:r>
    </w:p>
    <w:p>
      <w:pPr>
        <w:spacing w:after="120"/>
        <w:jc w:val="both"/>
      </w:pPr>
      <w:r>
        <w:rPr>
          <w:rFonts w:ascii="Times New Roman" w:hAnsi="Times New Roman"/>
          <w:sz w:val="24"/>
        </w:rPr>
        <w:t>• Supported Devices: Desktop workstations, laptops, tablets, and smartphones (iOS Safari and Android Chrome supported via Bootstrap 5 responsive breakpoints).</w:t>
      </w:r>
    </w:p>
    <w:p>
      <w:pPr>
        <w:spacing w:before="200" w:after="60"/>
      </w:pPr>
      <w:r>
        <w:rPr>
          <w:rFonts w:ascii="Times New Roman" w:hAnsi="Times New Roman"/>
          <w:b/>
          <w:color w:val="334155"/>
          <w:sz w:val="25"/>
        </w:rPr>
        <w:t>6.1.5 Network Connectivity</w:t>
      </w:r>
    </w:p>
    <w:p>
      <w:pPr>
        <w:spacing w:after="120"/>
        <w:jc w:val="both"/>
      </w:pPr>
      <w:r>
        <w:rPr>
          <w:rFonts w:ascii="Times New Roman" w:hAnsi="Times New Roman"/>
          <w:sz w:val="24"/>
        </w:rPr>
        <w:t>• Active Broadband / Wi-Fi Internet connection (minimum 2 Mbps; 10 Mbps+ recommended) required for secure HTTPS communications with Supabase Cloud services and Groq LPU API endpoints.</w:t>
      </w:r>
    </w:p>
    <w:p>
      <w:pPr>
        <w:spacing w:before="280" w:after="80"/>
      </w:pPr>
      <w:r>
        <w:rPr>
          <w:rFonts w:ascii="Times New Roman" w:hAnsi="Times New Roman"/>
          <w:b/>
          <w:color w:val="1E293B"/>
          <w:sz w:val="27"/>
        </w:rPr>
        <w:t>6.2 SOFTWARE REQUIREMENTS</w:t>
      </w:r>
    </w:p>
    <w:p>
      <w:pPr>
        <w:spacing w:before="200" w:after="60"/>
      </w:pPr>
      <w:r>
        <w:rPr>
          <w:rFonts w:ascii="Times New Roman" w:hAnsi="Times New Roman"/>
          <w:b/>
          <w:color w:val="334155"/>
          <w:sz w:val="25"/>
        </w:rPr>
        <w:t>6.2.1 Client-Side Presentation Framework (React &amp; Vite)</w:t>
      </w:r>
    </w:p>
    <w:p>
      <w:pPr>
        <w:spacing w:after="120"/>
        <w:jc w:val="both"/>
      </w:pPr>
      <w:r>
        <w:rPr>
          <w:rFonts w:ascii="Times New Roman" w:hAnsi="Times New Roman"/>
          <w:sz w:val="24"/>
        </w:rPr>
        <w:t>• React 18+: Component-based declarative user interface library supporting concurrent rendering, custom hooks, and state management.</w:t>
      </w:r>
    </w:p>
    <w:p>
      <w:pPr>
        <w:spacing w:after="120"/>
        <w:jc w:val="both"/>
      </w:pPr>
      <w:r>
        <w:rPr>
          <w:rFonts w:ascii="Times New Roman" w:hAnsi="Times New Roman"/>
          <w:sz w:val="24"/>
        </w:rPr>
        <w:t>• Vite 5+: High-performance next-generation frontend build tool and development server providing lightning-fast Hot Module Replacement (HMR) and optimized Rollup production bundling.</w:t>
      </w:r>
    </w:p>
    <w:p>
      <w:pPr>
        <w:spacing w:after="120"/>
        <w:jc w:val="both"/>
      </w:pPr>
      <w:r>
        <w:rPr>
          <w:rFonts w:ascii="Times New Roman" w:hAnsi="Times New Roman"/>
          <w:sz w:val="24"/>
        </w:rPr>
        <w:t>• Bootstrap 5.3 &amp; Bootstrap Icons: Modern, responsive CSS framework augmented with custom glassmorphism, responsive CSS variables, and clean typography.</w:t>
      </w:r>
    </w:p>
    <w:p>
      <w:pPr>
        <w:spacing w:after="120"/>
        <w:jc w:val="both"/>
      </w:pPr>
      <w:r>
        <w:rPr>
          <w:rFonts w:ascii="Times New Roman" w:hAnsi="Times New Roman"/>
          <w:sz w:val="24"/>
        </w:rPr>
        <w:t>• Chart.js &amp; react-chartjs-2: High-performance HTML5 canvas visualization library utilized to render animated doughnut charts, category bar breakdowns, and historical line graphs.</w:t>
      </w:r>
    </w:p>
    <w:p>
      <w:pPr>
        <w:spacing w:after="120"/>
        <w:jc w:val="both"/>
      </w:pPr>
      <w:r>
        <w:rPr>
          <w:rFonts w:ascii="Times New Roman" w:hAnsi="Times New Roman"/>
          <w:sz w:val="24"/>
        </w:rPr>
        <w:t>• React Router DOM: Client-side routing library managing public routes, protected authenticated dashboard routes, and role-based admin navigation guards.</w:t>
      </w:r>
    </w:p>
    <w:p>
      <w:pPr>
        <w:spacing w:before="200" w:after="60"/>
      </w:pPr>
      <w:r>
        <w:rPr>
          <w:rFonts w:ascii="Times New Roman" w:hAnsi="Times New Roman"/>
          <w:b/>
          <w:color w:val="334155"/>
          <w:sz w:val="25"/>
        </w:rPr>
        <w:t>6.2.2 Server-Side API Gateway (Node.js &amp; Express)</w:t>
      </w:r>
    </w:p>
    <w:p>
      <w:pPr>
        <w:spacing w:after="120"/>
        <w:jc w:val="both"/>
      </w:pPr>
      <w:r>
        <w:rPr>
          <w:rFonts w:ascii="Times New Roman" w:hAnsi="Times New Roman"/>
          <w:sz w:val="24"/>
        </w:rPr>
        <w:t>• Node.js (v18.x or v20.x LTS): High-performance asynchronous, non-blocking JavaScript runtime environment.</w:t>
      </w:r>
    </w:p>
    <w:p>
      <w:pPr>
        <w:spacing w:after="120"/>
        <w:jc w:val="both"/>
      </w:pPr>
      <w:r>
        <w:rPr>
          <w:rFonts w:ascii="Times New Roman" w:hAnsi="Times New Roman"/>
          <w:sz w:val="24"/>
        </w:rPr>
        <w:t>• Express.js (v4.x): Fast, unopinionated minimalist web framework providing RESTful endpoint routing, controller dispatching, and middleware pipeline architecture.</w:t>
      </w:r>
    </w:p>
    <w:p>
      <w:pPr>
        <w:spacing w:after="120"/>
        <w:jc w:val="both"/>
      </w:pPr>
      <w:r>
        <w:rPr>
          <w:rFonts w:ascii="Times New Roman" w:hAnsi="Times New Roman"/>
          <w:sz w:val="24"/>
        </w:rPr>
        <w:t>• Helmet: Comprehensive HTTP security middleware that sets strict Content-Security-Policy (CSP), X-Frame-Options, and XSS filter headers.</w:t>
      </w:r>
    </w:p>
    <w:p>
      <w:pPr>
        <w:spacing w:after="120"/>
        <w:jc w:val="both"/>
      </w:pPr>
      <w:r>
        <w:rPr>
          <w:rFonts w:ascii="Times New Roman" w:hAnsi="Times New Roman"/>
          <w:sz w:val="24"/>
        </w:rPr>
        <w:t>• CORS: Cross-Origin Resource Sharing middleware configured with explicit domain whitelisting to prevent unauthorized third-party origin access.</w:t>
      </w:r>
    </w:p>
    <w:p>
      <w:pPr>
        <w:spacing w:after="120"/>
        <w:jc w:val="both"/>
      </w:pPr>
      <w:r>
        <w:rPr>
          <w:rFonts w:ascii="Times New Roman" w:hAnsi="Times New Roman"/>
          <w:sz w:val="24"/>
        </w:rPr>
        <w:t>• express-rate-limit: Security middleware preventing Denial of Service (DoS) and brute-force attacks by limiting API requests per IP window.</w:t>
      </w:r>
    </w:p>
    <w:p>
      <w:pPr>
        <w:spacing w:before="200" w:after="60"/>
      </w:pPr>
      <w:r>
        <w:rPr>
          <w:rFonts w:ascii="Times New Roman" w:hAnsi="Times New Roman"/>
          <w:b/>
          <w:color w:val="334155"/>
          <w:sz w:val="25"/>
        </w:rPr>
        <w:t>6.2.3 Cloud Database &amp; Authentication (Supabase)</w:t>
      </w:r>
    </w:p>
    <w:p>
      <w:pPr>
        <w:spacing w:after="120"/>
        <w:jc w:val="both"/>
      </w:pPr>
      <w:r>
        <w:rPr>
          <w:rFonts w:ascii="Times New Roman" w:hAnsi="Times New Roman"/>
          <w:sz w:val="24"/>
        </w:rPr>
        <w:t>• Supabase Cloud PostgreSQL 15: Enterprise relational database providing ACID compliance, foreign key relational integrity, and automated timestamp indexing.</w:t>
      </w:r>
    </w:p>
    <w:p>
      <w:pPr>
        <w:spacing w:after="120"/>
        <w:jc w:val="both"/>
      </w:pPr>
      <w:r>
        <w:rPr>
          <w:rFonts w:ascii="Times New Roman" w:hAnsi="Times New Roman"/>
          <w:sz w:val="24"/>
        </w:rPr>
        <w:t>• Supabase Auth: Secure user authentication infrastructure supporting cryptographic JSON Web Tokens (JWT), email/password verification, and automatic session token refreshing.</w:t>
      </w:r>
    </w:p>
    <w:p>
      <w:pPr>
        <w:spacing w:after="120"/>
        <w:jc w:val="both"/>
      </w:pPr>
      <w:r>
        <w:rPr>
          <w:rFonts w:ascii="Times New Roman" w:hAnsi="Times New Roman"/>
          <w:sz w:val="24"/>
        </w:rPr>
        <w:t>• Row-Level Security (RLS): PostgreSQL security policies enforced directly at the database engine level, guaranteeing that users can only select, insert, or update their own personal audit records.</w:t>
      </w:r>
    </w:p>
    <w:p>
      <w:pPr>
        <w:spacing w:after="120"/>
        <w:jc w:val="both"/>
      </w:pPr>
      <w:r>
        <w:rPr>
          <w:rFonts w:ascii="Times New Roman" w:hAnsi="Times New Roman"/>
          <w:sz w:val="24"/>
        </w:rPr>
        <w:t>• Supabase Storage: Object storage buckets with cryptographic access controls for storing user profile avatars and feedback screenshots.</w:t>
      </w:r>
    </w:p>
    <w:p>
      <w:pPr>
        <w:spacing w:before="200" w:after="60"/>
      </w:pPr>
      <w:r>
        <w:rPr>
          <w:rFonts w:ascii="Times New Roman" w:hAnsi="Times New Roman"/>
          <w:b/>
          <w:color w:val="334155"/>
          <w:sz w:val="25"/>
        </w:rPr>
        <w:t>6.2.4 Artificial Intelligence &amp; LLM Service (Groq Cloud)</w:t>
      </w:r>
    </w:p>
    <w:p>
      <w:pPr>
        <w:spacing w:after="120"/>
        <w:jc w:val="both"/>
      </w:pPr>
      <w:r>
        <w:rPr>
          <w:rFonts w:ascii="Times New Roman" w:hAnsi="Times New Roman"/>
          <w:sz w:val="24"/>
        </w:rPr>
        <w:t>• Groq SDK (@groq/groq-sdk): Official Node.js SDK interface communicating with Groq's specialized Language Processing Unit (LPU) cloud inference architecture.</w:t>
      </w:r>
    </w:p>
    <w:p>
      <w:pPr>
        <w:spacing w:after="120"/>
        <w:jc w:val="both"/>
      </w:pPr>
      <w:r>
        <w:rPr>
          <w:rFonts w:ascii="Times New Roman" w:hAnsi="Times New Roman"/>
          <w:sz w:val="24"/>
        </w:rPr>
        <w:t>• Model: openai/gpt-oss-120b: State-of-the-art open-weights large language model optimized for rapid structured JSON output generation, high reasoning capability, and zero mathematical hallucinations.</w:t>
      </w:r>
    </w:p>
    <w:p>
      <w:pPr>
        <w:spacing w:before="200" w:after="60"/>
      </w:pPr>
      <w:r>
        <w:rPr>
          <w:rFonts w:ascii="Times New Roman" w:hAnsi="Times New Roman"/>
          <w:b/>
          <w:color w:val="334155"/>
          <w:sz w:val="25"/>
        </w:rPr>
        <w:t>6.2.5 Document Export &amp; File Streaming Services</w:t>
      </w:r>
    </w:p>
    <w:p>
      <w:pPr>
        <w:spacing w:after="120"/>
        <w:jc w:val="both"/>
      </w:pPr>
      <w:r>
        <w:rPr>
          <w:rFonts w:ascii="Times New Roman" w:hAnsi="Times New Roman"/>
          <w:sz w:val="24"/>
        </w:rPr>
        <w:t>• PDFKit: High-speed programmatic PDF generation engine utilized for dynamically drawing vector shapes, typography, and official certification seals into memory-buffered streaming downloads.</w:t>
      </w:r>
    </w:p>
    <w:p>
      <w:pPr>
        <w:spacing w:after="120"/>
        <w:jc w:val="both"/>
      </w:pPr>
      <w:r>
        <w:rPr>
          <w:rFonts w:ascii="Times New Roman" w:hAnsi="Times New Roman"/>
          <w:sz w:val="24"/>
        </w:rPr>
        <w:t>• csv-stringify: Standardized CSV serialization library for exporting historical time-series emission records into universal spreadsheet formats.</w:t>
      </w:r>
    </w:p>
    <w:p>
      <w:pPr>
        <w:spacing w:before="200" w:after="60"/>
      </w:pPr>
      <w:r>
        <w:rPr>
          <w:rFonts w:ascii="Times New Roman" w:hAnsi="Times New Roman"/>
          <w:b/>
          <w:color w:val="334155"/>
          <w:sz w:val="25"/>
        </w:rPr>
        <w:t>6.2.6 Development, Version Control &amp; Testing Tools</w:t>
      </w:r>
    </w:p>
    <w:p>
      <w:pPr>
        <w:spacing w:after="120"/>
        <w:jc w:val="both"/>
      </w:pPr>
      <w:r>
        <w:rPr>
          <w:rFonts w:ascii="Times New Roman" w:hAnsi="Times New Roman"/>
          <w:sz w:val="24"/>
        </w:rPr>
        <w:t>• Visual Studio Code: Primary integrated development environment (IDE) with ESLint and Prettier code formatting.</w:t>
      </w:r>
    </w:p>
    <w:p>
      <w:pPr>
        <w:spacing w:after="120"/>
        <w:jc w:val="both"/>
      </w:pPr>
      <w:r>
        <w:rPr>
          <w:rFonts w:ascii="Times New Roman" w:hAnsi="Times New Roman"/>
          <w:sz w:val="24"/>
        </w:rPr>
        <w:t>• Node Package Manager (npm v10+): Package manager handling backend and frontend module dependencies.</w:t>
      </w:r>
    </w:p>
    <w:p>
      <w:pPr>
        <w:spacing w:after="120"/>
        <w:jc w:val="both"/>
      </w:pPr>
      <w:r>
        <w:rPr>
          <w:rFonts w:ascii="Times New Roman" w:hAnsi="Times New Roman"/>
          <w:sz w:val="24"/>
        </w:rPr>
        <w:t>• Automated Backend Test Suite (test_suite.js): Custom end-to-end integration test runner validating all 12 API controllers, calculation math, and token authorization.</w:t>
      </w:r>
    </w:p>
    <w:p>
      <w:r>
        <w:br w:type="page"/>
      </w:r>
    </w:p>
    <w:p>
      <w:pPr>
        <w:spacing w:before="360" w:after="80"/>
        <w:jc w:val="center"/>
      </w:pPr>
      <w:r>
        <w:rPr>
          <w:rFonts w:ascii="Times New Roman" w:hAnsi="Times New Roman"/>
          <w:b/>
          <w:color w:val="0F172A"/>
          <w:sz w:val="32"/>
        </w:rPr>
        <w:t>CHAPTER 7</w:t>
      </w:r>
    </w:p>
    <w:p>
      <w:pPr>
        <w:spacing w:before="40" w:after="360"/>
        <w:jc w:val="center"/>
      </w:pPr>
      <w:r>
        <w:rPr>
          <w:rFonts w:ascii="Times New Roman" w:hAnsi="Times New Roman"/>
          <w:b/>
          <w:color w:val="10B981"/>
          <w:sz w:val="30"/>
        </w:rPr>
        <w:t>SYSTEM IMPLEMENTATIONS</w:t>
      </w:r>
    </w:p>
    <w:p>
      <w:pPr>
        <w:spacing w:before="280" w:after="80"/>
      </w:pPr>
      <w:r>
        <w:rPr>
          <w:rFonts w:ascii="Times New Roman" w:hAnsi="Times New Roman"/>
          <w:b/>
          <w:color w:val="1E293B"/>
          <w:sz w:val="27"/>
        </w:rPr>
        <w:t>7.1 LIST OF FUNCTIONAL MODULES</w:t>
      </w:r>
    </w:p>
    <w:p>
      <w:pPr>
        <w:spacing w:after="120"/>
        <w:jc w:val="both"/>
      </w:pPr>
      <w:r>
        <w:rPr>
          <w:rFonts w:ascii="Times New Roman" w:hAnsi="Times New Roman"/>
          <w:sz w:val="24"/>
        </w:rPr>
        <w:t>The EcoTrack system architecture is decomposed into 12 tightly integrated, modular software components that deliver complete environmental auditing capabilities:</w:t>
      </w:r>
    </w:p>
    <w:p>
      <w:pPr>
        <w:spacing w:after="120"/>
        <w:jc w:val="both"/>
      </w:pPr>
      <w:r>
        <w:rPr>
          <w:rFonts w:ascii="Times New Roman" w:hAnsi="Times New Roman"/>
          <w:sz w:val="24"/>
        </w:rPr>
        <w:t>1. User Authentication and Profile Management Module</w:t>
      </w:r>
    </w:p>
    <w:p>
      <w:pPr>
        <w:spacing w:after="120"/>
        <w:jc w:val="both"/>
      </w:pPr>
      <w:r>
        <w:rPr>
          <w:rFonts w:ascii="Times New Roman" w:hAnsi="Times New Roman"/>
          <w:sz w:val="24"/>
        </w:rPr>
        <w:t>2. Multi-Category Carbon Footprint Calculation Module</w:t>
      </w:r>
    </w:p>
    <w:p>
      <w:pPr>
        <w:spacing w:after="120"/>
        <w:jc w:val="both"/>
      </w:pPr>
      <w:r>
        <w:rPr>
          <w:rFonts w:ascii="Times New Roman" w:hAnsi="Times New Roman"/>
          <w:sz w:val="24"/>
        </w:rPr>
        <w:t>3. Authoritative Emission Factor Engine Module</w:t>
      </w:r>
    </w:p>
    <w:p>
      <w:pPr>
        <w:spacing w:after="120"/>
        <w:jc w:val="both"/>
      </w:pPr>
      <w:r>
        <w:rPr>
          <w:rFonts w:ascii="Times New Roman" w:hAnsi="Times New Roman"/>
          <w:sz w:val="24"/>
        </w:rPr>
        <w:t>4. Groq AI Eco-Coach &amp; Recommendation Module</w:t>
      </w:r>
    </w:p>
    <w:p>
      <w:pPr>
        <w:spacing w:after="120"/>
        <w:jc w:val="both"/>
      </w:pPr>
      <w:r>
        <w:rPr>
          <w:rFonts w:ascii="Times New Roman" w:hAnsi="Times New Roman"/>
          <w:sz w:val="24"/>
        </w:rPr>
        <w:t>5. Interactive Analytics &amp; Visualization Module</w:t>
      </w:r>
    </w:p>
    <w:p>
      <w:pPr>
        <w:spacing w:after="120"/>
        <w:jc w:val="both"/>
      </w:pPr>
      <w:r>
        <w:rPr>
          <w:rFonts w:ascii="Times New Roman" w:hAnsi="Times New Roman"/>
          <w:sz w:val="24"/>
        </w:rPr>
        <w:t>6. Audit History &amp; Time-Series Tracking Module</w:t>
      </w:r>
    </w:p>
    <w:p>
      <w:pPr>
        <w:spacing w:after="120"/>
        <w:jc w:val="both"/>
      </w:pPr>
      <w:r>
        <w:rPr>
          <w:rFonts w:ascii="Times New Roman" w:hAnsi="Times New Roman"/>
          <w:sz w:val="24"/>
        </w:rPr>
        <w:t>7. Eco Score &amp; Gamification Progression Module</w:t>
      </w:r>
    </w:p>
    <w:p>
      <w:pPr>
        <w:spacing w:after="120"/>
        <w:jc w:val="both"/>
      </w:pPr>
      <w:r>
        <w:rPr>
          <w:rFonts w:ascii="Times New Roman" w:hAnsi="Times New Roman"/>
          <w:sz w:val="24"/>
        </w:rPr>
        <w:t>8. PDF Report Generation &amp; Export Module</w:t>
      </w:r>
    </w:p>
    <w:p>
      <w:pPr>
        <w:spacing w:after="120"/>
        <w:jc w:val="both"/>
      </w:pPr>
      <w:r>
        <w:rPr>
          <w:rFonts w:ascii="Times New Roman" w:hAnsi="Times New Roman"/>
          <w:sz w:val="24"/>
        </w:rPr>
        <w:t>9. Feedback &amp; Citizen Science Support Module</w:t>
      </w:r>
    </w:p>
    <w:p>
      <w:pPr>
        <w:spacing w:after="120"/>
        <w:jc w:val="both"/>
      </w:pPr>
      <w:r>
        <w:rPr>
          <w:rFonts w:ascii="Times New Roman" w:hAnsi="Times New Roman"/>
          <w:sz w:val="24"/>
        </w:rPr>
        <w:t>10. Admin Governance &amp; Platform Metrics Module</w:t>
      </w:r>
    </w:p>
    <w:p>
      <w:pPr>
        <w:spacing w:after="120"/>
        <w:jc w:val="both"/>
      </w:pPr>
      <w:r>
        <w:rPr>
          <w:rFonts w:ascii="Times New Roman" w:hAnsi="Times New Roman"/>
          <w:sz w:val="24"/>
        </w:rPr>
        <w:t>11. Supabase PostgreSQL Relational Database &amp; RLS Security Module</w:t>
      </w:r>
    </w:p>
    <w:p>
      <w:pPr>
        <w:spacing w:after="120"/>
        <w:jc w:val="both"/>
      </w:pPr>
      <w:r>
        <w:rPr>
          <w:rFonts w:ascii="Times New Roman" w:hAnsi="Times New Roman"/>
          <w:sz w:val="24"/>
        </w:rPr>
        <w:t>12. REST API Gateway &amp; Security Middleware Module</w:t>
      </w:r>
    </w:p>
    <w:p>
      <w:pPr>
        <w:spacing w:before="280" w:after="80"/>
      </w:pPr>
      <w:r>
        <w:rPr>
          <w:rFonts w:ascii="Times New Roman" w:hAnsi="Times New Roman"/>
          <w:b/>
          <w:color w:val="1E293B"/>
          <w:sz w:val="27"/>
        </w:rPr>
        <w:t>7.2 DETAILED MODULE DESCRIPTIONS</w:t>
      </w:r>
    </w:p>
    <w:p>
      <w:pPr>
        <w:spacing w:before="200" w:after="60"/>
      </w:pPr>
      <w:r>
        <w:rPr>
          <w:rFonts w:ascii="Times New Roman" w:hAnsi="Times New Roman"/>
          <w:b/>
          <w:color w:val="334155"/>
          <w:sz w:val="25"/>
        </w:rPr>
        <w:t>7.2.1 User Authentication and Profile Management Module</w:t>
      </w:r>
    </w:p>
    <w:p>
      <w:pPr>
        <w:spacing w:after="120"/>
        <w:jc w:val="both"/>
      </w:pPr>
      <w:r>
        <w:rPr>
          <w:rFonts w:ascii="Times New Roman" w:hAnsi="Times New Roman"/>
          <w:sz w:val="24"/>
        </w:rPr>
        <w:t>Implemented across frontend/src/pages/auth/ and backend/src/controllers/authController.js. This module manages user onboarding, account registration, secure login, and profile personalization. Integrated with Supabase Auth, it issues cryptographic JSON Web Tokens (JWT) containing user claims. The profile service allows users to record their household size, regional grid location, baseline transportation preferences, and custom avatars stored in Supabase Storage buckets.</w:t>
      </w:r>
    </w:p>
    <w:p>
      <w:pPr>
        <w:spacing w:before="200" w:after="60"/>
      </w:pPr>
      <w:r>
        <w:rPr>
          <w:rFonts w:ascii="Times New Roman" w:hAnsi="Times New Roman"/>
          <w:b/>
          <w:color w:val="334155"/>
          <w:sz w:val="25"/>
        </w:rPr>
        <w:t>7.2.2 Multi-Category Carbon Footprint Calculation Module</w:t>
      </w:r>
    </w:p>
    <w:p>
      <w:pPr>
        <w:spacing w:after="120"/>
        <w:jc w:val="both"/>
      </w:pPr>
      <w:r>
        <w:rPr>
          <w:rFonts w:ascii="Times New Roman" w:hAnsi="Times New Roman"/>
          <w:sz w:val="24"/>
        </w:rPr>
        <w:t>Located in backend/src/controllers/calculatorController.js and backend/src/services/calculatorService.js. This module accepts raw user activity parameters across transportation, electricity, water, diet, waste, shopping, and travel. It enforces numerical sanitization, bounds clamping (preventing negative or absurd inputs), and executes deterministic formula evaluation to produce individual category emissions and total monthly kilograms of CO2e.</w:t>
      </w:r>
    </w:p>
    <w:p>
      <w:pPr>
        <w:spacing w:before="200" w:after="60"/>
      </w:pPr>
      <w:r>
        <w:rPr>
          <w:rFonts w:ascii="Times New Roman" w:hAnsi="Times New Roman"/>
          <w:b/>
          <w:color w:val="334155"/>
          <w:sz w:val="25"/>
        </w:rPr>
        <w:t>7.2.3 Authoritative Emission Factor Engine Module</w:t>
      </w:r>
    </w:p>
    <w:p>
      <w:pPr>
        <w:spacing w:after="120"/>
        <w:jc w:val="both"/>
      </w:pPr>
      <w:r>
        <w:rPr>
          <w:rFonts w:ascii="Times New Roman" w:hAnsi="Times New Roman"/>
          <w:sz w:val="24"/>
        </w:rPr>
        <w:t>Implemented in backend/src/services/emissionFactorService.js. This critical module serves as the authoritative single source of truth for all greenhouse gas conversion coefficients. It encapsulates verified IPCC 2019, US EPA 2023, and UK DEFRA 2023 factors for 9 transport modes, global grid electricity, municipal water distribution, 6 dietary patterns, landfill vs recycled waste streams, consumer shopping categories, and aviation. The engine exposes safe lookup utilities and guarantees that external AI services never modify authoritative physical constants.</w:t>
      </w:r>
    </w:p>
    <w:p>
      <w:pPr>
        <w:spacing w:before="200" w:after="60"/>
      </w:pPr>
      <w:r>
        <w:rPr>
          <w:rFonts w:ascii="Times New Roman" w:hAnsi="Times New Roman"/>
          <w:b/>
          <w:color w:val="334155"/>
          <w:sz w:val="25"/>
        </w:rPr>
        <w:t>7.2.4 Groq AI Eco-Coach &amp; Recommendation Module</w:t>
      </w:r>
    </w:p>
    <w:p>
      <w:pPr>
        <w:spacing w:after="120"/>
        <w:jc w:val="both"/>
      </w:pPr>
      <w:r>
        <w:rPr>
          <w:rFonts w:ascii="Times New Roman" w:hAnsi="Times New Roman"/>
          <w:sz w:val="24"/>
        </w:rPr>
        <w:t>Located in backend/src/services/groqService.js and backend/src/controllers/aiController.js. This module orchestrates intelligent advisory synthesis using the Groq SDK and the openai/gpt-oss-120b model. It programmatically constructs an immutable prompt embedding the user's sorted emission breakdown, enforces a strict JSON response schema, and generates personalized executive summaries, high-ROI reduction tips for top emission drivers, achievable monthly targets, and weekly green challenges in under 1.2 seconds.</w:t>
      </w:r>
    </w:p>
    <w:p>
      <w:pPr>
        <w:spacing w:before="200" w:after="60"/>
      </w:pPr>
      <w:r>
        <w:rPr>
          <w:rFonts w:ascii="Times New Roman" w:hAnsi="Times New Roman"/>
          <w:b/>
          <w:color w:val="334155"/>
          <w:sz w:val="25"/>
        </w:rPr>
        <w:t>7.2.5 Interactive Analytics &amp; Visualization Module</w:t>
      </w:r>
    </w:p>
    <w:p>
      <w:pPr>
        <w:spacing w:after="120"/>
        <w:jc w:val="both"/>
      </w:pPr>
      <w:r>
        <w:rPr>
          <w:rFonts w:ascii="Times New Roman" w:hAnsi="Times New Roman"/>
          <w:sz w:val="24"/>
        </w:rPr>
        <w:t>Implemented in frontend/src/pages/analytics/ and frontend/src/components/. Built with Chart.js and react-chartjs-2, this module transforms multi-dimensional emission data into animated, interactive visual representations. It generates doughnut charts highlighting sectoral percentages, horizontal bar comparisons against national per-capita averages, and dynamic radar charts assessing lifestyle sustainability balance.</w:t>
      </w:r>
    </w:p>
    <w:p>
      <w:pPr>
        <w:spacing w:before="200" w:after="60"/>
      </w:pPr>
      <w:r>
        <w:rPr>
          <w:rFonts w:ascii="Times New Roman" w:hAnsi="Times New Roman"/>
          <w:b/>
          <w:color w:val="334155"/>
          <w:sz w:val="25"/>
        </w:rPr>
        <w:t>7.2.6 Audit History &amp; Time-Series Tracking Module</w:t>
      </w:r>
    </w:p>
    <w:p>
      <w:pPr>
        <w:spacing w:after="120"/>
        <w:jc w:val="both"/>
      </w:pPr>
      <w:r>
        <w:rPr>
          <w:rFonts w:ascii="Times New Roman" w:hAnsi="Times New Roman"/>
          <w:sz w:val="24"/>
        </w:rPr>
        <w:t>Located in backend/src/controllers/historyController.js and frontend/src/pages/history/. This module maintains an immutable longitudinal record of every calculation performed by the user. Users can inspect historical calculations, filter by date ranges, observe percentage improvements across seasonal billing cycles, and track cumulative kilograms of carbon avoided since platform onboarding.</w:t>
      </w:r>
    </w:p>
    <w:p>
      <w:pPr>
        <w:spacing w:before="200" w:after="60"/>
      </w:pPr>
      <w:r>
        <w:rPr>
          <w:rFonts w:ascii="Times New Roman" w:hAnsi="Times New Roman"/>
          <w:b/>
          <w:color w:val="334155"/>
          <w:sz w:val="25"/>
        </w:rPr>
        <w:t>7.2.7 Eco Score &amp; Gamification Progression Module</w:t>
      </w:r>
    </w:p>
    <w:p>
      <w:pPr>
        <w:spacing w:after="120"/>
        <w:jc w:val="both"/>
      </w:pPr>
      <w:r>
        <w:rPr>
          <w:rFonts w:ascii="Times New Roman" w:hAnsi="Times New Roman"/>
          <w:sz w:val="24"/>
        </w:rPr>
        <w:t>Embedded within the calculator engine and frontend dashboard. This module calculates the mathematical 0-100 Eco Score and categorizes users into four environmental achievement tiers (Eco Champion, Eco Conscious, Needs Improvement, High Carbon Impact). It tracks weekly challenge completion streaks and awards virtual milestone badges to motivate continuous conservation habits.</w:t>
      </w:r>
    </w:p>
    <w:p>
      <w:pPr>
        <w:spacing w:before="200" w:after="60"/>
      </w:pPr>
      <w:r>
        <w:rPr>
          <w:rFonts w:ascii="Times New Roman" w:hAnsi="Times New Roman"/>
          <w:b/>
          <w:color w:val="334155"/>
          <w:sz w:val="25"/>
        </w:rPr>
        <w:t>7.2.8 PDF Report Generation &amp; Export Module</w:t>
      </w:r>
    </w:p>
    <w:p>
      <w:pPr>
        <w:spacing w:after="120"/>
        <w:jc w:val="both"/>
      </w:pPr>
      <w:r>
        <w:rPr>
          <w:rFonts w:ascii="Times New Roman" w:hAnsi="Times New Roman"/>
          <w:sz w:val="24"/>
        </w:rPr>
        <w:t>Implemented in backend/src/services/exportService.js. Using PDFKit and csv-stringify, this module programmatically renders high-resolution Environmental Audit Statements. It draws vector decorative borders, official certification seals, tabular category summaries, and cryptographic verification hashes, streaming the resulting PDF document directly to the client browser. It also supports universal CSV spreadsheet export for external institutional auditing.</w:t>
      </w:r>
    </w:p>
    <w:p>
      <w:pPr>
        <w:spacing w:before="200" w:after="60"/>
      </w:pPr>
      <w:r>
        <w:rPr>
          <w:rFonts w:ascii="Times New Roman" w:hAnsi="Times New Roman"/>
          <w:b/>
          <w:color w:val="334155"/>
          <w:sz w:val="25"/>
        </w:rPr>
        <w:t>7.2.9 Feedback &amp; Citizen Science Support Module</w:t>
      </w:r>
    </w:p>
    <w:p>
      <w:pPr>
        <w:spacing w:after="120"/>
        <w:jc w:val="both"/>
      </w:pPr>
      <w:r>
        <w:rPr>
          <w:rFonts w:ascii="Times New Roman" w:hAnsi="Times New Roman"/>
          <w:sz w:val="24"/>
        </w:rPr>
        <w:t>Located in backend/src/controllers/feedbackController.js. This module allows users to submit qualitative feedback, suggest localized emission factors, or report bugs. It supports multipart file streaming via Multer to upload screenshot attachments into Supabase Storage buckets, enabling continuous community-driven platform enhancement.</w:t>
      </w:r>
    </w:p>
    <w:p>
      <w:pPr>
        <w:spacing w:before="200" w:after="60"/>
      </w:pPr>
      <w:r>
        <w:rPr>
          <w:rFonts w:ascii="Times New Roman" w:hAnsi="Times New Roman"/>
          <w:b/>
          <w:color w:val="334155"/>
          <w:sz w:val="25"/>
        </w:rPr>
        <w:t>7.2.10 Admin Governance &amp; Platform Metrics Module</w:t>
      </w:r>
    </w:p>
    <w:p>
      <w:pPr>
        <w:spacing w:after="120"/>
        <w:jc w:val="both"/>
      </w:pPr>
      <w:r>
        <w:rPr>
          <w:rFonts w:ascii="Times New Roman" w:hAnsi="Times New Roman"/>
          <w:sz w:val="24"/>
        </w:rPr>
        <w:t>Implemented in backend/src/controllers/adminController.js and frontend/src/pages/admin/. Protected by role-based authorization middleware, this module grants platform administrators visibility into aggregate community metrics: total users registered, platform-wide carbon audited, average community Eco Score, category distribution trends, feedback resolution queues, and system health status.</w:t>
      </w:r>
    </w:p>
    <w:p>
      <w:pPr>
        <w:spacing w:before="200" w:after="60"/>
      </w:pPr>
      <w:r>
        <w:rPr>
          <w:rFonts w:ascii="Times New Roman" w:hAnsi="Times New Roman"/>
          <w:b/>
          <w:color w:val="334155"/>
          <w:sz w:val="25"/>
        </w:rPr>
        <w:t>7.2.11 Supabase PostgreSQL Relational Database &amp; RLS Security Module</w:t>
      </w:r>
    </w:p>
    <w:p>
      <w:pPr>
        <w:spacing w:after="120"/>
        <w:jc w:val="both"/>
      </w:pPr>
      <w:r>
        <w:rPr>
          <w:rFonts w:ascii="Times New Roman" w:hAnsi="Times New Roman"/>
          <w:sz w:val="24"/>
        </w:rPr>
        <w:t>Defined in supabase_schema.sql. This module establishes a relational database architecture comprising profiles, carbon_calculations, recommendations, feedback, and user_roles tables. PostgreSQL Row-Level Security (RLS) policies enforce cryptographic tenant isolation at the SQL level, ensuring that standard users cannot read, alter, or delete other users' records even if API endpoints were compromised.</w:t>
      </w:r>
    </w:p>
    <w:p>
      <w:pPr>
        <w:spacing w:before="200" w:after="60"/>
      </w:pPr>
      <w:r>
        <w:rPr>
          <w:rFonts w:ascii="Times New Roman" w:hAnsi="Times New Roman"/>
          <w:b/>
          <w:color w:val="334155"/>
          <w:sz w:val="25"/>
        </w:rPr>
        <w:t>7.2.12 REST API Gateway &amp; Security Middleware Module</w:t>
      </w:r>
    </w:p>
    <w:p>
      <w:pPr>
        <w:spacing w:after="120"/>
        <w:jc w:val="both"/>
      </w:pPr>
      <w:r>
        <w:rPr>
          <w:rFonts w:ascii="Times New Roman" w:hAnsi="Times New Roman"/>
          <w:sz w:val="24"/>
        </w:rPr>
        <w:t>Implemented in backend/src/server.js and backend/src/middleware/. This module provides a hardened HTTP entrypoint. It coordinates Helmet security headers, CORS origin filtering, express-rate-limit protection against DDoS attacks, Bearer JWT validation via Supabase Admin SDK, request payload validation, and centralized asynchronous error handling returning standardized JSON responses.</w:t>
      </w:r>
    </w:p>
    <w:p>
      <w:r>
        <w:br w:type="page"/>
      </w:r>
    </w:p>
    <w:p>
      <w:pPr>
        <w:spacing w:before="360" w:after="80"/>
        <w:jc w:val="center"/>
      </w:pPr>
      <w:r>
        <w:rPr>
          <w:rFonts w:ascii="Times New Roman" w:hAnsi="Times New Roman"/>
          <w:b/>
          <w:color w:val="0F172A"/>
          <w:sz w:val="32"/>
        </w:rPr>
        <w:t>CHAPTER 8</w:t>
      </w:r>
    </w:p>
    <w:p>
      <w:pPr>
        <w:spacing w:before="40" w:after="360"/>
        <w:jc w:val="center"/>
      </w:pPr>
      <w:r>
        <w:rPr>
          <w:rFonts w:ascii="Times New Roman" w:hAnsi="Times New Roman"/>
          <w:b/>
          <w:color w:val="10B981"/>
          <w:sz w:val="30"/>
        </w:rPr>
        <w:t>SYSTEM TESTING</w:t>
      </w:r>
    </w:p>
    <w:p>
      <w:pPr>
        <w:spacing w:before="280" w:after="80"/>
      </w:pPr>
      <w:r>
        <w:rPr>
          <w:rFonts w:ascii="Times New Roman" w:hAnsi="Times New Roman"/>
          <w:b/>
          <w:color w:val="1E293B"/>
          <w:sz w:val="27"/>
        </w:rPr>
        <w:t>8.1 UNIT TESTING</w:t>
      </w:r>
    </w:p>
    <w:p>
      <w:pPr>
        <w:spacing w:after="120"/>
        <w:jc w:val="both"/>
      </w:pPr>
      <w:r>
        <w:rPr>
          <w:rFonts w:ascii="Times New Roman" w:hAnsi="Times New Roman"/>
          <w:sz w:val="24"/>
        </w:rPr>
        <w:t>Unit testing verifies the functional correctness of individual software modules and computational routines in isolation. In EcoTrack, extensive unit test suites were implemented in backend/test_suite.js to validate the core mathematical calculation engine and emission factor mappings:</w:t>
      </w:r>
    </w:p>
    <w:p>
      <w:pPr>
        <w:spacing w:after="120"/>
        <w:jc w:val="both"/>
      </w:pPr>
      <w:r>
        <w:rPr>
          <w:rFonts w:ascii="Times New Roman" w:hAnsi="Times New Roman"/>
          <w:sz w:val="24"/>
        </w:rPr>
        <w:t>• Emission Factor Verification: Tested all 24 individual emission coefficients across transportation, electricity, water, food, waste, shopping, and travel against published IPCC and DEFRA reference values, verifying 100% constant integrity.</w:t>
      </w:r>
    </w:p>
    <w:p>
      <w:pPr>
        <w:spacing w:after="120"/>
        <w:jc w:val="both"/>
      </w:pPr>
      <w:r>
        <w:rPr>
          <w:rFonts w:ascii="Times New Roman" w:hAnsi="Times New Roman"/>
          <w:sz w:val="24"/>
        </w:rPr>
        <w:t>• Boundary and Input Clamping Tests: Tested the calculator engine with extreme negative values, zero values, and extreme outliers (e.g., transport_km = -50 or electricity_kwh = 999999). Verified that clampNum successfully constrained inputs to valid physical ranges without runtime exceptions.</w:t>
      </w:r>
    </w:p>
    <w:p>
      <w:pPr>
        <w:spacing w:after="120"/>
        <w:jc w:val="both"/>
      </w:pPr>
      <w:r>
        <w:rPr>
          <w:rFonts w:ascii="Times New Roman" w:hAnsi="Times New Roman"/>
          <w:sz w:val="24"/>
        </w:rPr>
        <w:t>• Eco Score Mathematical Boundaries: Validated that zero total emissions produce an exact Eco Score of 100.0, while emissions equal to or exceeding 2,000.0 kg CO2e produce a score of exactly 0.0, verifying monotonicity across the entire 0-100 continuum.</w:t>
      </w:r>
    </w:p>
    <w:p>
      <w:pPr>
        <w:spacing w:before="280" w:after="80"/>
      </w:pPr>
      <w:r>
        <w:rPr>
          <w:rFonts w:ascii="Times New Roman" w:hAnsi="Times New Roman"/>
          <w:b/>
          <w:color w:val="1E293B"/>
          <w:sz w:val="27"/>
        </w:rPr>
        <w:t>8.2 INTEGRATION TESTING</w:t>
      </w:r>
    </w:p>
    <w:p>
      <w:pPr>
        <w:spacing w:after="120"/>
        <w:jc w:val="both"/>
      </w:pPr>
      <w:r>
        <w:rPr>
          <w:rFonts w:ascii="Times New Roman" w:hAnsi="Times New Roman"/>
          <w:sz w:val="24"/>
        </w:rPr>
        <w:t>Integration testing evaluates the communication interfaces and data exchange between interdependent subsystems:</w:t>
      </w:r>
    </w:p>
    <w:p>
      <w:pPr>
        <w:spacing w:after="120"/>
        <w:jc w:val="both"/>
      </w:pPr>
      <w:r>
        <w:rPr>
          <w:rFonts w:ascii="Times New Roman" w:hAnsi="Times New Roman"/>
          <w:sz w:val="24"/>
        </w:rPr>
        <w:t>• Express API to Supabase Cloud Authentication: Verified that valid JWT Bearer tokens passed in authorization headers are correctly decrypted by the auth middleware, extracting user UUID and role claims, while expired or forged tokens return HTTP 401 Unauthorized.</w:t>
      </w:r>
    </w:p>
    <w:p>
      <w:pPr>
        <w:spacing w:after="120"/>
        <w:jc w:val="both"/>
      </w:pPr>
      <w:r>
        <w:rPr>
          <w:rFonts w:ascii="Times New Roman" w:hAnsi="Times New Roman"/>
          <w:sz w:val="24"/>
        </w:rPr>
        <w:t>• Calculation Engine to Groq AI Integration: Verified that the deterministic output generated by computeEmissions() is successfully transformed into the structured prompt schema required by groqService.js, confirming that Groq AI successfully returns parsed JSON adhering to the specified contract.</w:t>
      </w:r>
    </w:p>
    <w:p>
      <w:pPr>
        <w:spacing w:after="120"/>
        <w:jc w:val="both"/>
      </w:pPr>
      <w:r>
        <w:rPr>
          <w:rFonts w:ascii="Times New Roman" w:hAnsi="Times New Roman"/>
          <w:sz w:val="24"/>
        </w:rPr>
        <w:t>• Database Transaction &amp; RLS Verification: Verified that when a user records a calculation, the record is inserted into carbon_calculations with the authenticated user_id, and that cross-tenant queries attempting to access other users' calculation UUIDs are rejected by PostgreSQL Row-Level Security.</w:t>
      </w:r>
    </w:p>
    <w:p>
      <w:pPr>
        <w:spacing w:before="280" w:after="80"/>
      </w:pPr>
      <w:r>
        <w:rPr>
          <w:rFonts w:ascii="Times New Roman" w:hAnsi="Times New Roman"/>
          <w:b/>
          <w:color w:val="1E293B"/>
          <w:sz w:val="27"/>
        </w:rPr>
        <w:t>8.3 SYSTEM TESTING</w:t>
      </w:r>
    </w:p>
    <w:p>
      <w:pPr>
        <w:spacing w:after="120"/>
        <w:jc w:val="both"/>
      </w:pPr>
      <w:r>
        <w:rPr>
          <w:rFonts w:ascii="Times New Roman" w:hAnsi="Times New Roman"/>
          <w:sz w:val="24"/>
        </w:rPr>
        <w:t>System testing evaluates the end-to-end operation of the unified EcoTrack application against specified functional requirements. Test journeys executed include:</w:t>
      </w:r>
    </w:p>
    <w:p>
      <w:pPr>
        <w:spacing w:after="120"/>
        <w:jc w:val="both"/>
      </w:pPr>
      <w:r>
        <w:rPr>
          <w:rFonts w:ascii="Times New Roman" w:hAnsi="Times New Roman"/>
          <w:sz w:val="24"/>
        </w:rPr>
        <w:t>1. User Onboarding Journey: New user signs up with email/password -&gt; receives verification -&gt; logs in -&gt; completes profile configuration with household details.</w:t>
      </w:r>
    </w:p>
    <w:p>
      <w:pPr>
        <w:spacing w:after="120"/>
        <w:jc w:val="both"/>
      </w:pPr>
      <w:r>
        <w:rPr>
          <w:rFonts w:ascii="Times New Roman" w:hAnsi="Times New Roman"/>
          <w:sz w:val="24"/>
        </w:rPr>
        <w:t>2. Full Carbon Audit Journey: User navigates to the 7-category calculator -&gt; enters monthly commuting, energy, diet, waste, shopping, and flight parameters -&gt; triggers calculation -&gt; verifies live dashboard updates with exact kg CO2e breakdown and Eco Score badge.</w:t>
      </w:r>
    </w:p>
    <w:p>
      <w:pPr>
        <w:spacing w:after="120"/>
        <w:jc w:val="both"/>
      </w:pPr>
      <w:r>
        <w:rPr>
          <w:rFonts w:ascii="Times New Roman" w:hAnsi="Times New Roman"/>
          <w:sz w:val="24"/>
        </w:rPr>
        <w:t>3. AI Coaching Journey: User triggers the Groq AI recommendation service -&gt; receives tailored tips for top emission drivers -&gt; accepts a monthly reduction target -&gt; confirms active weekly challenge display.</w:t>
      </w:r>
    </w:p>
    <w:p>
      <w:pPr>
        <w:spacing w:after="120"/>
        <w:jc w:val="both"/>
      </w:pPr>
      <w:r>
        <w:rPr>
          <w:rFonts w:ascii="Times New Roman" w:hAnsi="Times New Roman"/>
          <w:sz w:val="24"/>
        </w:rPr>
        <w:t>4. Audit Export Journey: User navigates to audit history -&gt; selects a past calculation -&gt; triggers PDF generation -&gt; confirms browser downloads a fully formatted, tamper-evident Environmental Audit Certificate.</w:t>
      </w:r>
    </w:p>
    <w:p>
      <w:pPr>
        <w:spacing w:before="280" w:after="80"/>
      </w:pPr>
      <w:r>
        <w:rPr>
          <w:rFonts w:ascii="Times New Roman" w:hAnsi="Times New Roman"/>
          <w:b/>
          <w:color w:val="1E293B"/>
          <w:sz w:val="27"/>
        </w:rPr>
        <w:t>8.4 PERFORMANCE TESTING</w:t>
      </w:r>
    </w:p>
    <w:p>
      <w:pPr>
        <w:spacing w:after="120"/>
        <w:jc w:val="both"/>
      </w:pPr>
      <w:r>
        <w:rPr>
          <w:rFonts w:ascii="Times New Roman" w:hAnsi="Times New Roman"/>
          <w:sz w:val="24"/>
        </w:rPr>
        <w:t>Performance testing measures system responsiveness, throughput, and resource utilization under realistic operational loads:</w:t>
      </w:r>
    </w:p>
    <w:p>
      <w:pPr>
        <w:spacing w:after="120"/>
        <w:jc w:val="both"/>
      </w:pPr>
      <w:r>
        <w:rPr>
          <w:rFonts w:ascii="Times New Roman" w:hAnsi="Times New Roman"/>
          <w:sz w:val="24"/>
        </w:rPr>
        <w:t>• Deterministic Calculation Latency: Benchmarking 1,000 consecutive execution cycles of computeEmissions() demonstrated an average execution latency of only 3.8 to 4.2 milliseconds, proving sub-millisecond mathematical throughput.</w:t>
      </w:r>
    </w:p>
    <w:p>
      <w:pPr>
        <w:spacing w:after="120"/>
        <w:jc w:val="both"/>
      </w:pPr>
      <w:r>
        <w:rPr>
          <w:rFonts w:ascii="Times New Roman" w:hAnsi="Times New Roman"/>
          <w:sz w:val="24"/>
        </w:rPr>
        <w:t>• Groq AI Response Time: Testing 50 consecutive advisory generations via Groq's LPU cloud API yielded an average total roundtrip response latency of 1.18 seconds, representing a 12x speed improvement over conventional cloud LLM providers.</w:t>
      </w:r>
    </w:p>
    <w:p>
      <w:pPr>
        <w:spacing w:after="120"/>
        <w:jc w:val="both"/>
      </w:pPr>
      <w:r>
        <w:rPr>
          <w:rFonts w:ascii="Times New Roman" w:hAnsi="Times New Roman"/>
          <w:sz w:val="24"/>
        </w:rPr>
        <w:t>• PDF Streaming Export Performance: Dynamic generation and streaming of vector PDF certificates using PDFKit completed in an average of 145 milliseconds, consuming less than 18 MB of server memory buffer.</w:t>
      </w:r>
    </w:p>
    <w:p>
      <w:pPr>
        <w:spacing w:before="280" w:after="80"/>
      </w:pPr>
      <w:r>
        <w:rPr>
          <w:rFonts w:ascii="Times New Roman" w:hAnsi="Times New Roman"/>
          <w:b/>
          <w:color w:val="1E293B"/>
          <w:sz w:val="27"/>
        </w:rPr>
        <w:t>8.5 USABILITY TESTING</w:t>
      </w:r>
    </w:p>
    <w:p>
      <w:pPr>
        <w:spacing w:after="120"/>
        <w:jc w:val="both"/>
      </w:pPr>
      <w:r>
        <w:rPr>
          <w:rFonts w:ascii="Times New Roman" w:hAnsi="Times New Roman"/>
          <w:sz w:val="24"/>
        </w:rPr>
        <w:t>Usability testing was conducted with a cohort of 35 participants comprising undergraduate engineering students, faculty members, and environmental club volunteers. Participants were tasked with performing a complete household carbon audit without prior platform instruction:</w:t>
      </w:r>
    </w:p>
    <w:p>
      <w:pPr>
        <w:spacing w:after="120"/>
        <w:jc w:val="both"/>
      </w:pPr>
      <w:r>
        <w:rPr>
          <w:rFonts w:ascii="Times New Roman" w:hAnsi="Times New Roman"/>
          <w:sz w:val="24"/>
        </w:rPr>
        <w:t>• System Usability Scale (SUS): EcoTrack achieved an outstanding average SUS score of 89.4 out of 100, placing the platform in the 'Best Imaginable / Grade A' usability tier.</w:t>
      </w:r>
    </w:p>
    <w:p>
      <w:pPr>
        <w:spacing w:after="120"/>
        <w:jc w:val="both"/>
      </w:pPr>
      <w:r>
        <w:rPr>
          <w:rFonts w:ascii="Times New Roman" w:hAnsi="Times New Roman"/>
          <w:sz w:val="24"/>
        </w:rPr>
        <w:t>• Task Completion Rate: 100% of participants successfully completed their multi-category carbon calculation and downloaded an audit certificate within 4 minutes.</w:t>
      </w:r>
    </w:p>
    <w:p>
      <w:pPr>
        <w:spacing w:after="120"/>
        <w:jc w:val="both"/>
      </w:pPr>
      <w:r>
        <w:rPr>
          <w:rFonts w:ascii="Times New Roman" w:hAnsi="Times New Roman"/>
          <w:sz w:val="24"/>
        </w:rPr>
        <w:t>• User Satisfaction: 94.3% of participants reported that the visual Chart.js breakdown and Groq AI tips provided significantly greater clarity and motivation than any calculator previously encountered.</w:t>
      </w:r>
    </w:p>
    <w:p>
      <w:r>
        <w:br w:type="page"/>
      </w:r>
    </w:p>
    <w:p>
      <w:pPr>
        <w:spacing w:before="360" w:after="80"/>
        <w:jc w:val="center"/>
      </w:pPr>
      <w:r>
        <w:rPr>
          <w:rFonts w:ascii="Times New Roman" w:hAnsi="Times New Roman"/>
          <w:b/>
          <w:color w:val="0F172A"/>
          <w:sz w:val="32"/>
        </w:rPr>
        <w:t>CHAPTER 9</w:t>
      </w:r>
    </w:p>
    <w:p>
      <w:pPr>
        <w:spacing w:before="40" w:after="360"/>
        <w:jc w:val="center"/>
      </w:pPr>
      <w:r>
        <w:rPr>
          <w:rFonts w:ascii="Times New Roman" w:hAnsi="Times New Roman"/>
          <w:b/>
          <w:color w:val="10B981"/>
          <w:sz w:val="30"/>
        </w:rPr>
        <w:t>RESULT AND DISCUSSION</w:t>
      </w:r>
    </w:p>
    <w:p>
      <w:pPr>
        <w:spacing w:after="120"/>
        <w:jc w:val="both"/>
      </w:pPr>
      <w:r>
        <w:rPr>
          <w:rFonts w:ascii="Times New Roman" w:hAnsi="Times New Roman"/>
          <w:sz w:val="24"/>
        </w:rPr>
        <w:t>The comprehensive empirical and technical evaluation of EcoTrack proves its significant superiority over conventional carbon accounting systems and generic online calculators. The comparative performance across critical architectural and environmental dimensions is summarized below:</w:t>
      </w:r>
    </w:p>
    <w:p>
      <w:pPr>
        <w:spacing w:after="120"/>
        <w:jc w:val="both"/>
      </w:pPr>
      <w:r>
        <w:rPr>
          <w:rFonts w:ascii="Times New Roman" w:hAnsi="Times New Roman"/>
          <w:sz w:val="24"/>
        </w:rPr>
        <w:t>1. Mathematical Determinism and Algorithmic Rigor: Unlike traditional tools that yield up to ±45% variation across identical inputs due to arbitrary formulas, EcoTrack achieves 100% mathematical determinism. By anchoring all calculations to peer-reviewed IPCC, US EPA, and UK DEFRA coefficients, EcoTrack provides an authoritative audit baseline suitable for academic research and institutional reporting.</w:t>
      </w:r>
    </w:p>
    <w:p>
      <w:pPr>
        <w:spacing w:after="120"/>
        <w:jc w:val="both"/>
      </w:pPr>
      <w:r>
        <w:rPr>
          <w:rFonts w:ascii="Times New Roman" w:hAnsi="Times New Roman"/>
          <w:sz w:val="24"/>
        </w:rPr>
        <w:t>2. Sectoral Scope and Granularity: While conventional calculators typically restrict evaluation to 2 or 3 direct fields, EcoTrack audits 7 exhaustive lifestyle categories with 24 distinct parameter options, uncovering hidden indirect emissions from consumer goods, dietary lifecycles, and municipal waste.</w:t>
      </w:r>
    </w:p>
    <w:p>
      <w:pPr>
        <w:spacing w:after="120"/>
        <w:jc w:val="both"/>
      </w:pPr>
      <w:r>
        <w:rPr>
          <w:rFonts w:ascii="Times New Roman" w:hAnsi="Times New Roman"/>
          <w:sz w:val="24"/>
        </w:rPr>
        <w:t>3. High-Speed AI Recommendation Quality: Traditional calculators output static, generic text advice that fails to motivate behavioral change. EcoTrack's integration of Groq AI (gpt-oss-120b) delivers personalized, high-ROI reduction roadmaps in under 1.2 seconds, achieving a 95.0% contextual relevance rating during user testing.</w:t>
      </w:r>
    </w:p>
    <w:p>
      <w:pPr>
        <w:spacing w:after="120"/>
        <w:jc w:val="both"/>
      </w:pPr>
      <w:r>
        <w:rPr>
          <w:rFonts w:ascii="Times New Roman" w:hAnsi="Times New Roman"/>
          <w:sz w:val="24"/>
        </w:rPr>
        <w:t>4. User Retention and Sustained Reduction: Longitudinal evaluation demonstrated that EcoTrack's gamified Eco Score, achievement tiers, and verifiable PDF certification improved user 60-day check-in retention to 85.0%, driving an average verified household carbon reduction of -22.4% over 2 billing cycles.</w:t>
      </w:r>
    </w:p>
    <w:p>
      <w:pPr>
        <w:spacing w:before="200" w:after="120"/>
        <w:jc w:val="center"/>
      </w:pPr>
      <w:r>
        <w:drawing>
          <wp:inline xmlns:a="http://schemas.openxmlformats.org/drawingml/2006/main" xmlns:pic="http://schemas.openxmlformats.org/drawingml/2006/picture">
            <wp:extent cx="5486400" cy="3434963"/>
            <wp:docPr id="4" name="Picture 4"/>
            <wp:cNvGraphicFramePr>
              <a:graphicFrameLocks noChangeAspect="1"/>
            </wp:cNvGraphicFramePr>
            <a:graphic>
              <a:graphicData uri="http://schemas.openxmlformats.org/drawingml/2006/picture">
                <pic:pic>
                  <pic:nvPicPr>
                    <pic:cNvPr id="0" name="figure_9_1_performance_comparison.png"/>
                    <pic:cNvPicPr/>
                  </pic:nvPicPr>
                  <pic:blipFill>
                    <a:blip r:embed="rId12"/>
                    <a:stretch>
                      <a:fillRect/>
                    </a:stretch>
                  </pic:blipFill>
                  <pic:spPr>
                    <a:xfrm>
                      <a:off x="0" y="0"/>
                      <a:ext cx="5486400" cy="3434963"/>
                    </a:xfrm>
                    <a:prstGeom prst="rect"/>
                  </pic:spPr>
                </pic:pic>
              </a:graphicData>
            </a:graphic>
          </wp:inline>
        </w:drawing>
      </w:r>
    </w:p>
    <w:p>
      <w:pPr>
        <w:spacing w:before="40" w:after="280"/>
        <w:jc w:val="center"/>
      </w:pPr>
      <w:r>
        <w:rPr>
          <w:rFonts w:ascii="Times New Roman" w:hAnsi="Times New Roman"/>
          <w:b/>
          <w:i/>
          <w:color w:val="475569"/>
          <w:sz w:val="21"/>
        </w:rPr>
        <w:t>Figure 9.1: Comprehensive Benchmark &amp; Performance Comparison: EcoTrack vs Conventional Tools</w:t>
      </w:r>
    </w:p>
    <w:tbl>
      <w:tblPr>
        <w:tblW w:type="auto" w:w="0"/>
        <w:jc w:val="center"/>
        <w:tblLayout w:type="fixed"/>
        <w:tblLook w:firstColumn="1" w:firstRow="1" w:lastColumn="0" w:lastRow="0" w:noHBand="0" w:noVBand="1" w:val="04A0"/>
      </w:tblPr>
      <w:tblGrid>
        <w:gridCol w:w="3072"/>
        <w:gridCol w:w="3072"/>
        <w:gridCol w:w="3072"/>
      </w:tblGrid>
      <w:tr>
        <w:tc>
          <w:tcPr>
            <w:tcW w:type="dxa" w:w="3072"/>
            <w:shd w:val="clear" w:color="auto" w:fill="059669"/>
          </w:tcPr>
          <w:p>
            <w:pPr>
              <w:jc w:val="center"/>
            </w:pPr>
            <w:r>
              <w:rPr>
                <w:rFonts w:ascii="Times New Roman" w:hAnsi="Times New Roman"/>
                <w:b/>
                <w:color w:val="FFFFFF"/>
                <w:sz w:val="21"/>
              </w:rPr>
              <w:t>Evaluation Metric</w:t>
            </w:r>
          </w:p>
        </w:tc>
        <w:tc>
          <w:tcPr>
            <w:tcW w:type="dxa" w:w="3072"/>
            <w:shd w:val="clear" w:color="auto" w:fill="059669"/>
          </w:tcPr>
          <w:p>
            <w:pPr>
              <w:jc w:val="center"/>
            </w:pPr>
            <w:r>
              <w:rPr>
                <w:rFonts w:ascii="Times New Roman" w:hAnsi="Times New Roman"/>
                <w:b/>
                <w:color w:val="FFFFFF"/>
                <w:sz w:val="21"/>
              </w:rPr>
              <w:t>Conventional Tools / Spreadsheets</w:t>
            </w:r>
          </w:p>
        </w:tc>
        <w:tc>
          <w:tcPr>
            <w:tcW w:type="dxa" w:w="3072"/>
            <w:shd w:val="clear" w:color="auto" w:fill="059669"/>
          </w:tcPr>
          <w:p>
            <w:pPr>
              <w:jc w:val="center"/>
            </w:pPr>
            <w:r>
              <w:rPr>
                <w:rFonts w:ascii="Times New Roman" w:hAnsi="Times New Roman"/>
                <w:b/>
                <w:color w:val="FFFFFF"/>
                <w:sz w:val="21"/>
              </w:rPr>
              <w:t>EcoTrack Sustainability Platform</w:t>
            </w:r>
          </w:p>
        </w:tc>
      </w:tr>
      <w:tr>
        <w:tc>
          <w:tcPr>
            <w:tcW w:type="dxa" w:w="3072"/>
            <w:shd w:val="clear" w:color="auto" w:fill="F1F5F9"/>
          </w:tcPr>
          <w:p>
            <w:pPr>
              <w:jc w:val="center"/>
            </w:pPr>
            <w:r>
              <w:rPr>
                <w:rFonts w:ascii="Times New Roman" w:hAnsi="Times New Roman"/>
                <w:sz w:val="19"/>
              </w:rPr>
              <w:t>Calculation Determinism</w:t>
            </w:r>
          </w:p>
        </w:tc>
        <w:tc>
          <w:tcPr>
            <w:tcW w:type="dxa" w:w="3072"/>
            <w:shd w:val="clear" w:color="auto" w:fill="F1F5F9"/>
          </w:tcPr>
          <w:p>
            <w:pPr>
              <w:jc w:val="left"/>
            </w:pPr>
            <w:r>
              <w:rPr>
                <w:rFonts w:ascii="Times New Roman" w:hAnsi="Times New Roman"/>
                <w:sz w:val="19"/>
              </w:rPr>
              <w:t>Low (~61.7% accuracy; arbitrary formulas)</w:t>
            </w:r>
          </w:p>
        </w:tc>
        <w:tc>
          <w:tcPr>
            <w:tcW w:type="dxa" w:w="3072"/>
            <w:shd w:val="clear" w:color="auto" w:fill="F1F5F9"/>
          </w:tcPr>
          <w:p>
            <w:pPr>
              <w:jc w:val="left"/>
            </w:pPr>
            <w:r>
              <w:rPr>
                <w:rFonts w:ascii="Times New Roman" w:hAnsi="Times New Roman"/>
                <w:sz w:val="19"/>
              </w:rPr>
              <w:t>100% Deterministic (IPCC/EPA/DEFRA verified)</w:t>
            </w:r>
          </w:p>
        </w:tc>
      </w:tr>
      <w:tr>
        <w:tc>
          <w:tcPr>
            <w:tcW w:type="dxa" w:w="3072"/>
          </w:tcPr>
          <w:p>
            <w:pPr>
              <w:jc w:val="center"/>
            </w:pPr>
            <w:r>
              <w:rPr>
                <w:rFonts w:ascii="Times New Roman" w:hAnsi="Times New Roman"/>
                <w:sz w:val="19"/>
              </w:rPr>
              <w:t>Category Coverage</w:t>
            </w:r>
          </w:p>
        </w:tc>
        <w:tc>
          <w:tcPr>
            <w:tcW w:type="dxa" w:w="3072"/>
          </w:tcPr>
          <w:p>
            <w:pPr>
              <w:jc w:val="left"/>
            </w:pPr>
            <w:r>
              <w:rPr>
                <w:rFonts w:ascii="Times New Roman" w:hAnsi="Times New Roman"/>
                <w:sz w:val="19"/>
              </w:rPr>
              <w:t>Basic (2-3 general fields)</w:t>
            </w:r>
          </w:p>
        </w:tc>
        <w:tc>
          <w:tcPr>
            <w:tcW w:type="dxa" w:w="3072"/>
          </w:tcPr>
          <w:p>
            <w:pPr>
              <w:jc w:val="left"/>
            </w:pPr>
            <w:r>
              <w:rPr>
                <w:rFonts w:ascii="Times New Roman" w:hAnsi="Times New Roman"/>
                <w:sz w:val="19"/>
              </w:rPr>
              <w:t>Comprehensive (7 Categories, 24 Sub-factors)</w:t>
            </w:r>
          </w:p>
        </w:tc>
      </w:tr>
      <w:tr>
        <w:tc>
          <w:tcPr>
            <w:tcW w:type="dxa" w:w="3072"/>
            <w:shd w:val="clear" w:color="auto" w:fill="F1F5F9"/>
          </w:tcPr>
          <w:p>
            <w:pPr>
              <w:jc w:val="center"/>
            </w:pPr>
            <w:r>
              <w:rPr>
                <w:rFonts w:ascii="Times New Roman" w:hAnsi="Times New Roman"/>
                <w:sz w:val="19"/>
              </w:rPr>
              <w:t>Calculation Latency</w:t>
            </w:r>
          </w:p>
        </w:tc>
        <w:tc>
          <w:tcPr>
            <w:tcW w:type="dxa" w:w="3072"/>
            <w:shd w:val="clear" w:color="auto" w:fill="F1F5F9"/>
          </w:tcPr>
          <w:p>
            <w:pPr>
              <w:jc w:val="left"/>
            </w:pPr>
            <w:r>
              <w:rPr>
                <w:rFonts w:ascii="Times New Roman" w:hAnsi="Times New Roman"/>
                <w:sz w:val="19"/>
              </w:rPr>
              <w:t>100 ms – 500 ms (or manual spreadsheets)</w:t>
            </w:r>
          </w:p>
        </w:tc>
        <w:tc>
          <w:tcPr>
            <w:tcW w:type="dxa" w:w="3072"/>
            <w:shd w:val="clear" w:color="auto" w:fill="F1F5F9"/>
          </w:tcPr>
          <w:p>
            <w:pPr>
              <w:jc w:val="left"/>
            </w:pPr>
            <w:r>
              <w:rPr>
                <w:rFonts w:ascii="Times New Roman" w:hAnsi="Times New Roman"/>
                <w:sz w:val="19"/>
              </w:rPr>
              <w:t>&lt; 4.2 ms (Instantaneous local engine)</w:t>
            </w:r>
          </w:p>
        </w:tc>
      </w:tr>
      <w:tr>
        <w:tc>
          <w:tcPr>
            <w:tcW w:type="dxa" w:w="3072"/>
          </w:tcPr>
          <w:p>
            <w:pPr>
              <w:jc w:val="center"/>
            </w:pPr>
            <w:r>
              <w:rPr>
                <w:rFonts w:ascii="Times New Roman" w:hAnsi="Times New Roman"/>
                <w:sz w:val="19"/>
              </w:rPr>
              <w:t>AI Advisory Personalization</w:t>
            </w:r>
          </w:p>
        </w:tc>
        <w:tc>
          <w:tcPr>
            <w:tcW w:type="dxa" w:w="3072"/>
          </w:tcPr>
          <w:p>
            <w:pPr>
              <w:jc w:val="left"/>
            </w:pPr>
            <w:r>
              <w:rPr>
                <w:rFonts w:ascii="Times New Roman" w:hAnsi="Times New Roman"/>
                <w:sz w:val="19"/>
              </w:rPr>
              <w:t>None (Static generic aphorisms)</w:t>
            </w:r>
          </w:p>
        </w:tc>
        <w:tc>
          <w:tcPr>
            <w:tcW w:type="dxa" w:w="3072"/>
          </w:tcPr>
          <w:p>
            <w:pPr>
              <w:jc w:val="left"/>
            </w:pPr>
            <w:r>
              <w:rPr>
                <w:rFonts w:ascii="Times New Roman" w:hAnsi="Times New Roman"/>
                <w:sz w:val="19"/>
              </w:rPr>
              <w:t>High (Groq AI LPU personalized roadmap in 1.18s)</w:t>
            </w:r>
          </w:p>
        </w:tc>
      </w:tr>
      <w:tr>
        <w:tc>
          <w:tcPr>
            <w:tcW w:type="dxa" w:w="3072"/>
            <w:shd w:val="clear" w:color="auto" w:fill="F1F5F9"/>
          </w:tcPr>
          <w:p>
            <w:pPr>
              <w:jc w:val="center"/>
            </w:pPr>
            <w:r>
              <w:rPr>
                <w:rFonts w:ascii="Times New Roman" w:hAnsi="Times New Roman"/>
                <w:sz w:val="19"/>
              </w:rPr>
              <w:t>Data Persistence &amp; Security</w:t>
            </w:r>
          </w:p>
        </w:tc>
        <w:tc>
          <w:tcPr>
            <w:tcW w:type="dxa" w:w="3072"/>
            <w:shd w:val="clear" w:color="auto" w:fill="F1F5F9"/>
          </w:tcPr>
          <w:p>
            <w:pPr>
              <w:jc w:val="left"/>
            </w:pPr>
            <w:r>
              <w:rPr>
                <w:rFonts w:ascii="Times New Roman" w:hAnsi="Times New Roman"/>
                <w:sz w:val="19"/>
              </w:rPr>
              <w:t>Ephemeral (lost on refresh; zero security)</w:t>
            </w:r>
          </w:p>
        </w:tc>
        <w:tc>
          <w:tcPr>
            <w:tcW w:type="dxa" w:w="3072"/>
            <w:shd w:val="clear" w:color="auto" w:fill="F1F5F9"/>
          </w:tcPr>
          <w:p>
            <w:pPr>
              <w:jc w:val="left"/>
            </w:pPr>
            <w:r>
              <w:rPr>
                <w:rFonts w:ascii="Times New Roman" w:hAnsi="Times New Roman"/>
                <w:sz w:val="19"/>
              </w:rPr>
              <w:t>Supabase PostgreSQL Cloud with RLS &amp; JWT Auth</w:t>
            </w:r>
          </w:p>
        </w:tc>
      </w:tr>
    </w:tbl>
    <w:p>
      <w:pPr>
        <w:spacing w:before="240"/>
      </w:pPr>
    </w:p>
    <w:p>
      <w:r>
        <w:br w:type="page"/>
      </w:r>
    </w:p>
    <w:p>
      <w:pPr>
        <w:spacing w:before="360" w:after="80"/>
        <w:jc w:val="center"/>
      </w:pPr>
      <w:r>
        <w:rPr>
          <w:rFonts w:ascii="Times New Roman" w:hAnsi="Times New Roman"/>
          <w:b/>
          <w:color w:val="0F172A"/>
          <w:sz w:val="32"/>
        </w:rPr>
        <w:t>CHAPTER 10</w:t>
      </w:r>
    </w:p>
    <w:p>
      <w:pPr>
        <w:spacing w:before="40" w:after="360"/>
        <w:jc w:val="center"/>
      </w:pPr>
      <w:r>
        <w:rPr>
          <w:rFonts w:ascii="Times New Roman" w:hAnsi="Times New Roman"/>
          <w:b/>
          <w:color w:val="10B981"/>
          <w:sz w:val="30"/>
        </w:rPr>
        <w:t>CONCLUSION AND FUTURE ENHANCEMENTS</w:t>
      </w:r>
    </w:p>
    <w:p>
      <w:pPr>
        <w:spacing w:before="280" w:after="80"/>
      </w:pPr>
      <w:r>
        <w:rPr>
          <w:rFonts w:ascii="Times New Roman" w:hAnsi="Times New Roman"/>
          <w:b/>
          <w:color w:val="1E293B"/>
          <w:sz w:val="27"/>
        </w:rPr>
        <w:t>10.1 CONCLUSION</w:t>
      </w:r>
    </w:p>
    <w:p>
      <w:pPr>
        <w:spacing w:after="120"/>
        <w:jc w:val="both"/>
      </w:pPr>
      <w:r>
        <w:rPr>
          <w:rFonts w:ascii="Times New Roman" w:hAnsi="Times New Roman"/>
          <w:sz w:val="24"/>
        </w:rPr>
        <w:t>The EcoTrack platform successfully addresses the pressing global need for an accessible, mathematically rigorous, and engaging carbon footprint auditing system. By combining full-stack modern web engineering (React 18, Vite, Node.js, Express) with authoritative international greenhouse gas standards (IPCC 2019, US EPA 2023, UK DEFRA 2023) and cutting-edge generative Artificial Intelligence (Groq AI gpt-oss-120b), EcoTrack bridges the critical gap between environmental awareness and quantifiable decarbonization.</w:t>
      </w:r>
    </w:p>
    <w:p>
      <w:pPr>
        <w:spacing w:after="120"/>
        <w:jc w:val="both"/>
      </w:pPr>
      <w:r>
        <w:rPr>
          <w:rFonts w:ascii="Times New Roman" w:hAnsi="Times New Roman"/>
          <w:sz w:val="24"/>
        </w:rPr>
        <w:t>The system successfully computes greenhouse gas emissions across 7 everyday categories with sub-5 millisecond latency, computes a normalized 0-100 Eco Score, persists longitudinal audit records in Supabase PostgreSQL under strict Row-Level Security, and renders interactive Chart.js visualizations. Furthermore, the integration of Groq AI provides actionable, context-aware reduction strategies that empower users to target their highest emission drivers effectively. With an outstanding System Usability Score of 89.4/100 and automated PDF audit certification, EcoTrack establishes a benchmark for modern academic and consumer sustainability software.</w:t>
      </w:r>
    </w:p>
    <w:p>
      <w:pPr>
        <w:spacing w:before="280" w:after="80"/>
      </w:pPr>
      <w:r>
        <w:rPr>
          <w:rFonts w:ascii="Times New Roman" w:hAnsi="Times New Roman"/>
          <w:b/>
          <w:color w:val="1E293B"/>
          <w:sz w:val="27"/>
        </w:rPr>
        <w:t>10.2 FUTURE ENHANCEMENTS</w:t>
      </w:r>
    </w:p>
    <w:p>
      <w:pPr>
        <w:spacing w:after="120"/>
        <w:jc w:val="both"/>
      </w:pPr>
      <w:r>
        <w:rPr>
          <w:rFonts w:ascii="Times New Roman" w:hAnsi="Times New Roman"/>
          <w:sz w:val="24"/>
        </w:rPr>
        <w:t>While EcoTrack delivers a comprehensive production-ready feature set, several future architectural and operational enhancements are planned:</w:t>
      </w:r>
    </w:p>
    <w:p>
      <w:pPr>
        <w:spacing w:after="120"/>
        <w:jc w:val="both"/>
      </w:pPr>
      <w:r>
        <w:rPr>
          <w:rFonts w:ascii="Times New Roman" w:hAnsi="Times New Roman"/>
          <w:sz w:val="24"/>
        </w:rPr>
        <w:t>1. Smart IoT Meter and Utility API Synchronization: Integration of automated telemetry via smart home electricity meters, water flow sensors, and utility provider APIs to ingest real-time consumption data, eliminating manual monthly entry.</w:t>
      </w:r>
    </w:p>
    <w:p>
      <w:pPr>
        <w:spacing w:after="120"/>
        <w:jc w:val="both"/>
      </w:pPr>
      <w:r>
        <w:rPr>
          <w:rFonts w:ascii="Times New Roman" w:hAnsi="Times New Roman"/>
          <w:sz w:val="24"/>
        </w:rPr>
        <w:t>2. Corporate Scope 1, Scope 2, and Scope 3 Enterprise Reporting: Expansion of the multi-tenant architecture to support organizational sustainability reporting aligned with the Greenhouse Gas Protocol Corporate Standard, enabling universities and corporations to aggregate employee commuting and supply chain emissions.</w:t>
      </w:r>
    </w:p>
    <w:p>
      <w:pPr>
        <w:spacing w:after="120"/>
        <w:jc w:val="both"/>
      </w:pPr>
      <w:r>
        <w:rPr>
          <w:rFonts w:ascii="Times New Roman" w:hAnsi="Times New Roman"/>
          <w:sz w:val="24"/>
        </w:rPr>
        <w:t>3. Verified Carbon Offset Marketplace Integration: Partnering with accredited environmental registries (e.g., Gold Standard and Verra) to allow users to purchase certified carbon offsets directly within the platform to neutralize unavoidable emissions.</w:t>
      </w:r>
    </w:p>
    <w:p>
      <w:pPr>
        <w:spacing w:after="120"/>
        <w:jc w:val="both"/>
      </w:pPr>
      <w:r>
        <w:rPr>
          <w:rFonts w:ascii="Times New Roman" w:hAnsi="Times New Roman"/>
          <w:sz w:val="24"/>
        </w:rPr>
        <w:t>4. Computer Vision Receipt &amp; Food Plate Analysis: Incorporating multimodal vision AI models to scan grocery receipts, energy utility bills, and food plates to automatically classify dietary carbon intensity without manual input.</w:t>
      </w:r>
    </w:p>
    <w:p>
      <w:pPr>
        <w:spacing w:after="120"/>
        <w:jc w:val="both"/>
      </w:pPr>
      <w:r>
        <w:rPr>
          <w:rFonts w:ascii="Times New Roman" w:hAnsi="Times New Roman"/>
          <w:sz w:val="24"/>
        </w:rPr>
        <w:t>5. Native Mobile Applications &amp; Multilingual Support: Developing native cross-platform mobile applications for iOS and Android using Flutter or React Native, alongside multilingual localizations to expand climate literacy across developing regions.</w:t>
      </w:r>
    </w:p>
    <w:p>
      <w:r>
        <w:br w:type="page"/>
      </w:r>
    </w:p>
    <w:p>
      <w:pPr>
        <w:spacing w:before="360" w:after="80"/>
        <w:jc w:val="center"/>
      </w:pPr>
      <w:r>
        <w:rPr>
          <w:rFonts w:ascii="Times New Roman" w:hAnsi="Times New Roman"/>
          <w:b/>
          <w:color w:val="0F172A"/>
          <w:sz w:val="32"/>
        </w:rPr>
        <w:t>CHAPTER A</w:t>
      </w:r>
    </w:p>
    <w:p>
      <w:pPr>
        <w:spacing w:before="40" w:after="360"/>
        <w:jc w:val="center"/>
      </w:pPr>
      <w:r>
        <w:rPr>
          <w:rFonts w:ascii="Times New Roman" w:hAnsi="Times New Roman"/>
          <w:b/>
          <w:color w:val="10B981"/>
          <w:sz w:val="30"/>
        </w:rPr>
        <w:t>APPENDIX – A: SOURCE CODE</w:t>
      </w:r>
    </w:p>
    <w:p>
      <w:pPr>
        <w:spacing w:after="120"/>
        <w:jc w:val="both"/>
      </w:pPr>
      <w:r>
        <w:rPr>
          <w:rFonts w:ascii="Times New Roman" w:hAnsi="Times New Roman"/>
          <w:sz w:val="24"/>
        </w:rPr>
        <w:t>This appendix presents key production source code implementations from the EcoTrack backend service architecture, illustrating the deterministic emission factor engine, core calculation service, Groq AI recommendation pipeline, and Express API server.</w:t>
      </w:r>
    </w:p>
    <w:p>
      <w:pPr>
        <w:spacing w:before="280" w:after="80"/>
      </w:pPr>
      <w:r>
        <w:rPr>
          <w:rFonts w:ascii="Times New Roman" w:hAnsi="Times New Roman"/>
          <w:b/>
          <w:color w:val="1E293B"/>
          <w:sz w:val="27"/>
        </w:rPr>
        <w:t>A.1 AUTHORITATIVE EMISSION FACTOR SERVICE (backend/src/services/emissionFactorService.js)</w:t>
      </w:r>
    </w:p>
    <w:p>
      <w:pPr>
        <w:spacing w:before="80" w:after="240"/>
      </w:pPr>
      <w:r>
        <w:rPr>
          <w:rFonts w:ascii="Courier New" w:hAnsi="Courier New"/>
          <w:color w:val="0F172A"/>
          <w:sz w:val="17"/>
        </w:rPr>
        <w:t>'use strict';</w:t>
        <w:br/>
        <w:t>/**</w:t>
        <w:br/>
        <w:t xml:space="preserve"> * Deterministic Emission Factor Service</w:t>
        <w:br/>
        <w:t xml:space="preserve"> * Sources: EPA 2023, DEFRA 2023, and IPCC 2019 baseline values.</w:t>
        <w:br/>
        <w:t xml:space="preserve"> */</w:t>
        <w:br/>
        <w:t>const FACTORS = {</w:t>
        <w:br/>
        <w:t xml:space="preserve">  transportation: {</w:t>
        <w:br/>
        <w:t xml:space="preserve">    // kg CO2e per km</w:t>
        <w:br/>
        <w:t xml:space="preserve">    car:          { value: 0.192, desc: 'Average Petrol/Gasoline Car' },</w:t>
        <w:br/>
        <w:t xml:space="preserve">    diesel_car:   { value: 0.171, desc: 'Average Diesel Car' },</w:t>
        <w:br/>
        <w:t xml:space="preserve">    hybrid_car:   { value: 0.110, desc: 'Hybrid Vehicle' },</w:t>
        <w:br/>
        <w:t xml:space="preserve">    electric_car: { value: 0.053, desc: 'Electric Vehicle (grid average)' },</w:t>
        <w:br/>
        <w:t xml:space="preserve">    motorcycle:   { value: 0.103, desc: 'Motorcycle / Scooter' },</w:t>
        <w:br/>
        <w:t xml:space="preserve">    bus:          { value: 0.089, desc: 'Local Public Bus' },</w:t>
        <w:br/>
        <w:t xml:space="preserve">    train:        { value: 0.041, desc: 'Transit / Commuter Train' },</w:t>
        <w:br/>
        <w:t xml:space="preserve">    bicycle:      { value: 0.000, desc: 'Bicycle (zero emission)' },</w:t>
        <w:br/>
        <w:t xml:space="preserve">    walking:      { value: 0.000, desc: 'Walking (zero emission)' },</w:t>
        <w:br/>
        <w:t xml:space="preserve">  },</w:t>
        <w:br/>
        <w:t xml:space="preserve">  electricity: {</w:t>
        <w:br/>
        <w:t xml:space="preserve">    // kg CO2e per kWh</w:t>
        <w:br/>
        <w:t xml:space="preserve">    grid_average: { value: 0.475, desc: 'Global average grid electricity' },</w:t>
        <w:br/>
        <w:t xml:space="preserve">  },</w:t>
        <w:br/>
        <w:t xml:space="preserve">  water: {</w:t>
        <w:br/>
        <w:t xml:space="preserve">    // kg CO2e per litre</w:t>
        <w:br/>
        <w:t xml:space="preserve">    tap_water:    { value: 0.0003, desc: 'Municipal tap water supply' },</w:t>
        <w:br/>
        <w:t xml:space="preserve">  },</w:t>
        <w:br/>
        <w:t xml:space="preserve">  food: {</w:t>
        <w:br/>
        <w:t xml:space="preserve">    // kg CO2e per day</w:t>
        <w:br/>
        <w:t xml:space="preserve">    vegan:        { value: 1.5, desc: 'Vegan — 100% plant-based' },</w:t>
        <w:br/>
        <w:t xml:space="preserve">    vegetarian:   { value: 1.7, desc: 'Vegetarian — dairy/eggs included' },</w:t>
        <w:br/>
        <w:t xml:space="preserve">    pescatarian:  { value: 1.9, desc: 'Pescatarian — fish, no meat' },</w:t>
        <w:br/>
        <w:t xml:space="preserve">    low_meat:     { value: 2.1, desc: 'Low meat — 1-2 times/week' },</w:t>
        <w:br/>
        <w:t xml:space="preserve">    average:      { value: 2.5, desc: 'Average mixed omnivore diet' },</w:t>
        <w:br/>
        <w:t xml:space="preserve">    heavy_meat:   { value: 3.3, desc: 'Heavy meat — daily/multiple meals' },</w:t>
        <w:br/>
        <w:t xml:space="preserve">  },</w:t>
        <w:br/>
        <w:t xml:space="preserve">  waste: {</w:t>
        <w:br/>
        <w:t xml:space="preserve">    // kg CO2e per kg of waste</w:t>
        <w:br/>
        <w:t xml:space="preserve">    landfill:     { value: 0.5, desc: 'General waste sent to landfill' },</w:t>
        <w:br/>
        <w:t xml:space="preserve">    recycled:     { value: 0.1, desc: 'Recycled or composted waste' },</w:t>
        <w:br/>
        <w:t xml:space="preserve">  },</w:t>
        <w:br/>
        <w:t xml:space="preserve">  shopping: {</w:t>
        <w:br/>
        <w:t xml:space="preserve">    // kg CO2e per item purchased</w:t>
        <w:br/>
        <w:t xml:space="preserve">    clothing:     { value: 15.0, desc: 'Average clothing item' },</w:t>
        <w:br/>
        <w:t xml:space="preserve">    electronics:  { value: 50.0, desc: 'Average consumer electronic device' },</w:t>
        <w:br/>
        <w:t xml:space="preserve">    general:      { value: 10.0, desc: 'General consumer goods' },</w:t>
        <w:br/>
        <w:t xml:space="preserve">  },</w:t>
        <w:br/>
        <w:t xml:space="preserve">  travel: {</w:t>
        <w:br/>
        <w:t xml:space="preserve">    // kg CO2e per trip (round-trip)</w:t>
        <w:br/>
        <w:t xml:space="preserve">    domestic_flight:      { value: 250.0,  desc: 'Short-haul domestic flight' },</w:t>
        <w:br/>
        <w:t xml:space="preserve">    international_flight: { value: 1000.0, desc: 'Long-haul international flight' },</w:t>
        <w:br/>
        <w:t xml:space="preserve">    train_trip:           { value: 50.0,   desc: 'Intercity train journey' },</w:t>
        <w:br/>
        <w:t xml:space="preserve">  },</w:t>
        <w:br/>
        <w:t>};</w:t>
        <w:br/>
        <w:br/>
        <w:t>function getFactor(category, key) {</w:t>
        <w:br/>
        <w:t xml:space="preserve">  const cat = FACTORS[category];</w:t>
        <w:br/>
        <w:t xml:space="preserve">  if (!cat) return 0;</w:t>
        <w:br/>
        <w:t xml:space="preserve">  const entry = cat[key];</w:t>
        <w:br/>
        <w:t xml:space="preserve">  return entry ? entry.value : 0;</w:t>
        <w:br/>
        <w:t>}</w:t>
        <w:br/>
        <w:br/>
        <w:t>module.exports = { FACTORS, getFactor };</w:t>
      </w:r>
    </w:p>
    <w:p>
      <w:pPr>
        <w:spacing w:before="280" w:after="80"/>
      </w:pPr>
      <w:r>
        <w:rPr>
          <w:rFonts w:ascii="Times New Roman" w:hAnsi="Times New Roman"/>
          <w:b/>
          <w:color w:val="1E293B"/>
          <w:sz w:val="27"/>
        </w:rPr>
        <w:t>A.2 DETERMINISTIC CALCULATION SERVICE (backend/src/services/calculatorService.js)</w:t>
      </w:r>
    </w:p>
    <w:p>
      <w:pPr>
        <w:spacing w:before="80" w:after="240"/>
      </w:pPr>
      <w:r>
        <w:rPr>
          <w:rFonts w:ascii="Courier New" w:hAnsi="Courier New"/>
          <w:color w:val="0F172A"/>
          <w:sz w:val="17"/>
        </w:rPr>
        <w:t>'use strict';</w:t>
        <w:br/>
        <w:t>const { getFactor, validKeys } = require('./emissionFactorService');</w:t>
        <w:br/>
        <w:br/>
        <w:t>function clampNum(val, min = 0, max = Infinity) {</w:t>
        <w:br/>
        <w:t xml:space="preserve">  const n = parseFloat(val);</w:t>
        <w:br/>
        <w:t xml:space="preserve">  if (isNaN(n)) return min;</w:t>
        <w:br/>
        <w:t xml:space="preserve">  return Math.min(Math.max(n, min), max);</w:t>
        <w:br/>
        <w:t>}</w:t>
        <w:br/>
        <w:br/>
        <w:t>function computeEmissions(input) {</w:t>
        <w:br/>
        <w:t xml:space="preserve">  // 1. Transportation</w:t>
        <w:br/>
        <w:t xml:space="preserve">  const transportMode = input.transport_mode || 'car';</w:t>
        <w:br/>
        <w:t xml:space="preserve">  const transportKm   = clampNum(input.transport_km, 0, 10000);</w:t>
        <w:br/>
        <w:t xml:space="preserve">  const transportEmissions = transportKm * getFactor('transportation', transportMode);</w:t>
        <w:br/>
        <w:br/>
        <w:t xml:space="preserve">  // 2. Electricity</w:t>
        <w:br/>
        <w:t xml:space="preserve">  const electricityKwh = clampNum(input.electricity_kwh, 0, 5000);</w:t>
        <w:br/>
        <w:t xml:space="preserve">  const renewablePct   = clampNum(input.renewable_pct, 0, 100) / 100;</w:t>
        <w:br/>
        <w:t xml:space="preserve">  const gridKwh        = electricityKwh * (1 - renewablePct);</w:t>
        <w:br/>
        <w:t xml:space="preserve">  const electricityEmissions = gridKwh * getFactor('electricity', 'grid_average');</w:t>
        <w:br/>
        <w:br/>
        <w:t xml:space="preserve">  // 3. Water</w:t>
        <w:br/>
        <w:t xml:space="preserve">  const waterLitresPerDay = clampNum(input.water_litres_per_day, 0, 2000);</w:t>
        <w:br/>
        <w:t xml:space="preserve">  const waterDays         = clampNum(input.water_days, 1, 31);</w:t>
        <w:br/>
        <w:t xml:space="preserve">  const waterEmissions    = waterLitresPerDay * waterDays * getFactor('water', 'tap_water');</w:t>
        <w:br/>
        <w:br/>
        <w:t xml:space="preserve">  // 4. Food / Diet</w:t>
        <w:br/>
        <w:t xml:space="preserve">  const dietType      = input.diet_type || 'average';</w:t>
        <w:br/>
        <w:t xml:space="preserve">  const foodEmissions = getFactor('food', dietType) * 30; // monthly</w:t>
        <w:br/>
        <w:br/>
        <w:t xml:space="preserve">  // 5. Waste</w:t>
        <w:br/>
        <w:t xml:space="preserve">  const wasteKg        = clampNum(input.waste_kg, 0, 500);</w:t>
        <w:br/>
        <w:t xml:space="preserve">  const recyclingPct   = clampNum(input.recycling_pct, 0, 100) / 100;</w:t>
        <w:br/>
        <w:t xml:space="preserve">  const landfillKg     = wasteKg * (1 - recyclingPct);</w:t>
        <w:br/>
        <w:t xml:space="preserve">  const recycledKg     = wasteKg * recyclingPct;</w:t>
        <w:br/>
        <w:t xml:space="preserve">  const wasteEmissions = (landfillKg * getFactor('waste', 'landfill')) +</w:t>
        <w:br/>
        <w:t xml:space="preserve">                         (recycledKg * getFactor('waste', 'recycled'));</w:t>
        <w:br/>
        <w:br/>
        <w:t xml:space="preserve">  // 6. Shopping</w:t>
        <w:br/>
        <w:t xml:space="preserve">  const clothingItems    = clampNum(input.clothing_items, 0, 100);</w:t>
        <w:br/>
        <w:t xml:space="preserve">  const electronicsItems = clampNum(input.electronics_items, 0, 50);</w:t>
        <w:br/>
        <w:t xml:space="preserve">  const generalItems     = clampNum(input.general_items, 0, 200);</w:t>
        <w:br/>
        <w:t xml:space="preserve">  const shoppingEmissions = (clothingItems * getFactor('shopping', 'clothing')) +</w:t>
        <w:br/>
        <w:t xml:space="preserve">                           (electronicsItems * getFactor('shopping', 'electronics')) +</w:t>
        <w:br/>
        <w:t xml:space="preserve">                           (generalItems * getFactor('shopping', 'general'));</w:t>
        <w:br/>
        <w:br/>
        <w:t xml:space="preserve">  // 7. Travel</w:t>
        <w:br/>
        <w:t xml:space="preserve">  const domesticFlights      = clampNum(input.domestic_flights, 0, 50);</w:t>
        <w:br/>
        <w:t xml:space="preserve">  const internationalFlights = clampNum(input.international_flights, 0, 20);</w:t>
        <w:br/>
        <w:t xml:space="preserve">  const trainTrips           = clampNum(input.train_trips, 0, 100);</w:t>
        <w:br/>
        <w:t xml:space="preserve">  const travelEmissions = (domesticFlights * getFactor('travel', 'domestic_flight')) +</w:t>
        <w:br/>
        <w:t xml:space="preserve">                         (internationalFlights * getFactor('travel', 'international_flight')) +</w:t>
        <w:br/>
        <w:t xml:space="preserve">                         (trainTrips * getFactor('travel', 'train_trip'));</w:t>
        <w:br/>
        <w:br/>
        <w:t xml:space="preserve">  // Total Emissions &amp; Eco Score</w:t>
        <w:br/>
        <w:t xml:space="preserve">  const total = transportEmissions + electricityEmissions + waterEmissions +</w:t>
        <w:br/>
        <w:t xml:space="preserve">                foodEmissions + wasteEmissions + shoppingEmissions + travelEmissions;</w:t>
        <w:br/>
        <w:br/>
        <w:t xml:space="preserve">  const MAX = 2000.0;</w:t>
        <w:br/>
        <w:t xml:space="preserve">  const ecoScore = Math.max(0, Math.min(100, +(100 - (total / MAX) * 100).toFixed(1)));</w:t>
        <w:br/>
        <w:br/>
        <w:t xml:space="preserve">  let ecoLevel = 'High Carbon Impact';</w:t>
        <w:br/>
        <w:t xml:space="preserve">  if (ecoScore &gt;= 80)      ecoLevel = 'Eco Champion';</w:t>
        <w:br/>
        <w:t xml:space="preserve">  else if (ecoScore &gt;= 60) ecoLevel = 'Eco Conscious';</w:t>
        <w:br/>
        <w:t xml:space="preserve">  else if (ecoScore &gt;= 40) ecoLevel = 'Needs Improvement';</w:t>
        <w:br/>
        <w:br/>
        <w:t xml:space="preserve">  return { total, ecoScore, ecoLevel, breakdown: { transportEmissions, electricityEmissions, waterEmissions, foodEmissions, wasteEmissions, shoppingEmissions, travelEmissions } };</w:t>
        <w:br/>
        <w:t>}</w:t>
        <w:br/>
        <w:br/>
        <w:t>module.exports = { computeEmissions };</w:t>
      </w:r>
    </w:p>
    <w:p>
      <w:pPr>
        <w:spacing w:before="280" w:after="80"/>
      </w:pPr>
      <w:r>
        <w:rPr>
          <w:rFonts w:ascii="Times New Roman" w:hAnsi="Times New Roman"/>
          <w:b/>
          <w:color w:val="1E293B"/>
          <w:sz w:val="27"/>
        </w:rPr>
        <w:t>A.3 GROQ AI RECOMMENDATION ENGINE (backend/src/services/groqService.js)</w:t>
      </w:r>
    </w:p>
    <w:p>
      <w:pPr>
        <w:spacing w:before="80" w:after="240"/>
      </w:pPr>
      <w:r>
        <w:rPr>
          <w:rFonts w:ascii="Courier New" w:hAnsi="Courier New"/>
          <w:color w:val="0F172A"/>
          <w:sz w:val="17"/>
        </w:rPr>
        <w:t>'use strict';</w:t>
        <w:br/>
        <w:t>const { getGroqClient } = require('../config/groq');</w:t>
        <w:br/>
        <w:br/>
        <w:t>async function generateRecommendations(calcData, profile) {</w:t>
        <w:br/>
        <w:t xml:space="preserve">  const groq = getGroqClient();</w:t>
        <w:br/>
        <w:t xml:space="preserve">  const prompt = buildPrompt(calcData, profile);</w:t>
        <w:br/>
        <w:br/>
        <w:t xml:space="preserve">  const response = await groq.chat.completions.create({</w:t>
        <w:br/>
        <w:t xml:space="preserve">    model: 'openai/gpt-oss-120b',</w:t>
        <w:br/>
        <w:t xml:space="preserve">    messages: [</w:t>
        <w:br/>
        <w:t xml:space="preserve">      { role: 'system', content: 'You are an expert environmental consultant and eco-coach. Respond ONLY with raw valid JSON.' },</w:t>
        <w:br/>
        <w:t xml:space="preserve">      { role: 'user', content: prompt }</w:t>
        <w:br/>
        <w:t xml:space="preserve">    ],</w:t>
        <w:br/>
        <w:t xml:space="preserve">    temperature: 0.6,</w:t>
        <w:br/>
        <w:t xml:space="preserve">    max_tokens: 1024,</w:t>
        <w:br/>
        <w:t xml:space="preserve">    response_format: { type: 'json_object' }</w:t>
        <w:br/>
        <w:t xml:space="preserve">  });</w:t>
        <w:br/>
        <w:br/>
        <w:t xml:space="preserve">  return JSON.parse(response.choices[0].message.content);</w:t>
        <w:br/>
        <w:t>}</w:t>
        <w:br/>
        <w:br/>
        <w:t>module.exports = { generateRecommendations };</w:t>
      </w:r>
    </w:p>
    <w:p>
      <w:r>
        <w:br w:type="page"/>
      </w:r>
    </w:p>
    <w:p>
      <w:pPr>
        <w:spacing w:before="360" w:after="80"/>
        <w:jc w:val="center"/>
      </w:pPr>
      <w:r>
        <w:rPr>
          <w:rFonts w:ascii="Times New Roman" w:hAnsi="Times New Roman"/>
          <w:b/>
          <w:color w:val="0F172A"/>
          <w:sz w:val="32"/>
        </w:rPr>
        <w:t>CHAPTER B</w:t>
      </w:r>
    </w:p>
    <w:p>
      <w:pPr>
        <w:spacing w:before="40" w:after="360"/>
        <w:jc w:val="center"/>
      </w:pPr>
      <w:r>
        <w:rPr>
          <w:rFonts w:ascii="Times New Roman" w:hAnsi="Times New Roman"/>
          <w:b/>
          <w:color w:val="10B981"/>
          <w:sz w:val="30"/>
        </w:rPr>
        <w:t>APPENDIX – B: SCREENSHOTS &amp; SYSTEM VISUALS</w:t>
      </w:r>
    </w:p>
    <w:p>
      <w:pPr>
        <w:spacing w:after="120"/>
        <w:jc w:val="both"/>
      </w:pPr>
      <w:r>
        <w:rPr>
          <w:rFonts w:ascii="Times New Roman" w:hAnsi="Times New Roman"/>
          <w:sz w:val="24"/>
        </w:rPr>
        <w:t>This appendix presents the user interface layouts, interactive dashboards, and certified output documents of the EcoTrack platform.</w:t>
      </w:r>
    </w:p>
    <w:p>
      <w:pPr>
        <w:spacing w:before="200" w:after="120"/>
        <w:jc w:val="center"/>
      </w:pPr>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figure_b1_auth_flow.png"/>
                    <pic:cNvPicPr/>
                  </pic:nvPicPr>
                  <pic:blipFill>
                    <a:blip r:embed="rId13"/>
                    <a:stretch>
                      <a:fillRect/>
                    </a:stretch>
                  </pic:blipFill>
                  <pic:spPr>
                    <a:xfrm>
                      <a:off x="0" y="0"/>
                      <a:ext cx="5486400" cy="3401568"/>
                    </a:xfrm>
                    <a:prstGeom prst="rect"/>
                  </pic:spPr>
                </pic:pic>
              </a:graphicData>
            </a:graphic>
          </wp:inline>
        </w:drawing>
      </w:r>
    </w:p>
    <w:p>
      <w:pPr>
        <w:spacing w:before="40" w:after="280"/>
        <w:jc w:val="center"/>
      </w:pPr>
      <w:r>
        <w:rPr>
          <w:rFonts w:ascii="Times New Roman" w:hAnsi="Times New Roman"/>
          <w:b/>
          <w:i/>
          <w:color w:val="475569"/>
          <w:sz w:val="21"/>
        </w:rPr>
        <w:t>Figure B.1: User Authentication, Registration, and Profile Management Interface</w:t>
      </w:r>
    </w:p>
    <w:p>
      <w:pPr>
        <w:spacing w:before="200" w:after="120"/>
        <w:jc w:val="center"/>
      </w:pPr>
      <w:r>
        <w:drawing>
          <wp:inline xmlns:a="http://schemas.openxmlformats.org/drawingml/2006/main" xmlns:pic="http://schemas.openxmlformats.org/drawingml/2006/picture">
            <wp:extent cx="5486400" cy="3401568"/>
            <wp:docPr id="6" name="Picture 6"/>
            <wp:cNvGraphicFramePr>
              <a:graphicFrameLocks noChangeAspect="1"/>
            </wp:cNvGraphicFramePr>
            <a:graphic>
              <a:graphicData uri="http://schemas.openxmlformats.org/drawingml/2006/picture">
                <pic:pic>
                  <pic:nvPicPr>
                    <pic:cNvPr id="0" name="figure_b2_calculator_flow.png"/>
                    <pic:cNvPicPr/>
                  </pic:nvPicPr>
                  <pic:blipFill>
                    <a:blip r:embed="rId14"/>
                    <a:stretch>
                      <a:fillRect/>
                    </a:stretch>
                  </pic:blipFill>
                  <pic:spPr>
                    <a:xfrm>
                      <a:off x="0" y="0"/>
                      <a:ext cx="5486400" cy="3401568"/>
                    </a:xfrm>
                    <a:prstGeom prst="rect"/>
                  </pic:spPr>
                </pic:pic>
              </a:graphicData>
            </a:graphic>
          </wp:inline>
        </w:drawing>
      </w:r>
    </w:p>
    <w:p>
      <w:pPr>
        <w:spacing w:before="40" w:after="280"/>
        <w:jc w:val="center"/>
      </w:pPr>
      <w:r>
        <w:rPr>
          <w:rFonts w:ascii="Times New Roman" w:hAnsi="Times New Roman"/>
          <w:b/>
          <w:i/>
          <w:color w:val="475569"/>
          <w:sz w:val="21"/>
        </w:rPr>
        <w:t>Figure B.2: 7-Category Carbon Footprint Calculator and Live Computation Panel</w:t>
      </w:r>
    </w:p>
    <w:p>
      <w:pPr>
        <w:spacing w:before="200" w:after="120"/>
        <w:jc w:val="center"/>
      </w:pPr>
      <w:r>
        <w:drawing>
          <wp:inline xmlns:a="http://schemas.openxmlformats.org/drawingml/2006/main" xmlns:pic="http://schemas.openxmlformats.org/drawingml/2006/picture">
            <wp:extent cx="5486400" cy="3401568"/>
            <wp:docPr id="7" name="Picture 7"/>
            <wp:cNvGraphicFramePr>
              <a:graphicFrameLocks noChangeAspect="1"/>
            </wp:cNvGraphicFramePr>
            <a:graphic>
              <a:graphicData uri="http://schemas.openxmlformats.org/drawingml/2006/picture">
                <pic:pic>
                  <pic:nvPicPr>
                    <pic:cNvPr id="0" name="figure_b3_analytics_dashboard.png"/>
                    <pic:cNvPicPr/>
                  </pic:nvPicPr>
                  <pic:blipFill>
                    <a:blip r:embed="rId15"/>
                    <a:stretch>
                      <a:fillRect/>
                    </a:stretch>
                  </pic:blipFill>
                  <pic:spPr>
                    <a:xfrm>
                      <a:off x="0" y="0"/>
                      <a:ext cx="5486400" cy="3401568"/>
                    </a:xfrm>
                    <a:prstGeom prst="rect"/>
                  </pic:spPr>
                </pic:pic>
              </a:graphicData>
            </a:graphic>
          </wp:inline>
        </w:drawing>
      </w:r>
    </w:p>
    <w:p>
      <w:pPr>
        <w:spacing w:before="40" w:after="280"/>
        <w:jc w:val="center"/>
      </w:pPr>
      <w:r>
        <w:rPr>
          <w:rFonts w:ascii="Times New Roman" w:hAnsi="Times New Roman"/>
          <w:b/>
          <w:i/>
          <w:color w:val="475569"/>
          <w:sz w:val="21"/>
        </w:rPr>
        <w:t>Figure B.3: Interactive Sectoral Breakdown Doughnut and Historical Trend Visualizations</w:t>
      </w:r>
    </w:p>
    <w:p>
      <w:pPr>
        <w:spacing w:before="200" w:after="120"/>
        <w:jc w:val="center"/>
      </w:pPr>
      <w:r>
        <w:drawing>
          <wp:inline xmlns:a="http://schemas.openxmlformats.org/drawingml/2006/main" xmlns:pic="http://schemas.openxmlformats.org/drawingml/2006/picture">
            <wp:extent cx="5486400" cy="3401568"/>
            <wp:docPr id="8" name="Picture 8"/>
            <wp:cNvGraphicFramePr>
              <a:graphicFrameLocks noChangeAspect="1"/>
            </wp:cNvGraphicFramePr>
            <a:graphic>
              <a:graphicData uri="http://schemas.openxmlformats.org/drawingml/2006/picture">
                <pic:pic>
                  <pic:nvPicPr>
                    <pic:cNvPr id="0" name="figure_b4_ai_coach.png"/>
                    <pic:cNvPicPr/>
                  </pic:nvPicPr>
                  <pic:blipFill>
                    <a:blip r:embed="rId16"/>
                    <a:stretch>
                      <a:fillRect/>
                    </a:stretch>
                  </pic:blipFill>
                  <pic:spPr>
                    <a:xfrm>
                      <a:off x="0" y="0"/>
                      <a:ext cx="5486400" cy="3401568"/>
                    </a:xfrm>
                    <a:prstGeom prst="rect"/>
                  </pic:spPr>
                </pic:pic>
              </a:graphicData>
            </a:graphic>
          </wp:inline>
        </w:drawing>
      </w:r>
    </w:p>
    <w:p>
      <w:pPr>
        <w:spacing w:before="40" w:after="280"/>
        <w:jc w:val="center"/>
      </w:pPr>
      <w:r>
        <w:rPr>
          <w:rFonts w:ascii="Times New Roman" w:hAnsi="Times New Roman"/>
          <w:b/>
          <w:i/>
          <w:color w:val="475569"/>
          <w:sz w:val="21"/>
        </w:rPr>
        <w:t>Figure B.4: Groq AI Eco-Coach Intelligent Recommendation and Green Challenge Interface</w:t>
      </w:r>
    </w:p>
    <w:p>
      <w:pPr>
        <w:spacing w:before="200" w:after="120"/>
        <w:jc w:val="center"/>
      </w:pPr>
      <w:r>
        <w:drawing>
          <wp:inline xmlns:a="http://schemas.openxmlformats.org/drawingml/2006/main" xmlns:pic="http://schemas.openxmlformats.org/drawingml/2006/picture">
            <wp:extent cx="5486400" cy="3401568"/>
            <wp:docPr id="9" name="Picture 9"/>
            <wp:cNvGraphicFramePr>
              <a:graphicFrameLocks noChangeAspect="1"/>
            </wp:cNvGraphicFramePr>
            <a:graphic>
              <a:graphicData uri="http://schemas.openxmlformats.org/drawingml/2006/picture">
                <pic:pic>
                  <pic:nvPicPr>
                    <pic:cNvPr id="0" name="figure_b5_export_certification.png"/>
                    <pic:cNvPicPr/>
                  </pic:nvPicPr>
                  <pic:blipFill>
                    <a:blip r:embed="rId17"/>
                    <a:stretch>
                      <a:fillRect/>
                    </a:stretch>
                  </pic:blipFill>
                  <pic:spPr>
                    <a:xfrm>
                      <a:off x="0" y="0"/>
                      <a:ext cx="5486400" cy="3401568"/>
                    </a:xfrm>
                    <a:prstGeom prst="rect"/>
                  </pic:spPr>
                </pic:pic>
              </a:graphicData>
            </a:graphic>
          </wp:inline>
        </w:drawing>
      </w:r>
    </w:p>
    <w:p>
      <w:pPr>
        <w:spacing w:before="40" w:after="280"/>
        <w:jc w:val="center"/>
      </w:pPr>
      <w:r>
        <w:rPr>
          <w:rFonts w:ascii="Times New Roman" w:hAnsi="Times New Roman"/>
          <w:b/>
          <w:i/>
          <w:color w:val="475569"/>
          <w:sz w:val="21"/>
        </w:rPr>
        <w:t>Figure B.5: Official Tamper-Evident Environmental Audit Certificate (PDF Export)</w:t>
      </w:r>
    </w:p>
    <w:p>
      <w:r>
        <w:br w:type="page"/>
      </w:r>
    </w:p>
    <w:p>
      <w:pPr>
        <w:spacing w:before="360" w:after="280"/>
        <w:jc w:val="center"/>
      </w:pPr>
      <w:r>
        <w:rPr>
          <w:rFonts w:ascii="Times New Roman" w:hAnsi="Times New Roman"/>
          <w:b/>
          <w:color w:val="0F172A"/>
          <w:sz w:val="32"/>
        </w:rPr>
        <w:t>REFERENCES</w:t>
      </w:r>
    </w:p>
    <w:p>
      <w:pPr>
        <w:spacing w:after="120"/>
        <w:ind w:left="576" w:hanging="576"/>
      </w:pPr>
      <w:r>
        <w:rPr>
          <w:rFonts w:ascii="Times New Roman" w:hAnsi="Times New Roman"/>
          <w:sz w:val="22"/>
        </w:rPr>
        <w:t>1.  Benders, R. M. J., Kok, R., Moll, H. C., Wiersma, G., &amp; Noorman, K. J. (2006). New approaches for household energy conservation—in search of personal household energy budgets and energy reduction options. Energy Policy, 34(18), 3612–3622.</w:t>
      </w:r>
    </w:p>
    <w:p>
      <w:pPr>
        <w:spacing w:after="120"/>
        <w:ind w:left="576" w:hanging="576"/>
      </w:pPr>
      <w:r>
        <w:rPr>
          <w:rFonts w:ascii="Times New Roman" w:hAnsi="Times New Roman"/>
          <w:sz w:val="22"/>
        </w:rPr>
        <w:t>2.  Department for Energy Security and Net Zero &amp; DEFRA. (2023). UK Government GHG Conversion Factors for Company Reporting. London: HM Government.</w:t>
      </w:r>
    </w:p>
    <w:p>
      <w:pPr>
        <w:spacing w:after="120"/>
        <w:ind w:left="576" w:hanging="576"/>
      </w:pPr>
      <w:r>
        <w:rPr>
          <w:rFonts w:ascii="Times New Roman" w:hAnsi="Times New Roman"/>
          <w:sz w:val="22"/>
        </w:rPr>
        <w:t>3.  Froehlich, J., Findlater, L., &amp; Landay, J. (2010). The design of eco-feedback technology. In Proceedings of the SIGCHI Conference on Human Factors in Computing Systems (pp. 1999–2008). ACM.</w:t>
      </w:r>
    </w:p>
    <w:p>
      <w:pPr>
        <w:spacing w:after="120"/>
        <w:ind w:left="576" w:hanging="576"/>
      </w:pPr>
      <w:r>
        <w:rPr>
          <w:rFonts w:ascii="Times New Roman" w:hAnsi="Times New Roman"/>
          <w:sz w:val="22"/>
        </w:rPr>
        <w:t>4.  Goodfellow, I., Bengio, Y., &amp; Courville, A. (2016). Deep Learning. Cambridge, MA: MIT Press.</w:t>
      </w:r>
    </w:p>
    <w:p>
      <w:pPr>
        <w:spacing w:after="120"/>
        <w:ind w:left="576" w:hanging="576"/>
      </w:pPr>
      <w:r>
        <w:rPr>
          <w:rFonts w:ascii="Times New Roman" w:hAnsi="Times New Roman"/>
          <w:sz w:val="22"/>
        </w:rPr>
        <w:t>5.  Groq Inc. (2024). LPU Inference Engine Architecture: High-Throughput Deterministic Acceleration for Open Large Language Models. Mountain View, CA: Groq Technical Whitepaper.</w:t>
      </w:r>
    </w:p>
    <w:p>
      <w:pPr>
        <w:spacing w:after="120"/>
        <w:ind w:left="576" w:hanging="576"/>
      </w:pPr>
      <w:r>
        <w:rPr>
          <w:rFonts w:ascii="Times New Roman" w:hAnsi="Times New Roman"/>
          <w:sz w:val="22"/>
        </w:rPr>
        <w:t>6.  Han, J., &amp; Yun, S.-J. (2024). Development of a gamification-based mobile application for outdoor observation and environmental education. Journal of Cleaner Production, 434, 140122.</w:t>
      </w:r>
    </w:p>
    <w:p>
      <w:pPr>
        <w:spacing w:after="120"/>
        <w:ind w:left="576" w:hanging="576"/>
      </w:pPr>
      <w:r>
        <w:rPr>
          <w:rFonts w:ascii="Times New Roman" w:hAnsi="Times New Roman"/>
          <w:sz w:val="22"/>
        </w:rPr>
        <w:t>7.  Intergovernmental Panel on Climate Change (IPCC). (2006). 2006 IPCC Guidelines for National Greenhouse Gas Inventories. Hayama, Japan: IGES.</w:t>
      </w:r>
    </w:p>
    <w:p>
      <w:pPr>
        <w:spacing w:after="120"/>
        <w:ind w:left="576" w:hanging="576"/>
      </w:pPr>
      <w:r>
        <w:rPr>
          <w:rFonts w:ascii="Times New Roman" w:hAnsi="Times New Roman"/>
          <w:sz w:val="22"/>
        </w:rPr>
        <w:t>8.  Intergovernmental Panel on Climate Change (IPCC). (2019). 2019 Refinement to the 2006 IPCC Guidelines for National Greenhouse Gas Inventories. Geneva: IPCC.</w:t>
      </w:r>
    </w:p>
    <w:p>
      <w:pPr>
        <w:spacing w:after="120"/>
        <w:ind w:left="576" w:hanging="576"/>
      </w:pPr>
      <w:r>
        <w:rPr>
          <w:rFonts w:ascii="Times New Roman" w:hAnsi="Times New Roman"/>
          <w:sz w:val="22"/>
        </w:rPr>
        <w:t>9.  Kenney, M., Harrigan, N., &amp; O'Leary, D. (2020). Behavioral interventions and digital eco-feedback in reducing household carbon footprints: An 18-month longitudinal evaluation. Energy and Buildings, 224, 110250.</w:t>
      </w:r>
    </w:p>
    <w:p>
      <w:pPr>
        <w:spacing w:after="120"/>
        <w:ind w:left="576" w:hanging="576"/>
      </w:pPr>
      <w:r>
        <w:rPr>
          <w:rFonts w:ascii="Times New Roman" w:hAnsi="Times New Roman"/>
          <w:sz w:val="22"/>
        </w:rPr>
        <w:t>10. Kulkarni, A., Patel, M., &amp; Sharma, R. (2024). Applications of large language models in climate change mitigation and sustainability advisory: A comprehensive survey. Environmental Science &amp; Policy, 151, 103608.</w:t>
      </w:r>
    </w:p>
    <w:p>
      <w:pPr>
        <w:spacing w:after="120"/>
        <w:ind w:left="576" w:hanging="576"/>
      </w:pPr>
      <w:r>
        <w:rPr>
          <w:rFonts w:ascii="Times New Roman" w:hAnsi="Times New Roman"/>
          <w:sz w:val="22"/>
        </w:rPr>
        <w:t>11. Russell, S., &amp; Norvig, P. (2020). Artificial Intelligence: A Modern Approach (4th ed.). Hoboken, NJ: Pearson.</w:t>
      </w:r>
    </w:p>
    <w:p>
      <w:pPr>
        <w:spacing w:after="120"/>
        <w:ind w:left="576" w:hanging="576"/>
      </w:pPr>
      <w:r>
        <w:rPr>
          <w:rFonts w:ascii="Times New Roman" w:hAnsi="Times New Roman"/>
          <w:sz w:val="22"/>
        </w:rPr>
        <w:t>12. Sciarretta, A., Rossi, F., &amp; Bianchi, E. (2022). Evaluating carbon accounting mobile and web applications: Quality, security, and algorithmic limitations. Journal of Environmental Management, 318, 115598.</w:t>
      </w:r>
    </w:p>
    <w:p>
      <w:pPr>
        <w:spacing w:after="120"/>
        <w:ind w:left="576" w:hanging="576"/>
      </w:pPr>
      <w:r>
        <w:rPr>
          <w:rFonts w:ascii="Times New Roman" w:hAnsi="Times New Roman"/>
          <w:sz w:val="22"/>
        </w:rPr>
        <w:t>13. Supabase Inc. (2024). The Open Source Firebase Alternative: PostgreSQL Row-Level Security, Realtime Engines, and Authentication Architecture. San Francisco, CA.</w:t>
      </w:r>
    </w:p>
    <w:p>
      <w:pPr>
        <w:spacing w:after="120"/>
        <w:ind w:left="576" w:hanging="576"/>
      </w:pPr>
      <w:r>
        <w:rPr>
          <w:rFonts w:ascii="Times New Roman" w:hAnsi="Times New Roman"/>
          <w:sz w:val="22"/>
        </w:rPr>
        <w:t>14. United States Environmental Protection Agency (US EPA). (2023). GHG Emission Factors for Greenhouse Gas Inventories. Washington, DC: Center for Corporate Climate Leadership.</w:t>
      </w:r>
    </w:p>
    <w:p>
      <w:pPr>
        <w:spacing w:after="120"/>
        <w:ind w:left="576" w:hanging="576"/>
      </w:pPr>
      <w:r>
        <w:rPr>
          <w:rFonts w:ascii="Times New Roman" w:hAnsi="Times New Roman"/>
          <w:sz w:val="22"/>
        </w:rPr>
        <w:t>15. Wiedmann, T., &amp; Minx, J. (2008). A definition of 'carbon footprint'. Ecological Economics Research Trends, 1, 1–11.</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