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rial" w:hAnsi="Arial"/>
          <w:b/>
          <w:color w:val="1B365D"/>
          <w:sz w:val="44"/>
        </w:rPr>
        <w:t>WATER ANGEL AI &amp; LEAK-FREE MACHINE LEARNING SPECIFICATION</w:t>
      </w:r>
    </w:p>
    <w:p>
      <w:pPr>
        <w:spacing w:after="360"/>
      </w:pPr>
      <w:r>
        <w:rPr>
          <w:rFonts w:ascii="Arial" w:hAnsi="Arial"/>
          <w:color w:val="00A3E0"/>
          <w:sz w:val="24"/>
        </w:rPr>
        <w:t>Comprehensive Engineering Specification, Zero Data-Leakage Architecture, Embargo Purging, Algorithm Benchmarking, SHAP Interpretability, and Database Schema</w:t>
      </w:r>
    </w:p>
    <w:tbl>
      <w:tblPr>
        <w:tblW w:type="auto" w:w="0"/>
        <w:jc w:val="center"/>
        <w:tblLook w:firstColumn="1" w:firstRow="1" w:lastColumn="0" w:lastRow="0" w:noHBand="0" w:noVBand="1" w:val="04A0"/>
      </w:tblPr>
      <w:tblGrid>
        <w:gridCol w:w="4680"/>
        <w:gridCol w:w="4680"/>
      </w:tblGrid>
      <w:tr>
        <w:trPr>
          <w:cantSplit/>
          <w:tblHeader/>
        </w:trPr>
        <w:tc>
          <w:tcPr>
            <w:tcW w:type="dxa" w:w="3168"/>
            <w:tcMar>
              <w:top w:w="100" w:type="dxa"/>
              <w:bottom w:w="100" w:type="dxa"/>
              <w:left w:w="120" w:type="dxa"/>
              <w:right w:w="120" w:type="dxa"/>
            </w:tcMar>
            <w:shd w:fill="1B365D"/>
          </w:tcPr>
          <w:p>
            <w:pPr>
              <w:spacing w:before="60" w:after="60"/>
            </w:pPr>
            <w:r>
              <w:rPr>
                <w:rFonts w:ascii="Arial" w:hAnsi="Arial"/>
                <w:b/>
                <w:color w:val="FFFFFF"/>
                <w:sz w:val="18"/>
              </w:rPr>
              <w:t>Platform System</w:t>
            </w:r>
          </w:p>
        </w:tc>
        <w:tc>
          <w:tcPr>
            <w:tcW w:type="dxa" w:w="6192"/>
            <w:tcMar>
              <w:top w:w="100" w:type="dxa"/>
              <w:bottom w:w="100" w:type="dxa"/>
              <w:left w:w="120" w:type="dxa"/>
              <w:right w:w="120" w:type="dxa"/>
            </w:tcMar>
            <w:shd w:fill="1B365D"/>
          </w:tcPr>
          <w:p>
            <w:pPr>
              <w:spacing w:before="60" w:after="60"/>
            </w:pPr>
            <w:r>
              <w:rPr>
                <w:rFonts w:ascii="Arial" w:hAnsi="Arial"/>
                <w:b/>
                <w:color w:val="FFFFFF"/>
                <w:sz w:val="18"/>
              </w:rPr>
              <w:t>Water Angel IoT Water Monitor &amp; Guardian</w:t>
            </w:r>
          </w:p>
        </w:tc>
      </w:tr>
      <w:tr>
        <w:trPr>
          <w:cantSplit/>
        </w:trPr>
        <w:tc>
          <w:tcPr>
            <w:tcW w:type="dxa" w:w="3168"/>
            <w:tcMar>
              <w:top w:w="100" w:type="dxa"/>
              <w:bottom w:w="100" w:type="dxa"/>
              <w:left w:w="120" w:type="dxa"/>
              <w:right w:w="120" w:type="dxa"/>
            </w:tcMar>
            <w:shd w:fill="F8FAFC"/>
          </w:tcPr>
          <w:p>
            <w:pPr>
              <w:spacing w:before="40" w:after="40"/>
            </w:pPr>
            <w:r>
              <w:rPr>
                <w:rFonts w:ascii="Arial" w:hAnsi="Arial"/>
                <w:color w:val="212529"/>
                <w:sz w:val="17"/>
              </w:rPr>
              <w:t>Microservice Component</w:t>
            </w:r>
          </w:p>
        </w:tc>
        <w:tc>
          <w:tcPr>
            <w:tcW w:type="dxa" w:w="6192"/>
            <w:tcMar>
              <w:top w:w="100" w:type="dxa"/>
              <w:bottom w:w="100" w:type="dxa"/>
              <w:left w:w="120" w:type="dxa"/>
              <w:right w:w="120" w:type="dxa"/>
            </w:tcMar>
            <w:shd w:fill="F8FAFC"/>
          </w:tcPr>
          <w:p>
            <w:pPr>
              <w:spacing w:before="40" w:after="40"/>
            </w:pPr>
            <w:r>
              <w:rPr>
                <w:rFonts w:ascii="Arial" w:hAnsi="Arial"/>
                <w:color w:val="212529"/>
                <w:sz w:val="17"/>
              </w:rPr>
              <w:t>ml-forecasting (Production Weekly Consumption Engine)</w:t>
            </w:r>
          </w:p>
        </w:tc>
      </w:tr>
      <w:tr>
        <w:trPr>
          <w:cantSplit/>
        </w:trPr>
        <w:tc>
          <w:tcPr>
            <w:tcW w:type="dxa" w:w="3168"/>
            <w:tcMar>
              <w:top w:w="100" w:type="dxa"/>
              <w:bottom w:w="100" w:type="dxa"/>
              <w:left w:w="120" w:type="dxa"/>
              <w:right w:w="120" w:type="dxa"/>
            </w:tcMar>
            <w:shd w:fill="FFFFFF"/>
          </w:tcPr>
          <w:p>
            <w:pPr>
              <w:spacing w:before="40" w:after="40"/>
            </w:pPr>
            <w:r>
              <w:rPr>
                <w:rFonts w:ascii="Arial" w:hAnsi="Arial"/>
                <w:color w:val="212529"/>
                <w:sz w:val="17"/>
              </w:rPr>
              <w:t>Validation Architecture</w:t>
            </w:r>
          </w:p>
        </w:tc>
        <w:tc>
          <w:tcPr>
            <w:tcW w:type="dxa" w:w="6192"/>
            <w:tcMar>
              <w:top w:w="100" w:type="dxa"/>
              <w:bottom w:w="100" w:type="dxa"/>
              <w:left w:w="120" w:type="dxa"/>
              <w:right w:w="120" w:type="dxa"/>
            </w:tcMar>
            <w:shd w:fill="FFFFFF"/>
          </w:tcPr>
          <w:p>
            <w:pPr>
              <w:spacing w:before="40" w:after="40"/>
            </w:pPr>
            <w:r>
              <w:rPr>
                <w:rFonts w:ascii="Arial" w:hAnsi="Arial"/>
                <w:color w:val="212529"/>
                <w:sz w:val="17"/>
              </w:rPr>
              <w:t>Zero Data Leakage (Chronological Panel Split + 8-Day Embargo Purge Gap)</w:t>
            </w:r>
          </w:p>
        </w:tc>
      </w:tr>
      <w:tr>
        <w:trPr>
          <w:cantSplit/>
        </w:trPr>
        <w:tc>
          <w:tcPr>
            <w:tcW w:type="dxa" w:w="3168"/>
            <w:tcMar>
              <w:top w:w="100" w:type="dxa"/>
              <w:bottom w:w="100" w:type="dxa"/>
              <w:left w:w="120" w:type="dxa"/>
              <w:right w:w="120" w:type="dxa"/>
            </w:tcMar>
            <w:shd w:fill="F8FAFC"/>
          </w:tcPr>
          <w:p>
            <w:pPr>
              <w:spacing w:before="40" w:after="40"/>
            </w:pPr>
            <w:r>
              <w:rPr>
                <w:rFonts w:ascii="Arial" w:hAnsi="Arial"/>
                <w:color w:val="212529"/>
                <w:sz w:val="17"/>
              </w:rPr>
              <w:t>Forecasting Target</w:t>
            </w:r>
          </w:p>
        </w:tc>
        <w:tc>
          <w:tcPr>
            <w:tcW w:type="dxa" w:w="6192"/>
            <w:tcMar>
              <w:top w:w="100" w:type="dxa"/>
              <w:bottom w:w="100" w:type="dxa"/>
              <w:left w:w="120" w:type="dxa"/>
              <w:right w:w="120" w:type="dxa"/>
            </w:tcMar>
            <w:shd w:fill="F8FAFC"/>
          </w:tcPr>
          <w:p>
            <w:pPr>
              <w:spacing w:before="40" w:after="40"/>
            </w:pPr>
            <w:r>
              <w:rPr>
                <w:rFonts w:ascii="Arial" w:hAnsi="Arial"/>
                <w:color w:val="212529"/>
                <w:sz w:val="17"/>
              </w:rPr>
              <w:t>1-Figure Weekly Water Volume (Single xxx L value for coming 7 days)</w:t>
            </w:r>
          </w:p>
        </w:tc>
      </w:tr>
      <w:tr>
        <w:trPr>
          <w:cantSplit/>
        </w:trPr>
        <w:tc>
          <w:tcPr>
            <w:tcW w:type="dxa" w:w="3168"/>
            <w:tcMar>
              <w:top w:w="100" w:type="dxa"/>
              <w:bottom w:w="100" w:type="dxa"/>
              <w:left w:w="120" w:type="dxa"/>
              <w:right w:w="120" w:type="dxa"/>
            </w:tcMar>
            <w:shd w:fill="FFFFFF"/>
          </w:tcPr>
          <w:p>
            <w:pPr>
              <w:spacing w:before="40" w:after="40"/>
            </w:pPr>
            <w:r>
              <w:rPr>
                <w:rFonts w:ascii="Arial" w:hAnsi="Arial"/>
                <w:color w:val="212529"/>
                <w:sz w:val="17"/>
              </w:rPr>
              <w:t>Active Algorithm</w:t>
            </w:r>
          </w:p>
        </w:tc>
        <w:tc>
          <w:tcPr>
            <w:tcW w:type="dxa" w:w="6192"/>
            <w:tcMar>
              <w:top w:w="100" w:type="dxa"/>
              <w:bottom w:w="100" w:type="dxa"/>
              <w:left w:w="120" w:type="dxa"/>
              <w:right w:w="120" w:type="dxa"/>
            </w:tcMar>
            <w:shd w:fill="FFFFFF"/>
          </w:tcPr>
          <w:p>
            <w:pPr>
              <w:spacing w:before="40" w:after="40"/>
            </w:pPr>
            <w:r>
              <w:rPr>
                <w:rFonts w:ascii="Arial" w:hAnsi="Arial"/>
                <w:color w:val="212529"/>
                <w:sz w:val="17"/>
              </w:rPr>
              <w:t>Baseline Persistence Benchmark &amp; Hybrid Weighted Ensemble</w:t>
            </w:r>
          </w:p>
        </w:tc>
      </w:tr>
      <w:tr>
        <w:trPr>
          <w:cantSplit/>
        </w:trPr>
        <w:tc>
          <w:tcPr>
            <w:tcW w:type="dxa" w:w="3168"/>
            <w:tcMar>
              <w:top w:w="100" w:type="dxa"/>
              <w:bottom w:w="100" w:type="dxa"/>
              <w:left w:w="120" w:type="dxa"/>
              <w:right w:w="120" w:type="dxa"/>
            </w:tcMar>
            <w:shd w:fill="F8FAFC"/>
          </w:tcPr>
          <w:p>
            <w:pPr>
              <w:spacing w:before="40" w:after="40"/>
            </w:pPr>
            <w:r>
              <w:rPr>
                <w:rFonts w:ascii="Arial" w:hAnsi="Arial"/>
                <w:color w:val="212529"/>
                <w:sz w:val="17"/>
              </w:rPr>
              <w:t>Database Target</w:t>
            </w:r>
          </w:p>
        </w:tc>
        <w:tc>
          <w:tcPr>
            <w:tcW w:type="dxa" w:w="6192"/>
            <w:tcMar>
              <w:top w:w="100" w:type="dxa"/>
              <w:bottom w:w="100" w:type="dxa"/>
              <w:left w:w="120" w:type="dxa"/>
              <w:right w:w="120" w:type="dxa"/>
            </w:tcMar>
            <w:shd w:fill="F8FAFC"/>
          </w:tcPr>
          <w:p>
            <w:pPr>
              <w:spacing w:before="40" w:after="40"/>
            </w:pPr>
            <w:r>
              <w:rPr>
                <w:rFonts w:ascii="Arial" w:hAnsi="Arial"/>
                <w:color w:val="212529"/>
                <w:sz w:val="17"/>
              </w:rPr>
              <w:t>Supabase PostgreSQL Database - Table: ml_predictions</w:t>
            </w:r>
          </w:p>
        </w:tc>
      </w:tr>
    </w:tbl>
    <w:p>
      <w:r>
        <w:br w:type="page"/>
      </w:r>
    </w:p>
    <w:p>
      <w:pPr>
        <w:pStyle w:val="Heading1"/>
        <w:keepNext/>
        <w:spacing w:before="400" w:after="120"/>
      </w:pPr>
      <w:r>
        <w:rPr>
          <w:rFonts w:ascii="Arial" w:hAnsi="Arial"/>
          <w:b/>
          <w:color w:val="1B365D"/>
          <w:sz w:val="32"/>
        </w:rPr>
        <w:t>1. Executive Summary &amp; Architectural Overview</w:t>
      </w:r>
    </w:p>
    <w:p>
      <w:pPr>
        <w:spacing w:after="80" w:line="276" w:lineRule="auto"/>
      </w:pPr>
      <w:r>
        <w:rPr>
          <w:rFonts w:ascii="Arial" w:hAnsi="Arial"/>
          <w:color w:val="212529"/>
          <w:sz w:val="19"/>
        </w:rPr>
        <w:t>Water Angel is an enterprise-grade IoT smart water monitoring, guardian, and leak detection platform. The system captures real-time water flow telemetry via high-precision pulse sensors installed on residential and commercial water lines, streaming events to an edge gateway and central Supabase cloud infrastructure. Within this ecosystem, the Machine Learning (ML) subsystem provides predictive intelligence, forecasting future consumption demands, detecting hidden anomalies, and empowering property owners to eliminate water waste.</w:t>
      </w:r>
    </w:p>
    <w:p>
      <w:pPr>
        <w:pStyle w:val="Heading2"/>
        <w:keepNext/>
        <w:spacing w:before="280" w:after="80"/>
      </w:pPr>
      <w:r>
        <w:rPr>
          <w:rFonts w:ascii="Arial" w:hAnsi="Arial"/>
          <w:b/>
          <w:color w:val="00A3E0"/>
          <w:sz w:val="25"/>
        </w:rPr>
        <w:t>1.1 The Single-Figure Weekly Forecasting Paradigm</w:t>
      </w:r>
    </w:p>
    <w:p>
      <w:pPr>
        <w:spacing w:after="80" w:line="276" w:lineRule="auto"/>
      </w:pPr>
      <w:r>
        <w:rPr>
          <w:rFonts w:ascii="Arial" w:hAnsi="Arial"/>
          <w:color w:val="212529"/>
          <w:sz w:val="19"/>
        </w:rPr>
        <w:t>The forecasting engine is standardized to generate a Single 1-Figure Forecast (xxx Liters) for the upcoming 7-day period (prediction_type: 'weekly_consumption'). By predicting cumulative 7-day volume directly, the system eliminates autoregressive error compounding, aligns with human weekly budgeting habits, and acts as a natural low-pass filter over intraday showering noise.</w:t>
      </w:r>
    </w:p>
    <w:p>
      <w:pPr>
        <w:pStyle w:val="Heading1"/>
        <w:keepNext/>
        <w:spacing w:before="400" w:after="120"/>
      </w:pPr>
      <w:r>
        <w:rPr>
          <w:rFonts w:ascii="Arial" w:hAnsi="Arial"/>
          <w:b/>
          <w:color w:val="1B365D"/>
          <w:sz w:val="32"/>
        </w:rPr>
        <w:t>2. Rigorous Zero Data-Leakage Architecture</w:t>
      </w:r>
    </w:p>
    <w:p>
      <w:pPr>
        <w:spacing w:after="80" w:line="276" w:lineRule="auto"/>
      </w:pPr>
      <w:r>
        <w:rPr>
          <w:rFonts w:ascii="Arial" w:hAnsi="Arial"/>
          <w:color w:val="212529"/>
          <w:sz w:val="19"/>
        </w:rPr>
        <w:t>Time-series forecasting models in production often suffer from severe performance collapse when deployed because subtle data leakage artificially inflated their offline test metrics. In the Water Angel 'ml-forecasting' engine, every pipeline stage is fortified against all four classical time-series leakage vectors:</w:t>
      </w:r>
    </w:p>
    <w:p>
      <w:pPr>
        <w:pStyle w:val="Heading2"/>
        <w:keepNext/>
        <w:spacing w:before="280" w:after="80"/>
      </w:pPr>
      <w:r>
        <w:rPr>
          <w:rFonts w:ascii="Arial" w:hAnsi="Arial"/>
          <w:b/>
          <w:color w:val="00A3E0"/>
          <w:sz w:val="25"/>
        </w:rPr>
        <w:t>2.1 Chronological Panel Date-Based Splitting</w:t>
      </w:r>
    </w:p>
    <w:p>
      <w:pPr>
        <w:spacing w:after="80" w:line="276" w:lineRule="auto"/>
      </w:pPr>
      <w:r>
        <w:rPr>
          <w:rFonts w:ascii="Arial" w:hAnsi="Arial"/>
          <w:color w:val="212529"/>
          <w:sz w:val="19"/>
        </w:rPr>
        <w:t>In multi-device telemetry environments, simple index-based slicing (e.g. .iloc[:-30]) creates cross-entity temporal contamination because devices are concatenated sequentially. Under our leak-free architecture, partitioning is executed strictly across calendar dates simultaneously across all paired devices:</w:t>
      </w:r>
    </w:p>
    <w:p>
      <w:pPr>
        <w:spacing w:after="80" w:line="276" w:lineRule="auto"/>
      </w:pPr>
      <w:r>
        <w:rPr>
          <w:rFonts w:ascii="Arial" w:hAnsi="Arial"/>
          <w:b/>
          <w:color w:val="212529"/>
          <w:sz w:val="19"/>
        </w:rPr>
        <w:t xml:space="preserve">Panel Splitting Rule: </w:t>
      </w:r>
      <w:r>
        <w:rPr>
          <w:rFonts w:ascii="Arial" w:hAnsi="Arial"/>
          <w:color w:val="212529"/>
          <w:sz w:val="19"/>
        </w:rPr>
        <w:t>cutoff_date = max(usage_date) - 30 days;  Train: date &lt;= purge_cutoff;  Test: date &gt;= cutoff_date</w:t>
      </w:r>
    </w:p>
    <w:p>
      <w:pPr>
        <w:pStyle w:val="Heading2"/>
        <w:keepNext/>
        <w:spacing w:before="280" w:after="80"/>
      </w:pPr>
      <w:r>
        <w:rPr>
          <w:rFonts w:ascii="Arial" w:hAnsi="Arial"/>
          <w:b/>
          <w:color w:val="00A3E0"/>
          <w:sz w:val="25"/>
        </w:rPr>
        <w:t>2.2 Horizon Purging &amp; Embargo Gap (8-Day Buffer)</w:t>
      </w:r>
    </w:p>
    <w:p>
      <w:pPr>
        <w:spacing w:after="80" w:line="276" w:lineRule="auto"/>
      </w:pPr>
      <w:r>
        <w:rPr>
          <w:rFonts w:ascii="Arial" w:hAnsi="Arial"/>
          <w:color w:val="212529"/>
          <w:sz w:val="19"/>
        </w:rPr>
        <w:t>Because the forecast target represents the forward 7-day cumulative sum (y_t = Sum_{k=1 to 7} consumption_{t+k}), any training sample within 7 days of the test boundary has a target that sums actual consumption inside the test period. To guarantee zero ground-truth target leakage, an embargo purge gap of (forecast_horizon + 1) = 8 days is removed from the end of the training partition:</w:t>
      </w:r>
    </w:p>
    <w:p>
      <w:pPr>
        <w:spacing w:after="80" w:line="276" w:lineRule="auto"/>
      </w:pPr>
      <w:r>
        <w:rPr>
          <w:rFonts w:ascii="Arial" w:hAnsi="Arial"/>
          <w:b/>
          <w:color w:val="212529"/>
          <w:sz w:val="19"/>
        </w:rPr>
        <w:t xml:space="preserve">Purge Gap Formula: </w:t>
      </w:r>
      <w:r>
        <w:rPr>
          <w:rFonts w:ascii="Arial" w:hAnsi="Arial"/>
          <w:color w:val="212529"/>
          <w:sz w:val="19"/>
        </w:rPr>
        <w:t>purge_cutoff = cutoff_date - (FORECAST_HORIZON_DAYS + 1) days</w:t>
      </w:r>
    </w:p>
    <w:p>
      <w:pPr>
        <w:pStyle w:val="Heading2"/>
        <w:keepNext/>
        <w:spacing w:before="280" w:after="80"/>
      </w:pPr>
      <w:r>
        <w:rPr>
          <w:rFonts w:ascii="Arial" w:hAnsi="Arial"/>
          <w:b/>
          <w:color w:val="00A3E0"/>
          <w:sz w:val="25"/>
        </w:rPr>
        <w:t>2.3 Purged Expanding-Window Cross-Validation</w:t>
      </w:r>
    </w:p>
    <w:p>
      <w:pPr>
        <w:spacing w:after="80" w:line="276" w:lineRule="auto"/>
      </w:pPr>
      <w:r>
        <w:rPr>
          <w:rFonts w:ascii="Arial" w:hAnsi="Arial"/>
          <w:color w:val="212529"/>
          <w:sz w:val="19"/>
        </w:rPr>
        <w:t>Cross-validation on historical training partitions is executed using Purged Date-CV. In every fold, an 8-day embargo gap separates the training window from the validation window. Training dates are strictly in the past, and validation dates are strictly in the future, guaranteeing zero temporal inversion.</w:t>
      </w:r>
    </w:p>
    <w:p>
      <w:pPr>
        <w:pStyle w:val="Heading2"/>
        <w:keepNext/>
        <w:spacing w:before="280" w:after="80"/>
      </w:pPr>
      <w:r>
        <w:rPr>
          <w:rFonts w:ascii="Arial" w:hAnsi="Arial"/>
          <w:b/>
          <w:color w:val="00A3E0"/>
          <w:sz w:val="25"/>
        </w:rPr>
        <w:t>2.4 Train-Only Outlier Quantile Bounds</w:t>
      </w:r>
    </w:p>
    <w:p>
      <w:pPr>
        <w:spacing w:after="80" w:line="276" w:lineRule="auto"/>
      </w:pPr>
      <w:r>
        <w:rPr>
          <w:rFonts w:ascii="Arial" w:hAnsi="Arial"/>
          <w:color w:val="212529"/>
          <w:sz w:val="19"/>
        </w:rPr>
        <w:t>The 1st and 99th percentile clipping bounds (q_low, q_high) are fitted strictly on historical training rows. Unseen test data never influences the outlier thresholds.</w:t>
      </w:r>
    </w:p>
    <w:tbl>
      <w:tblPr>
        <w:tblW w:type="auto" w:w="0"/>
        <w:jc w:val="center"/>
        <w:tblLayout w:type="fixed"/>
        <w:tblLook w:firstColumn="1" w:firstRow="1" w:lastColumn="0" w:lastRow="0" w:noHBand="0" w:noVBand="1" w:val="04A0"/>
      </w:tblPr>
      <w:tblGrid>
        <w:gridCol w:w="9360"/>
      </w:tblGrid>
      <w:tr>
        <w:tc>
          <w:tcPr>
            <w:tcW w:type="dxa" w:w="9360"/>
            <w:shd w:fill="DCFCE7"/>
            <w:tcMar>
              <w:top w:w="140" w:type="dxa"/>
              <w:bottom w:w="140" w:type="dxa"/>
              <w:left w:w="180" w:type="dxa"/>
              <w:right w:w="180" w:type="dxa"/>
            </w:tcMar>
            <w:tcBorders>
              <w:top w:val="none"/>
              <w:left w:val="single" w:sz="36" w:space="0" w:color="16A34A"/>
              <w:bottom w:val="none"/>
              <w:right w:val="none"/>
            </w:tcBorders>
          </w:tcPr>
          <w:p>
            <w:pPr>
              <w:spacing w:before="40" w:after="40"/>
            </w:pPr>
            <w:r>
              <w:rPr>
                <w:rFonts w:ascii="Arial" w:hAnsi="Arial"/>
                <w:b/>
                <w:color w:val="166534"/>
                <w:sz w:val="19"/>
              </w:rPr>
              <w:t>■ ZERO DATA LEAKAGE CERTIFICATION</w:t>
              <w:br/>
            </w:r>
            <w:r>
              <w:rPr>
                <w:rFonts w:ascii="Arial" w:hAnsi="Arial"/>
                <w:color w:val="212529"/>
                <w:sz w:val="19"/>
              </w:rPr>
              <w:t>The Water Angel ML pipeline enforces strict chronological date partitioning, an 8-day forward horizon purge gap, purged cross-validation, and train-only preprocessing. The resulting benchmark metrics reflect genuine, out-of-sample predictive reality.</w:t>
            </w:r>
          </w:p>
        </w:tc>
      </w:tr>
    </w:tbl>
    <w:p>
      <w:pPr>
        <w:spacing w:after="80"/>
      </w:pPr>
    </w:p>
    <w:p>
      <w:pPr>
        <w:pStyle w:val="Heading1"/>
        <w:keepNext/>
        <w:spacing w:before="400" w:after="120"/>
      </w:pPr>
      <w:r>
        <w:rPr>
          <w:rFonts w:ascii="Arial" w:hAnsi="Arial"/>
          <w:b/>
          <w:color w:val="1B365D"/>
          <w:sz w:val="32"/>
        </w:rPr>
        <w:t>3. Telemetry Data Engineering &amp; The 18 Predictive Features</w:t>
      </w:r>
    </w:p>
    <w:p>
      <w:pPr>
        <w:spacing w:after="80" w:line="276" w:lineRule="auto"/>
      </w:pPr>
      <w:r>
        <w:rPr>
          <w:rFonts w:ascii="Arial" w:hAnsi="Arial"/>
          <w:color w:val="212529"/>
          <w:sz w:val="19"/>
        </w:rPr>
        <w:t>Raw flow telemetry is aggregated into uniform daily liters and transformed into 18 causal features. All rolling statistics and lags at observation day t use strictly trailing windows (&lt;= t):</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tcMar>
              <w:top w:w="100" w:type="dxa"/>
              <w:bottom w:w="100" w:type="dxa"/>
              <w:left w:w="120" w:type="dxa"/>
              <w:right w:w="120" w:type="dxa"/>
            </w:tcMar>
            <w:shd w:fill="1B365D"/>
          </w:tcPr>
          <w:p>
            <w:pPr>
              <w:spacing w:before="60" w:after="60"/>
            </w:pPr>
            <w:r>
              <w:rPr>
                <w:rFonts w:ascii="Arial" w:hAnsi="Arial"/>
                <w:b/>
                <w:color w:val="FFFFFF"/>
                <w:sz w:val="18"/>
              </w:rPr>
              <w:t>Feature Name</w:t>
            </w:r>
          </w:p>
        </w:tc>
        <w:tc>
          <w:tcPr>
            <w:tcW w:type="dxa" w:w="1728"/>
            <w:tcMar>
              <w:top w:w="100" w:type="dxa"/>
              <w:bottom w:w="100" w:type="dxa"/>
              <w:left w:w="120" w:type="dxa"/>
              <w:right w:w="120" w:type="dxa"/>
            </w:tcMar>
            <w:shd w:fill="1B365D"/>
          </w:tcPr>
          <w:p>
            <w:pPr>
              <w:spacing w:before="60" w:after="60"/>
            </w:pPr>
            <w:r>
              <w:rPr>
                <w:rFonts w:ascii="Arial" w:hAnsi="Arial"/>
                <w:b/>
                <w:color w:val="FFFFFF"/>
                <w:sz w:val="18"/>
              </w:rPr>
              <w:t>Domain</w:t>
            </w:r>
          </w:p>
        </w:tc>
        <w:tc>
          <w:tcPr>
            <w:tcW w:type="dxa" w:w="1440"/>
            <w:tcMar>
              <w:top w:w="100" w:type="dxa"/>
              <w:bottom w:w="100" w:type="dxa"/>
              <w:left w:w="120" w:type="dxa"/>
              <w:right w:w="120" w:type="dxa"/>
            </w:tcMar>
            <w:shd w:fill="1B365D"/>
          </w:tcPr>
          <w:p>
            <w:pPr>
              <w:spacing w:before="60" w:after="60"/>
            </w:pPr>
            <w:r>
              <w:rPr>
                <w:rFonts w:ascii="Arial" w:hAnsi="Arial"/>
                <w:b/>
                <w:color w:val="FFFFFF"/>
                <w:sz w:val="18"/>
              </w:rPr>
              <w:t>Units</w:t>
            </w:r>
          </w:p>
        </w:tc>
        <w:tc>
          <w:tcPr>
            <w:tcW w:type="dxa" w:w="3600"/>
            <w:tcMar>
              <w:top w:w="100" w:type="dxa"/>
              <w:bottom w:w="100" w:type="dxa"/>
              <w:left w:w="120" w:type="dxa"/>
              <w:right w:w="120" w:type="dxa"/>
            </w:tcMar>
            <w:shd w:fill="1B365D"/>
          </w:tcPr>
          <w:p>
            <w:pPr>
              <w:spacing w:before="60" w:after="60"/>
            </w:pPr>
            <w:r>
              <w:rPr>
                <w:rFonts w:ascii="Arial" w:hAnsi="Arial"/>
                <w:b/>
                <w:color w:val="FFFFFF"/>
                <w:sz w:val="18"/>
              </w:rPr>
              <w:t>Physical Significance</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past_7d_liters</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Habitual Sum</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Total consumption over trailing 7 days; primary anchor of weekly volume.</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past_7d_lag7</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Weekly Lag</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Total consumption 2 weeks ago; secondary consistency anchor.</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past_7d_lag14</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Weekly Lag</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Total consumption 3 weeks ago; monthly cadence memory.</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diff_7_14</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Momentum</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Difference between past 7d and lag 7d; indicates active consumption velocity.</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diff_14_21</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Momentum</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Difference between lag 7d and lag 14d; detects macro acceleration.</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lag_1</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Direct Lag</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Yesterday's consumption volume; immediate autoregressive signal.</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lag_2</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Direct Lag</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Water volume consumed 2 days ago.</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lag_3</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Direct Lag</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Water volume consumed 3 days ago.</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lag_7</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Direct Lag</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Liters</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Volume consumed exactly 1 week ago (same day of week).</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rolling_mean_7</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Rolling Stat</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Liters/day</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7-day trailing moving average; filters day-to-day noise.</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rolling_std_7</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Rolling Stat</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Liters/day</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7-day consumption volatility; reflects routine stability.</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rolling_mean_14</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Rolling Stat</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Liters/day</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14-day trailing moving average; bi-weekly baseline.</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rolling_mean_30</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Rolling Stat</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Liters/day</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30-day monthly rolling average; long-term household capacity.</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trend_ratio_7_30</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Kinematic</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Ratio</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Ratio of rolling_mean_7 to rolling_mean_30; surge/conservation index.</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day_of_week</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Calendar</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Integer [0-6]</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Day of the week (Monday=0, Sunday=6); captures weekend shifts.</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is_weekend</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Calendar</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Binary [0,1]</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Indicator flag for Saturday and Sunday laundry/leisure usage.</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month</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Calendar</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Integer [1-12]</w:t>
            </w:r>
          </w:p>
        </w:tc>
        <w:tc>
          <w:tcPr>
            <w:tcW w:type="dxa" w:w="3600"/>
            <w:tcMar>
              <w:top w:w="100" w:type="dxa"/>
              <w:bottom w:w="100" w:type="dxa"/>
              <w:left w:w="120" w:type="dxa"/>
              <w:right w:w="120" w:type="dxa"/>
            </w:tcMar>
            <w:shd w:fill="F8FAFC"/>
          </w:tcPr>
          <w:p>
            <w:pPr>
              <w:spacing w:before="40" w:after="40"/>
            </w:pPr>
            <w:r>
              <w:rPr>
                <w:rFonts w:ascii="Arial" w:hAnsi="Arial"/>
                <w:color w:val="212529"/>
                <w:sz w:val="17"/>
              </w:rPr>
              <w:t>Calendar month; reflects seasonal climate and billing periods.</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day_of_year</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Calendar</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Integer [1-365]</w:t>
            </w:r>
          </w:p>
        </w:tc>
        <w:tc>
          <w:tcPr>
            <w:tcW w:type="dxa" w:w="3600"/>
            <w:tcMar>
              <w:top w:w="100" w:type="dxa"/>
              <w:bottom w:w="100" w:type="dxa"/>
              <w:left w:w="120" w:type="dxa"/>
              <w:right w:w="120" w:type="dxa"/>
            </w:tcMar>
            <w:shd w:fill="FFFFFF"/>
          </w:tcPr>
          <w:p>
            <w:pPr>
              <w:spacing w:before="40" w:after="40"/>
            </w:pPr>
            <w:r>
              <w:rPr>
                <w:rFonts w:ascii="Arial" w:hAnsi="Arial"/>
                <w:color w:val="212529"/>
                <w:sz w:val="17"/>
              </w:rPr>
              <w:t>Continuous seasonal progression along annual weather cycles.</w:t>
            </w:r>
          </w:p>
        </w:tc>
      </w:tr>
    </w:tbl>
    <w:p>
      <w:pPr>
        <w:spacing w:before="80" w:after="240"/>
        <w:jc w:val="center"/>
      </w:pPr>
      <w:r>
        <w:rPr>
          <w:rFonts w:ascii="Arial" w:hAnsi="Arial"/>
          <w:i/>
          <w:color w:val="6C757D"/>
          <w:sz w:val="17"/>
        </w:rPr>
        <w:t>Figure: Complete Dictionary of 18 Engineered Predictive Features in ml-forecasting</w:t>
      </w:r>
    </w:p>
    <w:p>
      <w:pPr>
        <w:pStyle w:val="Heading1"/>
        <w:keepNext/>
        <w:spacing w:before="400" w:after="120"/>
      </w:pPr>
      <w:r>
        <w:rPr>
          <w:rFonts w:ascii="Arial" w:hAnsi="Arial"/>
          <w:b/>
          <w:color w:val="1B365D"/>
          <w:sz w:val="32"/>
        </w:rPr>
        <w:t>4. Leak-Free Model Benchmark Tournament &amp; Results</w:t>
      </w:r>
    </w:p>
    <w:p>
      <w:pPr>
        <w:spacing w:after="80" w:line="276" w:lineRule="auto"/>
      </w:pPr>
      <w:r>
        <w:rPr>
          <w:rFonts w:ascii="Arial" w:hAnsi="Arial"/>
          <w:color w:val="212529"/>
          <w:sz w:val="19"/>
        </w:rPr>
        <w:t>Model evaluation was conducted on strictly partitioned data: 316 training samples (2025-11-15 to 2026-09-08), an 8-day purge buffer, and 48 out-of-sample holdout test samples (2026-09-16 to 2026-10-09) across both active flow meters.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3168"/>
            <w:tcMar>
              <w:top w:w="100" w:type="dxa"/>
              <w:bottom w:w="100" w:type="dxa"/>
              <w:left w:w="120" w:type="dxa"/>
              <w:right w:w="120" w:type="dxa"/>
            </w:tcMar>
            <w:shd w:fill="1B365D"/>
          </w:tcPr>
          <w:p>
            <w:pPr>
              <w:spacing w:before="60" w:after="60"/>
            </w:pPr>
            <w:r>
              <w:rPr>
                <w:rFonts w:ascii="Arial" w:hAnsi="Arial"/>
                <w:b/>
                <w:color w:val="FFFFFF"/>
                <w:sz w:val="18"/>
              </w:rPr>
              <w:t>Algorithm</w:t>
            </w:r>
          </w:p>
        </w:tc>
        <w:tc>
          <w:tcPr>
            <w:tcW w:type="dxa" w:w="1296"/>
            <w:tcMar>
              <w:top w:w="100" w:type="dxa"/>
              <w:bottom w:w="100" w:type="dxa"/>
              <w:left w:w="120" w:type="dxa"/>
              <w:right w:w="120" w:type="dxa"/>
            </w:tcMar>
            <w:shd w:fill="1B365D"/>
          </w:tcPr>
          <w:p>
            <w:pPr>
              <w:spacing w:before="60" w:after="60"/>
            </w:pPr>
            <w:r>
              <w:rPr>
                <w:rFonts w:ascii="Arial" w:hAnsi="Arial"/>
                <w:b/>
                <w:color w:val="FFFFFF"/>
                <w:sz w:val="18"/>
              </w:rPr>
              <w:t>Test MAE</w:t>
            </w:r>
          </w:p>
        </w:tc>
        <w:tc>
          <w:tcPr>
            <w:tcW w:type="dxa" w:w="1296"/>
            <w:tcMar>
              <w:top w:w="100" w:type="dxa"/>
              <w:bottom w:w="100" w:type="dxa"/>
              <w:left w:w="120" w:type="dxa"/>
              <w:right w:w="120" w:type="dxa"/>
            </w:tcMar>
            <w:shd w:fill="1B365D"/>
          </w:tcPr>
          <w:p>
            <w:pPr>
              <w:spacing w:before="60" w:after="60"/>
            </w:pPr>
            <w:r>
              <w:rPr>
                <w:rFonts w:ascii="Arial" w:hAnsi="Arial"/>
                <w:b/>
                <w:color w:val="FFFFFF"/>
                <w:sz w:val="18"/>
              </w:rPr>
              <w:t>Test RMSE</w:t>
            </w:r>
          </w:p>
        </w:tc>
        <w:tc>
          <w:tcPr>
            <w:tcW w:type="dxa" w:w="1296"/>
            <w:tcMar>
              <w:top w:w="100" w:type="dxa"/>
              <w:bottom w:w="100" w:type="dxa"/>
              <w:left w:w="120" w:type="dxa"/>
              <w:right w:w="120" w:type="dxa"/>
            </w:tcMar>
            <w:shd w:fill="1B365D"/>
          </w:tcPr>
          <w:p>
            <w:pPr>
              <w:spacing w:before="60" w:after="60"/>
            </w:pPr>
            <w:r>
              <w:rPr>
                <w:rFonts w:ascii="Arial" w:hAnsi="Arial"/>
                <w:b/>
                <w:color w:val="FFFFFF"/>
                <w:sz w:val="18"/>
              </w:rPr>
              <w:t>Test MAPE</w:t>
            </w:r>
          </w:p>
        </w:tc>
        <w:tc>
          <w:tcPr>
            <w:tcW w:type="dxa" w:w="1152"/>
            <w:tcMar>
              <w:top w:w="100" w:type="dxa"/>
              <w:bottom w:w="100" w:type="dxa"/>
              <w:left w:w="120" w:type="dxa"/>
              <w:right w:w="120" w:type="dxa"/>
            </w:tcMar>
            <w:shd w:fill="1B365D"/>
          </w:tcPr>
          <w:p>
            <w:pPr>
              <w:spacing w:before="60" w:after="60"/>
            </w:pPr>
            <w:r>
              <w:rPr>
                <w:rFonts w:ascii="Arial" w:hAnsi="Arial"/>
                <w:b/>
                <w:color w:val="FFFFFF"/>
                <w:sz w:val="18"/>
              </w:rPr>
              <w:t>Test R²</w:t>
            </w:r>
          </w:p>
        </w:tc>
        <w:tc>
          <w:tcPr>
            <w:tcW w:type="dxa" w:w="1296"/>
            <w:tcMar>
              <w:top w:w="100" w:type="dxa"/>
              <w:bottom w:w="100" w:type="dxa"/>
              <w:left w:w="120" w:type="dxa"/>
              <w:right w:w="120" w:type="dxa"/>
            </w:tcMar>
            <w:shd w:fill="1B365D"/>
          </w:tcPr>
          <w:p>
            <w:pPr>
              <w:spacing w:before="60" w:after="60"/>
            </w:pPr>
            <w:r>
              <w:rPr>
                <w:rFonts w:ascii="Arial" w:hAnsi="Arial"/>
                <w:b/>
                <w:color w:val="FFFFFF"/>
                <w:sz w:val="18"/>
              </w:rPr>
              <w:t>Purged CV MAPE</w:t>
            </w:r>
          </w:p>
        </w:tc>
      </w:tr>
      <w:tr>
        <w:trPr>
          <w:cantSplit/>
        </w:trPr>
        <w:tc>
          <w:tcPr>
            <w:tcW w:type="dxa" w:w="3168"/>
            <w:tcMar>
              <w:top w:w="100" w:type="dxa"/>
              <w:bottom w:w="100" w:type="dxa"/>
              <w:left w:w="120" w:type="dxa"/>
              <w:right w:w="120" w:type="dxa"/>
            </w:tcMar>
            <w:shd w:fill="F8FAFC"/>
          </w:tcPr>
          <w:p>
            <w:pPr>
              <w:spacing w:before="40" w:after="40"/>
            </w:pPr>
            <w:r>
              <w:rPr>
                <w:rFonts w:ascii="Arial" w:hAnsi="Arial"/>
                <w:color w:val="212529"/>
                <w:sz w:val="17"/>
              </w:rPr>
              <w:t>Baseline (Past Week Persistence)</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26.65 L</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32.59 L</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2.55%</w:t>
            </w:r>
          </w:p>
        </w:tc>
        <w:tc>
          <w:tcPr>
            <w:tcW w:type="dxa" w:w="1152"/>
            <w:tcMar>
              <w:top w:w="100" w:type="dxa"/>
              <w:bottom w:w="100" w:type="dxa"/>
              <w:left w:w="120" w:type="dxa"/>
              <w:right w:w="120" w:type="dxa"/>
            </w:tcMar>
            <w:shd w:fill="F8FAFC"/>
          </w:tcPr>
          <w:p>
            <w:pPr>
              <w:spacing w:before="40" w:after="40"/>
            </w:pPr>
            <w:r>
              <w:rPr>
                <w:rFonts w:ascii="Arial" w:hAnsi="Arial"/>
                <w:color w:val="212529"/>
                <w:sz w:val="17"/>
              </w:rPr>
              <w:t>-0.866</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9.82%</w:t>
            </w:r>
          </w:p>
        </w:tc>
      </w:tr>
      <w:tr>
        <w:trPr>
          <w:cantSplit/>
        </w:trPr>
        <w:tc>
          <w:tcPr>
            <w:tcW w:type="dxa" w:w="3168"/>
            <w:tcMar>
              <w:top w:w="100" w:type="dxa"/>
              <w:bottom w:w="100" w:type="dxa"/>
              <w:left w:w="120" w:type="dxa"/>
              <w:right w:w="120" w:type="dxa"/>
            </w:tcMar>
            <w:shd w:fill="FFFFFF"/>
          </w:tcPr>
          <w:p>
            <w:pPr>
              <w:spacing w:before="40" w:after="40"/>
            </w:pPr>
            <w:r>
              <w:rPr>
                <w:rFonts w:ascii="Arial" w:hAnsi="Arial"/>
                <w:color w:val="212529"/>
                <w:sz w:val="17"/>
              </w:rPr>
              <w:t>Hybrid Weighted Ensemble</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41.14 L</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48.52 L</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3.93%</w:t>
            </w:r>
          </w:p>
        </w:tc>
        <w:tc>
          <w:tcPr>
            <w:tcW w:type="dxa" w:w="1152"/>
            <w:tcMar>
              <w:top w:w="100" w:type="dxa"/>
              <w:bottom w:w="100" w:type="dxa"/>
              <w:left w:w="120" w:type="dxa"/>
              <w:right w:w="120" w:type="dxa"/>
            </w:tcMar>
            <w:shd w:fill="FFFFFF"/>
          </w:tcPr>
          <w:p>
            <w:pPr>
              <w:spacing w:before="40" w:after="40"/>
            </w:pPr>
            <w:r>
              <w:rPr>
                <w:rFonts w:ascii="Arial" w:hAnsi="Arial"/>
                <w:color w:val="212529"/>
                <w:sz w:val="17"/>
              </w:rPr>
              <w:t>-3.136</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17.98%</w:t>
            </w:r>
          </w:p>
        </w:tc>
      </w:tr>
      <w:tr>
        <w:trPr>
          <w:cantSplit/>
        </w:trPr>
        <w:tc>
          <w:tcPr>
            <w:tcW w:type="dxa" w:w="3168"/>
            <w:tcMar>
              <w:top w:w="100" w:type="dxa"/>
              <w:bottom w:w="100" w:type="dxa"/>
              <w:left w:w="120" w:type="dxa"/>
              <w:right w:w="120" w:type="dxa"/>
            </w:tcMar>
            <w:shd w:fill="F8FAFC"/>
          </w:tcPr>
          <w:p>
            <w:pPr>
              <w:spacing w:before="40" w:after="40"/>
            </w:pPr>
            <w:r>
              <w:rPr>
                <w:rFonts w:ascii="Arial" w:hAnsi="Arial"/>
                <w:color w:val="212529"/>
                <w:sz w:val="17"/>
              </w:rPr>
              <w:t>Gradient Boosting Regressor</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42.63 L</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61.79 L</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4.09%</w:t>
            </w:r>
          </w:p>
        </w:tc>
        <w:tc>
          <w:tcPr>
            <w:tcW w:type="dxa" w:w="1152"/>
            <w:tcMar>
              <w:top w:w="100" w:type="dxa"/>
              <w:bottom w:w="100" w:type="dxa"/>
              <w:left w:w="120" w:type="dxa"/>
              <w:right w:w="120" w:type="dxa"/>
            </w:tcMar>
            <w:shd w:fill="F8FAFC"/>
          </w:tcPr>
          <w:p>
            <w:pPr>
              <w:spacing w:before="40" w:after="40"/>
            </w:pPr>
            <w:r>
              <w:rPr>
                <w:rFonts w:ascii="Arial" w:hAnsi="Arial"/>
                <w:color w:val="212529"/>
                <w:sz w:val="17"/>
              </w:rPr>
              <w:t>-5.708</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18.89%</w:t>
            </w:r>
          </w:p>
        </w:tc>
      </w:tr>
      <w:tr>
        <w:trPr>
          <w:cantSplit/>
        </w:trPr>
        <w:tc>
          <w:tcPr>
            <w:tcW w:type="dxa" w:w="3168"/>
            <w:tcMar>
              <w:top w:w="100" w:type="dxa"/>
              <w:bottom w:w="100" w:type="dxa"/>
              <w:left w:w="120" w:type="dxa"/>
              <w:right w:w="120" w:type="dxa"/>
            </w:tcMar>
            <w:shd w:fill="FFFFFF"/>
          </w:tcPr>
          <w:p>
            <w:pPr>
              <w:spacing w:before="40" w:after="40"/>
            </w:pPr>
            <w:r>
              <w:rPr>
                <w:rFonts w:ascii="Arial" w:hAnsi="Arial"/>
                <w:color w:val="212529"/>
                <w:sz w:val="17"/>
              </w:rPr>
              <w:t>XGBoost Regressor (xgb-v1)</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43.95 L</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52.76 L</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4.21%</w:t>
            </w:r>
          </w:p>
        </w:tc>
        <w:tc>
          <w:tcPr>
            <w:tcW w:type="dxa" w:w="1152"/>
            <w:tcMar>
              <w:top w:w="100" w:type="dxa"/>
              <w:bottom w:w="100" w:type="dxa"/>
              <w:left w:w="120" w:type="dxa"/>
              <w:right w:w="120" w:type="dxa"/>
            </w:tcMar>
            <w:shd w:fill="FFFFFF"/>
          </w:tcPr>
          <w:p>
            <w:pPr>
              <w:spacing w:before="40" w:after="40"/>
            </w:pPr>
            <w:r>
              <w:rPr>
                <w:rFonts w:ascii="Arial" w:hAnsi="Arial"/>
                <w:color w:val="212529"/>
                <w:sz w:val="17"/>
              </w:rPr>
              <w:t>-3.891</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18.50%</w:t>
            </w:r>
          </w:p>
        </w:tc>
      </w:tr>
      <w:tr>
        <w:trPr>
          <w:cantSplit/>
        </w:trPr>
        <w:tc>
          <w:tcPr>
            <w:tcW w:type="dxa" w:w="3168"/>
            <w:tcMar>
              <w:top w:w="100" w:type="dxa"/>
              <w:bottom w:w="100" w:type="dxa"/>
              <w:left w:w="120" w:type="dxa"/>
              <w:right w:w="120" w:type="dxa"/>
            </w:tcMar>
            <w:shd w:fill="F8FAFC"/>
          </w:tcPr>
          <w:p>
            <w:pPr>
              <w:spacing w:before="40" w:after="40"/>
            </w:pPr>
            <w:r>
              <w:rPr>
                <w:rFonts w:ascii="Arial" w:hAnsi="Arial"/>
                <w:color w:val="212529"/>
                <w:sz w:val="17"/>
              </w:rPr>
              <w:t>Random Forest Regressor</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48.45 L</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62.01 L</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4.67%</w:t>
            </w:r>
          </w:p>
        </w:tc>
        <w:tc>
          <w:tcPr>
            <w:tcW w:type="dxa" w:w="1152"/>
            <w:tcMar>
              <w:top w:w="100" w:type="dxa"/>
              <w:bottom w:w="100" w:type="dxa"/>
              <w:left w:w="120" w:type="dxa"/>
              <w:right w:w="120" w:type="dxa"/>
            </w:tcMar>
            <w:shd w:fill="F8FAFC"/>
          </w:tcPr>
          <w:p>
            <w:pPr>
              <w:spacing w:before="40" w:after="40"/>
            </w:pPr>
            <w:r>
              <w:rPr>
                <w:rFonts w:ascii="Arial" w:hAnsi="Arial"/>
                <w:color w:val="212529"/>
                <w:sz w:val="17"/>
              </w:rPr>
              <w:t>-5.757</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18.13%</w:t>
            </w:r>
          </w:p>
        </w:tc>
      </w:tr>
      <w:tr>
        <w:trPr>
          <w:cantSplit/>
        </w:trPr>
        <w:tc>
          <w:tcPr>
            <w:tcW w:type="dxa" w:w="3168"/>
            <w:tcMar>
              <w:top w:w="100" w:type="dxa"/>
              <w:bottom w:w="100" w:type="dxa"/>
              <w:left w:w="120" w:type="dxa"/>
              <w:right w:w="120" w:type="dxa"/>
            </w:tcMar>
            <w:shd w:fill="FFFFFF"/>
          </w:tcPr>
          <w:p>
            <w:pPr>
              <w:spacing w:before="40" w:after="40"/>
            </w:pPr>
            <w:r>
              <w:rPr>
                <w:rFonts w:ascii="Arial" w:hAnsi="Arial"/>
                <w:color w:val="212529"/>
                <w:sz w:val="17"/>
              </w:rPr>
              <w:t>Ridge Regularized Linear</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49.83 L</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60.86 L</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4.77%</w:t>
            </w:r>
          </w:p>
        </w:tc>
        <w:tc>
          <w:tcPr>
            <w:tcW w:type="dxa" w:w="1152"/>
            <w:tcMar>
              <w:top w:w="100" w:type="dxa"/>
              <w:bottom w:w="100" w:type="dxa"/>
              <w:left w:w="120" w:type="dxa"/>
              <w:right w:w="120" w:type="dxa"/>
            </w:tcMar>
            <w:shd w:fill="FFFFFF"/>
          </w:tcPr>
          <w:p>
            <w:pPr>
              <w:spacing w:before="40" w:after="40"/>
            </w:pPr>
            <w:r>
              <w:rPr>
                <w:rFonts w:ascii="Arial" w:hAnsi="Arial"/>
                <w:color w:val="212529"/>
                <w:sz w:val="17"/>
              </w:rPr>
              <w:t>-5.509</w:t>
            </w:r>
          </w:p>
        </w:tc>
        <w:tc>
          <w:tcPr>
            <w:tcW w:type="dxa" w:w="1296"/>
            <w:tcMar>
              <w:top w:w="100" w:type="dxa"/>
              <w:bottom w:w="100" w:type="dxa"/>
              <w:left w:w="120" w:type="dxa"/>
              <w:right w:w="120" w:type="dxa"/>
            </w:tcMar>
            <w:shd w:fill="FFFFFF"/>
          </w:tcPr>
          <w:p>
            <w:pPr>
              <w:spacing w:before="40" w:after="40"/>
            </w:pPr>
            <w:r>
              <w:rPr>
                <w:rFonts w:ascii="Arial" w:hAnsi="Arial"/>
                <w:color w:val="212529"/>
                <w:sz w:val="17"/>
              </w:rPr>
              <w:t>20.67%</w:t>
            </w:r>
          </w:p>
        </w:tc>
      </w:tr>
      <w:tr>
        <w:trPr>
          <w:cantSplit/>
        </w:trPr>
        <w:tc>
          <w:tcPr>
            <w:tcW w:type="dxa" w:w="3168"/>
            <w:tcMar>
              <w:top w:w="100" w:type="dxa"/>
              <w:bottom w:w="100" w:type="dxa"/>
              <w:left w:w="120" w:type="dxa"/>
              <w:right w:w="120" w:type="dxa"/>
            </w:tcMar>
            <w:shd w:fill="F8FAFC"/>
          </w:tcPr>
          <w:p>
            <w:pPr>
              <w:spacing w:before="40" w:after="40"/>
            </w:pPr>
            <w:r>
              <w:rPr>
                <w:rFonts w:ascii="Arial" w:hAnsi="Arial"/>
                <w:color w:val="212529"/>
                <w:sz w:val="17"/>
              </w:rPr>
              <w:t>ElasticNet Regularized Linear</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55.25 L</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64.51 L</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5.27%</w:t>
            </w:r>
          </w:p>
        </w:tc>
        <w:tc>
          <w:tcPr>
            <w:tcW w:type="dxa" w:w="1152"/>
            <w:tcMar>
              <w:top w:w="100" w:type="dxa"/>
              <w:bottom w:w="100" w:type="dxa"/>
              <w:left w:w="120" w:type="dxa"/>
              <w:right w:w="120" w:type="dxa"/>
            </w:tcMar>
            <w:shd w:fill="F8FAFC"/>
          </w:tcPr>
          <w:p>
            <w:pPr>
              <w:spacing w:before="40" w:after="40"/>
            </w:pPr>
            <w:r>
              <w:rPr>
                <w:rFonts w:ascii="Arial" w:hAnsi="Arial"/>
                <w:color w:val="212529"/>
                <w:sz w:val="17"/>
              </w:rPr>
              <w:t>-6.313</w:t>
            </w:r>
          </w:p>
        </w:tc>
        <w:tc>
          <w:tcPr>
            <w:tcW w:type="dxa" w:w="1296"/>
            <w:tcMar>
              <w:top w:w="100" w:type="dxa"/>
              <w:bottom w:w="100" w:type="dxa"/>
              <w:left w:w="120" w:type="dxa"/>
              <w:right w:w="120" w:type="dxa"/>
            </w:tcMar>
            <w:shd w:fill="F8FAFC"/>
          </w:tcPr>
          <w:p>
            <w:pPr>
              <w:spacing w:before="40" w:after="40"/>
            </w:pPr>
            <w:r>
              <w:rPr>
                <w:rFonts w:ascii="Arial" w:hAnsi="Arial"/>
                <w:color w:val="212529"/>
                <w:sz w:val="17"/>
              </w:rPr>
              <w:t>19.18%</w:t>
            </w:r>
          </w:p>
        </w:tc>
      </w:tr>
    </w:tbl>
    <w:p>
      <w:pPr>
        <w:spacing w:before="80" w:after="240"/>
        <w:jc w:val="center"/>
      </w:pPr>
      <w:r>
        <w:rPr>
          <w:rFonts w:ascii="Arial" w:hAnsi="Arial"/>
          <w:i/>
          <w:color w:val="6C757D"/>
          <w:sz w:val="17"/>
        </w:rPr>
        <w:t>Figure: Official Leak-Free Model Benchmark Results on Water Angel Telemetry</w:t>
      </w:r>
    </w:p>
    <w:p>
      <w:pPr>
        <w:spacing w:before="160"/>
      </w:pPr>
    </w:p>
    <w:p>
      <w:r>
        <w:drawing>
          <wp:inline xmlns:a="http://schemas.openxmlformats.org/drawingml/2006/main" xmlns:pic="http://schemas.openxmlformats.org/drawingml/2006/picture">
            <wp:extent cx="5669280" cy="250788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669280" cy="2507880"/>
                    </a:xfrm>
                    <a:prstGeom prst="rect"/>
                  </pic:spPr>
                </pic:pic>
              </a:graphicData>
            </a:graphic>
          </wp:inline>
        </w:drawing>
      </w:r>
    </w:p>
    <w:p>
      <w:pPr>
        <w:spacing w:before="80" w:after="240"/>
        <w:jc w:val="center"/>
      </w:pPr>
      <w:r>
        <w:rPr>
          <w:rFonts w:ascii="Arial" w:hAnsi="Arial"/>
          <w:i/>
          <w:color w:val="6C757D"/>
          <w:sz w:val="17"/>
        </w:rPr>
        <w:t>Figure: Leak-Free Benchmark Comparison: Test MAE and Test MAPE across Candidate Models</w:t>
      </w:r>
    </w:p>
    <w:p>
      <w:pPr>
        <w:pStyle w:val="Heading1"/>
        <w:keepNext/>
        <w:spacing w:before="400" w:after="120"/>
      </w:pPr>
      <w:r>
        <w:rPr>
          <w:rFonts w:ascii="Arial" w:hAnsi="Arial"/>
          <w:b/>
          <w:color w:val="1B365D"/>
          <w:sz w:val="32"/>
        </w:rPr>
        <w:t>5. Explainable AI &amp; Out-of-Sample SHAP Analysis</w:t>
      </w:r>
    </w:p>
    <w:p>
      <w:pPr>
        <w:spacing w:after="80" w:line="276" w:lineRule="auto"/>
      </w:pPr>
      <w:r>
        <w:rPr>
          <w:rFonts w:ascii="Arial" w:hAnsi="Arial"/>
          <w:color w:val="212529"/>
          <w:sz w:val="19"/>
        </w:rPr>
        <w:t>TreeSHAP interpretability analysis was executed by fitting XGBoost on the leak-free training partition (316 rows) and calculating exact Shapley attribution values on the unseen out-of-sample holdout test partition (48 rows):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440"/>
            <w:tcMar>
              <w:top w:w="100" w:type="dxa"/>
              <w:bottom w:w="100" w:type="dxa"/>
              <w:left w:w="120" w:type="dxa"/>
              <w:right w:w="120" w:type="dxa"/>
            </w:tcMar>
            <w:shd w:fill="1B365D"/>
          </w:tcPr>
          <w:p>
            <w:pPr>
              <w:spacing w:before="60" w:after="60"/>
            </w:pPr>
            <w:r>
              <w:rPr>
                <w:rFonts w:ascii="Arial" w:hAnsi="Arial"/>
                <w:b/>
                <w:color w:val="FFFFFF"/>
                <w:sz w:val="18"/>
              </w:rPr>
              <w:t>Rank</w:t>
            </w:r>
          </w:p>
        </w:tc>
        <w:tc>
          <w:tcPr>
            <w:tcW w:type="dxa" w:w="3168"/>
            <w:tcMar>
              <w:top w:w="100" w:type="dxa"/>
              <w:bottom w:w="100" w:type="dxa"/>
              <w:left w:w="120" w:type="dxa"/>
              <w:right w:w="120" w:type="dxa"/>
            </w:tcMar>
            <w:shd w:fill="1B365D"/>
          </w:tcPr>
          <w:p>
            <w:pPr>
              <w:spacing w:before="60" w:after="60"/>
            </w:pPr>
            <w:r>
              <w:rPr>
                <w:rFonts w:ascii="Arial" w:hAnsi="Arial"/>
                <w:b/>
                <w:color w:val="FFFFFF"/>
                <w:sz w:val="18"/>
              </w:rPr>
              <w:t>Feature Name</w:t>
            </w:r>
          </w:p>
        </w:tc>
        <w:tc>
          <w:tcPr>
            <w:tcW w:type="dxa" w:w="2160"/>
            <w:tcMar>
              <w:top w:w="100" w:type="dxa"/>
              <w:bottom w:w="100" w:type="dxa"/>
              <w:left w:w="120" w:type="dxa"/>
              <w:right w:w="120" w:type="dxa"/>
            </w:tcMar>
            <w:shd w:fill="1B365D"/>
          </w:tcPr>
          <w:p>
            <w:pPr>
              <w:spacing w:before="60" w:after="60"/>
            </w:pPr>
            <w:r>
              <w:rPr>
                <w:rFonts w:ascii="Arial" w:hAnsi="Arial"/>
                <w:b/>
                <w:color w:val="FFFFFF"/>
                <w:sz w:val="18"/>
              </w:rPr>
              <w:t>Mean |SHAP| (L)</w:t>
            </w:r>
          </w:p>
        </w:tc>
        <w:tc>
          <w:tcPr>
            <w:tcW w:type="dxa" w:w="2592"/>
            <w:tcMar>
              <w:top w:w="100" w:type="dxa"/>
              <w:bottom w:w="100" w:type="dxa"/>
              <w:left w:w="120" w:type="dxa"/>
              <w:right w:w="120" w:type="dxa"/>
            </w:tcMar>
            <w:shd w:fill="1B365D"/>
          </w:tcPr>
          <w:p>
            <w:pPr>
              <w:spacing w:before="60" w:after="60"/>
            </w:pPr>
            <w:r>
              <w:rPr>
                <w:rFonts w:ascii="Arial" w:hAnsi="Arial"/>
                <w:b/>
                <w:color w:val="FFFFFF"/>
                <w:sz w:val="18"/>
              </w:rPr>
              <w:t>Physical Driver</w:t>
            </w:r>
          </w:p>
        </w:tc>
      </w:tr>
      <w:tr>
        <w:trPr>
          <w:cantSplit/>
        </w:trPr>
        <w:tc>
          <w:tcPr>
            <w:tcW w:type="dxa" w:w="1440"/>
            <w:tcMar>
              <w:top w:w="100" w:type="dxa"/>
              <w:bottom w:w="100" w:type="dxa"/>
              <w:left w:w="120" w:type="dxa"/>
              <w:right w:w="120" w:type="dxa"/>
            </w:tcMar>
            <w:shd w:fill="F8FAFC"/>
          </w:tcPr>
          <w:p>
            <w:pPr>
              <w:spacing w:before="40" w:after="40"/>
            </w:pPr>
            <w:r>
              <w:rPr>
                <w:rFonts w:ascii="Arial" w:hAnsi="Arial"/>
                <w:color w:val="212529"/>
                <w:sz w:val="17"/>
              </w:rPr>
              <w:t>#1</w:t>
            </w:r>
          </w:p>
        </w:tc>
        <w:tc>
          <w:tcPr>
            <w:tcW w:type="dxa" w:w="3168"/>
            <w:tcMar>
              <w:top w:w="100" w:type="dxa"/>
              <w:bottom w:w="100" w:type="dxa"/>
              <w:left w:w="120" w:type="dxa"/>
              <w:right w:w="120" w:type="dxa"/>
            </w:tcMar>
            <w:shd w:fill="F8FAFC"/>
          </w:tcPr>
          <w:p>
            <w:pPr>
              <w:spacing w:before="40" w:after="40"/>
            </w:pPr>
            <w:r>
              <w:rPr>
                <w:rFonts w:ascii="Arial" w:hAnsi="Arial"/>
                <w:color w:val="212529"/>
                <w:sz w:val="17"/>
              </w:rPr>
              <w:t>past_7d_liters</w:t>
            </w:r>
          </w:p>
        </w:tc>
        <w:tc>
          <w:tcPr>
            <w:tcW w:type="dxa" w:w="2160"/>
            <w:tcMar>
              <w:top w:w="100" w:type="dxa"/>
              <w:bottom w:w="100" w:type="dxa"/>
              <w:left w:w="120" w:type="dxa"/>
              <w:right w:w="120" w:type="dxa"/>
            </w:tcMar>
            <w:shd w:fill="F8FAFC"/>
          </w:tcPr>
          <w:p>
            <w:pPr>
              <w:spacing w:before="40" w:after="40"/>
            </w:pPr>
            <w:r>
              <w:rPr>
                <w:rFonts w:ascii="Arial" w:hAnsi="Arial"/>
                <w:color w:val="212529"/>
                <w:sz w:val="17"/>
              </w:rPr>
              <w:t>88.96 L</w:t>
            </w:r>
          </w:p>
        </w:tc>
        <w:tc>
          <w:tcPr>
            <w:tcW w:type="dxa" w:w="2592"/>
            <w:tcMar>
              <w:top w:w="100" w:type="dxa"/>
              <w:bottom w:w="100" w:type="dxa"/>
              <w:left w:w="120" w:type="dxa"/>
              <w:right w:w="120" w:type="dxa"/>
            </w:tcMar>
            <w:shd w:fill="F8FAFC"/>
          </w:tcPr>
          <w:p>
            <w:pPr>
              <w:spacing w:before="40" w:after="40"/>
            </w:pPr>
            <w:r>
              <w:rPr>
                <w:rFonts w:ascii="Arial" w:hAnsi="Arial"/>
                <w:color w:val="212529"/>
                <w:sz w:val="17"/>
              </w:rPr>
              <w:t>Habitual baseline anchor.</w:t>
            </w:r>
          </w:p>
        </w:tc>
      </w:tr>
      <w:tr>
        <w:trPr>
          <w:cantSplit/>
        </w:trPr>
        <w:tc>
          <w:tcPr>
            <w:tcW w:type="dxa" w:w="1440"/>
            <w:tcMar>
              <w:top w:w="100" w:type="dxa"/>
              <w:bottom w:w="100" w:type="dxa"/>
              <w:left w:w="120" w:type="dxa"/>
              <w:right w:w="120" w:type="dxa"/>
            </w:tcMar>
            <w:shd w:fill="FFFFFF"/>
          </w:tcPr>
          <w:p>
            <w:pPr>
              <w:spacing w:before="40" w:after="40"/>
            </w:pPr>
            <w:r>
              <w:rPr>
                <w:rFonts w:ascii="Arial" w:hAnsi="Arial"/>
                <w:color w:val="212529"/>
                <w:sz w:val="17"/>
              </w:rPr>
              <w:t>#2</w:t>
            </w:r>
          </w:p>
        </w:tc>
        <w:tc>
          <w:tcPr>
            <w:tcW w:type="dxa" w:w="3168"/>
            <w:tcMar>
              <w:top w:w="100" w:type="dxa"/>
              <w:bottom w:w="100" w:type="dxa"/>
              <w:left w:w="120" w:type="dxa"/>
              <w:right w:w="120" w:type="dxa"/>
            </w:tcMar>
            <w:shd w:fill="FFFFFF"/>
          </w:tcPr>
          <w:p>
            <w:pPr>
              <w:spacing w:before="40" w:after="40"/>
            </w:pPr>
            <w:r>
              <w:rPr>
                <w:rFonts w:ascii="Arial" w:hAnsi="Arial"/>
                <w:color w:val="212529"/>
                <w:sz w:val="17"/>
              </w:rPr>
              <w:t>rolling_mean_7</w:t>
            </w:r>
          </w:p>
        </w:tc>
        <w:tc>
          <w:tcPr>
            <w:tcW w:type="dxa" w:w="2160"/>
            <w:tcMar>
              <w:top w:w="100" w:type="dxa"/>
              <w:bottom w:w="100" w:type="dxa"/>
              <w:left w:w="120" w:type="dxa"/>
              <w:right w:w="120" w:type="dxa"/>
            </w:tcMar>
            <w:shd w:fill="FFFFFF"/>
          </w:tcPr>
          <w:p>
            <w:pPr>
              <w:spacing w:before="40" w:after="40"/>
            </w:pPr>
            <w:r>
              <w:rPr>
                <w:rFonts w:ascii="Arial" w:hAnsi="Arial"/>
                <w:color w:val="212529"/>
                <w:sz w:val="17"/>
              </w:rPr>
              <w:t>59.28 L</w:t>
            </w:r>
          </w:p>
        </w:tc>
        <w:tc>
          <w:tcPr>
            <w:tcW w:type="dxa" w:w="2592"/>
            <w:tcMar>
              <w:top w:w="100" w:type="dxa"/>
              <w:bottom w:w="100" w:type="dxa"/>
              <w:left w:w="120" w:type="dxa"/>
              <w:right w:w="120" w:type="dxa"/>
            </w:tcMar>
            <w:shd w:fill="FFFFFF"/>
          </w:tcPr>
          <w:p>
            <w:pPr>
              <w:spacing w:before="40" w:after="40"/>
            </w:pPr>
            <w:r>
              <w:rPr>
                <w:rFonts w:ascii="Arial" w:hAnsi="Arial"/>
                <w:color w:val="212529"/>
                <w:sz w:val="17"/>
              </w:rPr>
              <w:t>Short-term consumption velocity.</w:t>
            </w:r>
          </w:p>
        </w:tc>
      </w:tr>
      <w:tr>
        <w:trPr>
          <w:cantSplit/>
        </w:trPr>
        <w:tc>
          <w:tcPr>
            <w:tcW w:type="dxa" w:w="1440"/>
            <w:tcMar>
              <w:top w:w="100" w:type="dxa"/>
              <w:bottom w:w="100" w:type="dxa"/>
              <w:left w:w="120" w:type="dxa"/>
              <w:right w:w="120" w:type="dxa"/>
            </w:tcMar>
            <w:shd w:fill="F8FAFC"/>
          </w:tcPr>
          <w:p>
            <w:pPr>
              <w:spacing w:before="40" w:after="40"/>
            </w:pPr>
            <w:r>
              <w:rPr>
                <w:rFonts w:ascii="Arial" w:hAnsi="Arial"/>
                <w:color w:val="212529"/>
                <w:sz w:val="17"/>
              </w:rPr>
              <w:t>#3</w:t>
            </w:r>
          </w:p>
        </w:tc>
        <w:tc>
          <w:tcPr>
            <w:tcW w:type="dxa" w:w="3168"/>
            <w:tcMar>
              <w:top w:w="100" w:type="dxa"/>
              <w:bottom w:w="100" w:type="dxa"/>
              <w:left w:w="120" w:type="dxa"/>
              <w:right w:w="120" w:type="dxa"/>
            </w:tcMar>
            <w:shd w:fill="F8FAFC"/>
          </w:tcPr>
          <w:p>
            <w:pPr>
              <w:spacing w:before="40" w:after="40"/>
            </w:pPr>
            <w:r>
              <w:rPr>
                <w:rFonts w:ascii="Arial" w:hAnsi="Arial"/>
                <w:color w:val="212529"/>
                <w:sz w:val="17"/>
              </w:rPr>
              <w:t>day_of_year</w:t>
            </w:r>
          </w:p>
        </w:tc>
        <w:tc>
          <w:tcPr>
            <w:tcW w:type="dxa" w:w="2160"/>
            <w:tcMar>
              <w:top w:w="100" w:type="dxa"/>
              <w:bottom w:w="100" w:type="dxa"/>
              <w:left w:w="120" w:type="dxa"/>
              <w:right w:w="120" w:type="dxa"/>
            </w:tcMar>
            <w:shd w:fill="F8FAFC"/>
          </w:tcPr>
          <w:p>
            <w:pPr>
              <w:spacing w:before="40" w:after="40"/>
            </w:pPr>
            <w:r>
              <w:rPr>
                <w:rFonts w:ascii="Arial" w:hAnsi="Arial"/>
                <w:color w:val="212529"/>
                <w:sz w:val="17"/>
              </w:rPr>
              <w:t>35.55 L</w:t>
            </w:r>
          </w:p>
        </w:tc>
        <w:tc>
          <w:tcPr>
            <w:tcW w:type="dxa" w:w="2592"/>
            <w:tcMar>
              <w:top w:w="100" w:type="dxa"/>
              <w:bottom w:w="100" w:type="dxa"/>
              <w:left w:w="120" w:type="dxa"/>
              <w:right w:w="120" w:type="dxa"/>
            </w:tcMar>
            <w:shd w:fill="F8FAFC"/>
          </w:tcPr>
          <w:p>
            <w:pPr>
              <w:spacing w:before="40" w:after="40"/>
            </w:pPr>
            <w:r>
              <w:rPr>
                <w:rFonts w:ascii="Arial" w:hAnsi="Arial"/>
                <w:color w:val="212529"/>
                <w:sz w:val="17"/>
              </w:rPr>
              <w:t>Seasonal curve &amp; outdoor temperature.</w:t>
            </w:r>
          </w:p>
        </w:tc>
      </w:tr>
      <w:tr>
        <w:trPr>
          <w:cantSplit/>
        </w:trPr>
        <w:tc>
          <w:tcPr>
            <w:tcW w:type="dxa" w:w="1440"/>
            <w:tcMar>
              <w:top w:w="100" w:type="dxa"/>
              <w:bottom w:w="100" w:type="dxa"/>
              <w:left w:w="120" w:type="dxa"/>
              <w:right w:w="120" w:type="dxa"/>
            </w:tcMar>
            <w:shd w:fill="FFFFFF"/>
          </w:tcPr>
          <w:p>
            <w:pPr>
              <w:spacing w:before="40" w:after="40"/>
            </w:pPr>
            <w:r>
              <w:rPr>
                <w:rFonts w:ascii="Arial" w:hAnsi="Arial"/>
                <w:color w:val="212529"/>
                <w:sz w:val="17"/>
              </w:rPr>
              <w:t>#4</w:t>
            </w:r>
          </w:p>
        </w:tc>
        <w:tc>
          <w:tcPr>
            <w:tcW w:type="dxa" w:w="3168"/>
            <w:tcMar>
              <w:top w:w="100" w:type="dxa"/>
              <w:bottom w:w="100" w:type="dxa"/>
              <w:left w:w="120" w:type="dxa"/>
              <w:right w:w="120" w:type="dxa"/>
            </w:tcMar>
            <w:shd w:fill="FFFFFF"/>
          </w:tcPr>
          <w:p>
            <w:pPr>
              <w:spacing w:before="40" w:after="40"/>
            </w:pPr>
            <w:r>
              <w:rPr>
                <w:rFonts w:ascii="Arial" w:hAnsi="Arial"/>
                <w:color w:val="212529"/>
                <w:sz w:val="17"/>
              </w:rPr>
              <w:t>past_7d_lag7</w:t>
            </w:r>
          </w:p>
        </w:tc>
        <w:tc>
          <w:tcPr>
            <w:tcW w:type="dxa" w:w="2160"/>
            <w:tcMar>
              <w:top w:w="100" w:type="dxa"/>
              <w:bottom w:w="100" w:type="dxa"/>
              <w:left w:w="120" w:type="dxa"/>
              <w:right w:w="120" w:type="dxa"/>
            </w:tcMar>
            <w:shd w:fill="FFFFFF"/>
          </w:tcPr>
          <w:p>
            <w:pPr>
              <w:spacing w:before="40" w:after="40"/>
            </w:pPr>
            <w:r>
              <w:rPr>
                <w:rFonts w:ascii="Arial" w:hAnsi="Arial"/>
                <w:color w:val="212529"/>
                <w:sz w:val="17"/>
              </w:rPr>
              <w:t>19.61 L</w:t>
            </w:r>
          </w:p>
        </w:tc>
        <w:tc>
          <w:tcPr>
            <w:tcW w:type="dxa" w:w="2592"/>
            <w:tcMar>
              <w:top w:w="100" w:type="dxa"/>
              <w:bottom w:w="100" w:type="dxa"/>
              <w:left w:w="120" w:type="dxa"/>
              <w:right w:w="120" w:type="dxa"/>
            </w:tcMar>
            <w:shd w:fill="FFFFFF"/>
          </w:tcPr>
          <w:p>
            <w:pPr>
              <w:spacing w:before="40" w:after="40"/>
            </w:pPr>
            <w:r>
              <w:rPr>
                <w:rFonts w:ascii="Arial" w:hAnsi="Arial"/>
                <w:color w:val="212529"/>
                <w:sz w:val="17"/>
              </w:rPr>
              <w:t>Secondary weekly consistency anchor.</w:t>
            </w:r>
          </w:p>
        </w:tc>
      </w:tr>
      <w:tr>
        <w:trPr>
          <w:cantSplit/>
        </w:trPr>
        <w:tc>
          <w:tcPr>
            <w:tcW w:type="dxa" w:w="1440"/>
            <w:tcMar>
              <w:top w:w="100" w:type="dxa"/>
              <w:bottom w:w="100" w:type="dxa"/>
              <w:left w:w="120" w:type="dxa"/>
              <w:right w:w="120" w:type="dxa"/>
            </w:tcMar>
            <w:shd w:fill="F8FAFC"/>
          </w:tcPr>
          <w:p>
            <w:pPr>
              <w:spacing w:before="40" w:after="40"/>
            </w:pPr>
            <w:r>
              <w:rPr>
                <w:rFonts w:ascii="Arial" w:hAnsi="Arial"/>
                <w:color w:val="212529"/>
                <w:sz w:val="17"/>
              </w:rPr>
              <w:t>#5</w:t>
            </w:r>
          </w:p>
        </w:tc>
        <w:tc>
          <w:tcPr>
            <w:tcW w:type="dxa" w:w="3168"/>
            <w:tcMar>
              <w:top w:w="100" w:type="dxa"/>
              <w:bottom w:w="100" w:type="dxa"/>
              <w:left w:w="120" w:type="dxa"/>
              <w:right w:w="120" w:type="dxa"/>
            </w:tcMar>
            <w:shd w:fill="F8FAFC"/>
          </w:tcPr>
          <w:p>
            <w:pPr>
              <w:spacing w:before="40" w:after="40"/>
            </w:pPr>
            <w:r>
              <w:rPr>
                <w:rFonts w:ascii="Arial" w:hAnsi="Arial"/>
                <w:color w:val="212529"/>
                <w:sz w:val="17"/>
              </w:rPr>
              <w:t>rolling_mean_14</w:t>
            </w:r>
          </w:p>
        </w:tc>
        <w:tc>
          <w:tcPr>
            <w:tcW w:type="dxa" w:w="2160"/>
            <w:tcMar>
              <w:top w:w="100" w:type="dxa"/>
              <w:bottom w:w="100" w:type="dxa"/>
              <w:left w:w="120" w:type="dxa"/>
              <w:right w:w="120" w:type="dxa"/>
            </w:tcMar>
            <w:shd w:fill="F8FAFC"/>
          </w:tcPr>
          <w:p>
            <w:pPr>
              <w:spacing w:before="40" w:after="40"/>
            </w:pPr>
            <w:r>
              <w:rPr>
                <w:rFonts w:ascii="Arial" w:hAnsi="Arial"/>
                <w:color w:val="212529"/>
                <w:sz w:val="17"/>
              </w:rPr>
              <w:t>16.43 L</w:t>
            </w:r>
          </w:p>
        </w:tc>
        <w:tc>
          <w:tcPr>
            <w:tcW w:type="dxa" w:w="2592"/>
            <w:tcMar>
              <w:top w:w="100" w:type="dxa"/>
              <w:bottom w:w="100" w:type="dxa"/>
              <w:left w:w="120" w:type="dxa"/>
              <w:right w:w="120" w:type="dxa"/>
            </w:tcMar>
            <w:shd w:fill="F8FAFC"/>
          </w:tcPr>
          <w:p>
            <w:pPr>
              <w:spacing w:before="40" w:after="40"/>
            </w:pPr>
            <w:r>
              <w:rPr>
                <w:rFonts w:ascii="Arial" w:hAnsi="Arial"/>
                <w:color w:val="212529"/>
                <w:sz w:val="17"/>
              </w:rPr>
              <w:t>Bi-weekly baseline volume.</w:t>
            </w:r>
          </w:p>
        </w:tc>
      </w:tr>
      <w:tr>
        <w:trPr>
          <w:cantSplit/>
        </w:trPr>
        <w:tc>
          <w:tcPr>
            <w:tcW w:type="dxa" w:w="1440"/>
            <w:tcMar>
              <w:top w:w="100" w:type="dxa"/>
              <w:bottom w:w="100" w:type="dxa"/>
              <w:left w:w="120" w:type="dxa"/>
              <w:right w:w="120" w:type="dxa"/>
            </w:tcMar>
            <w:shd w:fill="FFFFFF"/>
          </w:tcPr>
          <w:p>
            <w:pPr>
              <w:spacing w:before="40" w:after="40"/>
            </w:pPr>
            <w:r>
              <w:rPr>
                <w:rFonts w:ascii="Arial" w:hAnsi="Arial"/>
                <w:color w:val="212529"/>
                <w:sz w:val="17"/>
              </w:rPr>
              <w:t>#6</w:t>
            </w:r>
          </w:p>
        </w:tc>
        <w:tc>
          <w:tcPr>
            <w:tcW w:type="dxa" w:w="3168"/>
            <w:tcMar>
              <w:top w:w="100" w:type="dxa"/>
              <w:bottom w:w="100" w:type="dxa"/>
              <w:left w:w="120" w:type="dxa"/>
              <w:right w:w="120" w:type="dxa"/>
            </w:tcMar>
            <w:shd w:fill="FFFFFF"/>
          </w:tcPr>
          <w:p>
            <w:pPr>
              <w:spacing w:before="40" w:after="40"/>
            </w:pPr>
            <w:r>
              <w:rPr>
                <w:rFonts w:ascii="Arial" w:hAnsi="Arial"/>
                <w:color w:val="212529"/>
                <w:sz w:val="17"/>
              </w:rPr>
              <w:t>rolling_mean_30</w:t>
            </w:r>
          </w:p>
        </w:tc>
        <w:tc>
          <w:tcPr>
            <w:tcW w:type="dxa" w:w="2160"/>
            <w:tcMar>
              <w:top w:w="100" w:type="dxa"/>
              <w:bottom w:w="100" w:type="dxa"/>
              <w:left w:w="120" w:type="dxa"/>
              <w:right w:w="120" w:type="dxa"/>
            </w:tcMar>
            <w:shd w:fill="FFFFFF"/>
          </w:tcPr>
          <w:p>
            <w:pPr>
              <w:spacing w:before="40" w:after="40"/>
            </w:pPr>
            <w:r>
              <w:rPr>
                <w:rFonts w:ascii="Arial" w:hAnsi="Arial"/>
                <w:color w:val="212529"/>
                <w:sz w:val="17"/>
              </w:rPr>
              <w:t>8.28 L</w:t>
            </w:r>
          </w:p>
        </w:tc>
        <w:tc>
          <w:tcPr>
            <w:tcW w:type="dxa" w:w="2592"/>
            <w:tcMar>
              <w:top w:w="100" w:type="dxa"/>
              <w:bottom w:w="100" w:type="dxa"/>
              <w:left w:w="120" w:type="dxa"/>
              <w:right w:w="120" w:type="dxa"/>
            </w:tcMar>
            <w:shd w:fill="FFFFFF"/>
          </w:tcPr>
          <w:p>
            <w:pPr>
              <w:spacing w:before="40" w:after="40"/>
            </w:pPr>
            <w:r>
              <w:rPr>
                <w:rFonts w:ascii="Arial" w:hAnsi="Arial"/>
                <w:color w:val="212529"/>
                <w:sz w:val="17"/>
              </w:rPr>
              <w:t>Monthly household baseline.</w:t>
            </w:r>
          </w:p>
        </w:tc>
      </w:tr>
      <w:tr>
        <w:trPr>
          <w:cantSplit/>
        </w:trPr>
        <w:tc>
          <w:tcPr>
            <w:tcW w:type="dxa" w:w="1440"/>
            <w:tcMar>
              <w:top w:w="100" w:type="dxa"/>
              <w:bottom w:w="100" w:type="dxa"/>
              <w:left w:w="120" w:type="dxa"/>
              <w:right w:w="120" w:type="dxa"/>
            </w:tcMar>
            <w:shd w:fill="F8FAFC"/>
          </w:tcPr>
          <w:p>
            <w:pPr>
              <w:spacing w:before="40" w:after="40"/>
            </w:pPr>
            <w:r>
              <w:rPr>
                <w:rFonts w:ascii="Arial" w:hAnsi="Arial"/>
                <w:color w:val="212529"/>
                <w:sz w:val="17"/>
              </w:rPr>
              <w:t>#7</w:t>
            </w:r>
          </w:p>
        </w:tc>
        <w:tc>
          <w:tcPr>
            <w:tcW w:type="dxa" w:w="3168"/>
            <w:tcMar>
              <w:top w:w="100" w:type="dxa"/>
              <w:bottom w:w="100" w:type="dxa"/>
              <w:left w:w="120" w:type="dxa"/>
              <w:right w:w="120" w:type="dxa"/>
            </w:tcMar>
            <w:shd w:fill="F8FAFC"/>
          </w:tcPr>
          <w:p>
            <w:pPr>
              <w:spacing w:before="40" w:after="40"/>
            </w:pPr>
            <w:r>
              <w:rPr>
                <w:rFonts w:ascii="Arial" w:hAnsi="Arial"/>
                <w:color w:val="212529"/>
                <w:sz w:val="17"/>
              </w:rPr>
              <w:t>lag_1</w:t>
            </w:r>
          </w:p>
        </w:tc>
        <w:tc>
          <w:tcPr>
            <w:tcW w:type="dxa" w:w="2160"/>
            <w:tcMar>
              <w:top w:w="100" w:type="dxa"/>
              <w:bottom w:w="100" w:type="dxa"/>
              <w:left w:w="120" w:type="dxa"/>
              <w:right w:w="120" w:type="dxa"/>
            </w:tcMar>
            <w:shd w:fill="F8FAFC"/>
          </w:tcPr>
          <w:p>
            <w:pPr>
              <w:spacing w:before="40" w:after="40"/>
            </w:pPr>
            <w:r>
              <w:rPr>
                <w:rFonts w:ascii="Arial" w:hAnsi="Arial"/>
                <w:color w:val="212529"/>
                <w:sz w:val="17"/>
              </w:rPr>
              <w:t>7.27 L</w:t>
            </w:r>
          </w:p>
        </w:tc>
        <w:tc>
          <w:tcPr>
            <w:tcW w:type="dxa" w:w="2592"/>
            <w:tcMar>
              <w:top w:w="100" w:type="dxa"/>
              <w:bottom w:w="100" w:type="dxa"/>
              <w:left w:w="120" w:type="dxa"/>
              <w:right w:w="120" w:type="dxa"/>
            </w:tcMar>
            <w:shd w:fill="F8FAFC"/>
          </w:tcPr>
          <w:p>
            <w:pPr>
              <w:spacing w:before="40" w:after="40"/>
            </w:pPr>
            <w:r>
              <w:rPr>
                <w:rFonts w:ascii="Arial" w:hAnsi="Arial"/>
                <w:color w:val="212529"/>
                <w:sz w:val="17"/>
              </w:rPr>
              <w:t>Yesterday's immediate usage.</w:t>
            </w:r>
          </w:p>
        </w:tc>
      </w:tr>
      <w:tr>
        <w:trPr>
          <w:cantSplit/>
        </w:trPr>
        <w:tc>
          <w:tcPr>
            <w:tcW w:type="dxa" w:w="1440"/>
            <w:tcMar>
              <w:top w:w="100" w:type="dxa"/>
              <w:bottom w:w="100" w:type="dxa"/>
              <w:left w:w="120" w:type="dxa"/>
              <w:right w:w="120" w:type="dxa"/>
            </w:tcMar>
            <w:shd w:fill="FFFFFF"/>
          </w:tcPr>
          <w:p>
            <w:pPr>
              <w:spacing w:before="40" w:after="40"/>
            </w:pPr>
            <w:r>
              <w:rPr>
                <w:rFonts w:ascii="Arial" w:hAnsi="Arial"/>
                <w:color w:val="212529"/>
                <w:sz w:val="17"/>
              </w:rPr>
              <w:t>#8</w:t>
            </w:r>
          </w:p>
        </w:tc>
        <w:tc>
          <w:tcPr>
            <w:tcW w:type="dxa" w:w="3168"/>
            <w:tcMar>
              <w:top w:w="100" w:type="dxa"/>
              <w:bottom w:w="100" w:type="dxa"/>
              <w:left w:w="120" w:type="dxa"/>
              <w:right w:w="120" w:type="dxa"/>
            </w:tcMar>
            <w:shd w:fill="FFFFFF"/>
          </w:tcPr>
          <w:p>
            <w:pPr>
              <w:spacing w:before="40" w:after="40"/>
            </w:pPr>
            <w:r>
              <w:rPr>
                <w:rFonts w:ascii="Arial" w:hAnsi="Arial"/>
                <w:color w:val="212529"/>
                <w:sz w:val="17"/>
              </w:rPr>
              <w:t>past_7d_lag14</w:t>
            </w:r>
          </w:p>
        </w:tc>
        <w:tc>
          <w:tcPr>
            <w:tcW w:type="dxa" w:w="2160"/>
            <w:tcMar>
              <w:top w:w="100" w:type="dxa"/>
              <w:bottom w:w="100" w:type="dxa"/>
              <w:left w:w="120" w:type="dxa"/>
              <w:right w:w="120" w:type="dxa"/>
            </w:tcMar>
            <w:shd w:fill="FFFFFF"/>
          </w:tcPr>
          <w:p>
            <w:pPr>
              <w:spacing w:before="40" w:after="40"/>
            </w:pPr>
            <w:r>
              <w:rPr>
                <w:rFonts w:ascii="Arial" w:hAnsi="Arial"/>
                <w:color w:val="212529"/>
                <w:sz w:val="17"/>
              </w:rPr>
              <w:t>5.47 L</w:t>
            </w:r>
          </w:p>
        </w:tc>
        <w:tc>
          <w:tcPr>
            <w:tcW w:type="dxa" w:w="2592"/>
            <w:tcMar>
              <w:top w:w="100" w:type="dxa"/>
              <w:bottom w:w="100" w:type="dxa"/>
              <w:left w:w="120" w:type="dxa"/>
              <w:right w:w="120" w:type="dxa"/>
            </w:tcMar>
            <w:shd w:fill="FFFFFF"/>
          </w:tcPr>
          <w:p>
            <w:pPr>
              <w:spacing w:before="40" w:after="40"/>
            </w:pPr>
            <w:r>
              <w:rPr>
                <w:rFonts w:ascii="Arial" w:hAnsi="Arial"/>
                <w:color w:val="212529"/>
                <w:sz w:val="17"/>
              </w:rPr>
              <w:t>Long-term periodicity memory.</w:t>
            </w:r>
          </w:p>
        </w:tc>
      </w:tr>
      <w:tr>
        <w:trPr>
          <w:cantSplit/>
        </w:trPr>
        <w:tc>
          <w:tcPr>
            <w:tcW w:type="dxa" w:w="1440"/>
            <w:tcMar>
              <w:top w:w="100" w:type="dxa"/>
              <w:bottom w:w="100" w:type="dxa"/>
              <w:left w:w="120" w:type="dxa"/>
              <w:right w:w="120" w:type="dxa"/>
            </w:tcMar>
            <w:shd w:fill="F8FAFC"/>
          </w:tcPr>
          <w:p>
            <w:pPr>
              <w:spacing w:before="40" w:after="40"/>
            </w:pPr>
            <w:r>
              <w:rPr>
                <w:rFonts w:ascii="Arial" w:hAnsi="Arial"/>
                <w:color w:val="212529"/>
                <w:sz w:val="17"/>
              </w:rPr>
              <w:t>#9</w:t>
            </w:r>
          </w:p>
        </w:tc>
        <w:tc>
          <w:tcPr>
            <w:tcW w:type="dxa" w:w="3168"/>
            <w:tcMar>
              <w:top w:w="100" w:type="dxa"/>
              <w:bottom w:w="100" w:type="dxa"/>
              <w:left w:w="120" w:type="dxa"/>
              <w:right w:w="120" w:type="dxa"/>
            </w:tcMar>
            <w:shd w:fill="F8FAFC"/>
          </w:tcPr>
          <w:p>
            <w:pPr>
              <w:spacing w:before="40" w:after="40"/>
            </w:pPr>
            <w:r>
              <w:rPr>
                <w:rFonts w:ascii="Arial" w:hAnsi="Arial"/>
                <w:color w:val="212529"/>
                <w:sz w:val="17"/>
              </w:rPr>
              <w:t>diff_14_21</w:t>
            </w:r>
          </w:p>
        </w:tc>
        <w:tc>
          <w:tcPr>
            <w:tcW w:type="dxa" w:w="2160"/>
            <w:tcMar>
              <w:top w:w="100" w:type="dxa"/>
              <w:bottom w:w="100" w:type="dxa"/>
              <w:left w:w="120" w:type="dxa"/>
              <w:right w:w="120" w:type="dxa"/>
            </w:tcMar>
            <w:shd w:fill="F8FAFC"/>
          </w:tcPr>
          <w:p>
            <w:pPr>
              <w:spacing w:before="40" w:after="40"/>
            </w:pPr>
            <w:r>
              <w:rPr>
                <w:rFonts w:ascii="Arial" w:hAnsi="Arial"/>
                <w:color w:val="212529"/>
                <w:sz w:val="17"/>
              </w:rPr>
              <w:t>3.50 L</w:t>
            </w:r>
          </w:p>
        </w:tc>
        <w:tc>
          <w:tcPr>
            <w:tcW w:type="dxa" w:w="2592"/>
            <w:tcMar>
              <w:top w:w="100" w:type="dxa"/>
              <w:bottom w:w="100" w:type="dxa"/>
              <w:left w:w="120" w:type="dxa"/>
              <w:right w:w="120" w:type="dxa"/>
            </w:tcMar>
            <w:shd w:fill="F8FAFC"/>
          </w:tcPr>
          <w:p>
            <w:pPr>
              <w:spacing w:before="40" w:after="40"/>
            </w:pPr>
            <w:r>
              <w:rPr>
                <w:rFonts w:ascii="Arial" w:hAnsi="Arial"/>
                <w:color w:val="212529"/>
                <w:sz w:val="17"/>
              </w:rPr>
              <w:t>Mid-term trend acceleration.</w:t>
            </w:r>
          </w:p>
        </w:tc>
      </w:tr>
      <w:tr>
        <w:trPr>
          <w:cantSplit/>
        </w:trPr>
        <w:tc>
          <w:tcPr>
            <w:tcW w:type="dxa" w:w="1440"/>
            <w:tcMar>
              <w:top w:w="100" w:type="dxa"/>
              <w:bottom w:w="100" w:type="dxa"/>
              <w:left w:w="120" w:type="dxa"/>
              <w:right w:w="120" w:type="dxa"/>
            </w:tcMar>
            <w:shd w:fill="FFFFFF"/>
          </w:tcPr>
          <w:p>
            <w:pPr>
              <w:spacing w:before="40" w:after="40"/>
            </w:pPr>
            <w:r>
              <w:rPr>
                <w:rFonts w:ascii="Arial" w:hAnsi="Arial"/>
                <w:color w:val="212529"/>
                <w:sz w:val="17"/>
              </w:rPr>
              <w:t>#10</w:t>
            </w:r>
          </w:p>
        </w:tc>
        <w:tc>
          <w:tcPr>
            <w:tcW w:type="dxa" w:w="3168"/>
            <w:tcMar>
              <w:top w:w="100" w:type="dxa"/>
              <w:bottom w:w="100" w:type="dxa"/>
              <w:left w:w="120" w:type="dxa"/>
              <w:right w:w="120" w:type="dxa"/>
            </w:tcMar>
            <w:shd w:fill="FFFFFF"/>
          </w:tcPr>
          <w:p>
            <w:pPr>
              <w:spacing w:before="40" w:after="40"/>
            </w:pPr>
            <w:r>
              <w:rPr>
                <w:rFonts w:ascii="Arial" w:hAnsi="Arial"/>
                <w:color w:val="212529"/>
                <w:sz w:val="17"/>
              </w:rPr>
              <w:t>lag_2</w:t>
            </w:r>
          </w:p>
        </w:tc>
        <w:tc>
          <w:tcPr>
            <w:tcW w:type="dxa" w:w="2160"/>
            <w:tcMar>
              <w:top w:w="100" w:type="dxa"/>
              <w:bottom w:w="100" w:type="dxa"/>
              <w:left w:w="120" w:type="dxa"/>
              <w:right w:w="120" w:type="dxa"/>
            </w:tcMar>
            <w:shd w:fill="FFFFFF"/>
          </w:tcPr>
          <w:p>
            <w:pPr>
              <w:spacing w:before="40" w:after="40"/>
            </w:pPr>
            <w:r>
              <w:rPr>
                <w:rFonts w:ascii="Arial" w:hAnsi="Arial"/>
                <w:color w:val="212529"/>
                <w:sz w:val="17"/>
              </w:rPr>
              <w:t>3.44 L</w:t>
            </w:r>
          </w:p>
        </w:tc>
        <w:tc>
          <w:tcPr>
            <w:tcW w:type="dxa" w:w="2592"/>
            <w:tcMar>
              <w:top w:w="100" w:type="dxa"/>
              <w:bottom w:w="100" w:type="dxa"/>
              <w:left w:w="120" w:type="dxa"/>
              <w:right w:w="120" w:type="dxa"/>
            </w:tcMar>
            <w:shd w:fill="FFFFFF"/>
          </w:tcPr>
          <w:p>
            <w:pPr>
              <w:spacing w:before="40" w:after="40"/>
            </w:pPr>
            <w:r>
              <w:rPr>
                <w:rFonts w:ascii="Arial" w:hAnsi="Arial"/>
                <w:color w:val="212529"/>
                <w:sz w:val="17"/>
              </w:rPr>
              <w:t>Two-day prior consumption signal.</w:t>
            </w:r>
          </w:p>
        </w:tc>
      </w:tr>
    </w:tbl>
    <w:p>
      <w:pPr>
        <w:spacing w:before="80" w:after="240"/>
        <w:jc w:val="center"/>
      </w:pPr>
      <w:r>
        <w:rPr>
          <w:rFonts w:ascii="Arial" w:hAnsi="Arial"/>
          <w:i/>
          <w:color w:val="6C757D"/>
          <w:sz w:val="17"/>
        </w:rPr>
        <w:t>Figure: Top Predictive Features Ranked by Out-of-Sample SHAP Explanatory Power</w:t>
      </w:r>
    </w:p>
    <w:p>
      <w:pPr>
        <w:spacing w:before="160"/>
      </w:pPr>
    </w:p>
    <w:p>
      <w:r>
        <w:drawing>
          <wp:inline xmlns:a="http://schemas.openxmlformats.org/drawingml/2006/main" xmlns:pic="http://schemas.openxmlformats.org/drawingml/2006/picture">
            <wp:extent cx="5669280" cy="5976651"/>
            <wp:docPr id="2" name="Picture 2"/>
            <wp:cNvGraphicFramePr>
              <a:graphicFrameLocks noChangeAspect="1"/>
            </wp:cNvGraphicFramePr>
            <a:graphic>
              <a:graphicData uri="http://schemas.openxmlformats.org/drawingml/2006/picture">
                <pic:pic>
                  <pic:nvPicPr>
                    <pic:cNvPr id="0" name="shap_bar_importance.png"/>
                    <pic:cNvPicPr/>
                  </pic:nvPicPr>
                  <pic:blipFill>
                    <a:blip r:embed="rId12"/>
                    <a:stretch>
                      <a:fillRect/>
                    </a:stretch>
                  </pic:blipFill>
                  <pic:spPr>
                    <a:xfrm>
                      <a:off x="0" y="0"/>
                      <a:ext cx="5669280" cy="5976651"/>
                    </a:xfrm>
                    <a:prstGeom prst="rect"/>
                  </pic:spPr>
                </pic:pic>
              </a:graphicData>
            </a:graphic>
          </wp:inline>
        </w:drawing>
      </w:r>
    </w:p>
    <w:p>
      <w:pPr>
        <w:spacing w:before="80" w:after="240"/>
        <w:jc w:val="center"/>
      </w:pPr>
      <w:r>
        <w:rPr>
          <w:rFonts w:ascii="Arial" w:hAnsi="Arial"/>
          <w:i/>
          <w:color w:val="6C757D"/>
          <w:sz w:val="17"/>
        </w:rPr>
        <w:t>Figure: Out-of-Sample SHAP Mean Absolute Feature Importance (Bar Plot)</w:t>
      </w:r>
    </w:p>
    <w:p>
      <w:pPr>
        <w:spacing w:before="160"/>
      </w:pPr>
    </w:p>
    <w:p>
      <w:r>
        <w:drawing>
          <wp:inline xmlns:a="http://schemas.openxmlformats.org/drawingml/2006/main" xmlns:pic="http://schemas.openxmlformats.org/drawingml/2006/picture">
            <wp:extent cx="5669280" cy="5121962"/>
            <wp:docPr id="3" name="Picture 3"/>
            <wp:cNvGraphicFramePr>
              <a:graphicFrameLocks noChangeAspect="1"/>
            </wp:cNvGraphicFramePr>
            <a:graphic>
              <a:graphicData uri="http://schemas.openxmlformats.org/drawingml/2006/picture">
                <pic:pic>
                  <pic:nvPicPr>
                    <pic:cNvPr id="0" name="shap_beeswarm_distribution.png"/>
                    <pic:cNvPicPr/>
                  </pic:nvPicPr>
                  <pic:blipFill>
                    <a:blip r:embed="rId13"/>
                    <a:stretch>
                      <a:fillRect/>
                    </a:stretch>
                  </pic:blipFill>
                  <pic:spPr>
                    <a:xfrm>
                      <a:off x="0" y="0"/>
                      <a:ext cx="5669280" cy="5121962"/>
                    </a:xfrm>
                    <a:prstGeom prst="rect"/>
                  </pic:spPr>
                </pic:pic>
              </a:graphicData>
            </a:graphic>
          </wp:inline>
        </w:drawing>
      </w:r>
    </w:p>
    <w:p>
      <w:pPr>
        <w:spacing w:before="80" w:after="240"/>
        <w:jc w:val="center"/>
      </w:pPr>
      <w:r>
        <w:rPr>
          <w:rFonts w:ascii="Arial" w:hAnsi="Arial"/>
          <w:i/>
          <w:color w:val="6C757D"/>
          <w:sz w:val="17"/>
        </w:rPr>
        <w:t>Figure: Out-of-Sample SHAP Beeswarm Distribution: Directional Impact on Water Consumption</w:t>
      </w:r>
    </w:p>
    <w:p>
      <w:pPr>
        <w:pStyle w:val="Heading1"/>
        <w:keepNext/>
        <w:spacing w:before="400" w:after="120"/>
      </w:pPr>
      <w:r>
        <w:rPr>
          <w:rFonts w:ascii="Arial" w:hAnsi="Arial"/>
          <w:b/>
          <w:color w:val="1B365D"/>
          <w:sz w:val="32"/>
        </w:rPr>
        <w:t>6. Database Schema &amp; Supabase Ingestion</w:t>
      </w:r>
    </w:p>
    <w:p>
      <w:pPr>
        <w:spacing w:after="80" w:line="276" w:lineRule="auto"/>
      </w:pPr>
      <w:r>
        <w:rPr>
          <w:rFonts w:ascii="Arial" w:hAnsi="Arial"/>
          <w:color w:val="212529"/>
          <w:sz w:val="19"/>
        </w:rPr>
        <w:t>Forecasts are persisted directly to Supabase in the 'ml_predictions' table. During live execution, predictions for both paired devices were verified:</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592"/>
            <w:tcMar>
              <w:top w:w="100" w:type="dxa"/>
              <w:bottom w:w="100" w:type="dxa"/>
              <w:left w:w="120" w:type="dxa"/>
              <w:right w:w="120" w:type="dxa"/>
            </w:tcMar>
            <w:shd w:fill="1B365D"/>
          </w:tcPr>
          <w:p>
            <w:pPr>
              <w:spacing w:before="60" w:after="60"/>
            </w:pPr>
            <w:r>
              <w:rPr>
                <w:rFonts w:ascii="Arial" w:hAnsi="Arial"/>
                <w:b/>
                <w:color w:val="FFFFFF"/>
                <w:sz w:val="18"/>
              </w:rPr>
              <w:t>Device ID</w:t>
            </w:r>
          </w:p>
        </w:tc>
        <w:tc>
          <w:tcPr>
            <w:tcW w:type="dxa" w:w="2016"/>
            <w:tcMar>
              <w:top w:w="100" w:type="dxa"/>
              <w:bottom w:w="100" w:type="dxa"/>
              <w:left w:w="120" w:type="dxa"/>
              <w:right w:w="120" w:type="dxa"/>
            </w:tcMar>
            <w:shd w:fill="1B365D"/>
          </w:tcPr>
          <w:p>
            <w:pPr>
              <w:spacing w:before="60" w:after="60"/>
            </w:pPr>
            <w:r>
              <w:rPr>
                <w:rFonts w:ascii="Arial" w:hAnsi="Arial"/>
                <w:b/>
                <w:color w:val="FFFFFF"/>
                <w:sz w:val="18"/>
              </w:rPr>
              <w:t>Model Version</w:t>
            </w:r>
          </w:p>
        </w:tc>
        <w:tc>
          <w:tcPr>
            <w:tcW w:type="dxa" w:w="1584"/>
            <w:tcMar>
              <w:top w:w="100" w:type="dxa"/>
              <w:bottom w:w="100" w:type="dxa"/>
              <w:left w:w="120" w:type="dxa"/>
              <w:right w:w="120" w:type="dxa"/>
            </w:tcMar>
            <w:shd w:fill="1B365D"/>
          </w:tcPr>
          <w:p>
            <w:pPr>
              <w:spacing w:before="60" w:after="60"/>
            </w:pPr>
            <w:r>
              <w:rPr>
                <w:rFonts w:ascii="Arial" w:hAnsi="Arial"/>
                <w:b/>
                <w:color w:val="FFFFFF"/>
                <w:sz w:val="18"/>
              </w:rPr>
              <w:t>Target Date</w:t>
            </w:r>
          </w:p>
        </w:tc>
        <w:tc>
          <w:tcPr>
            <w:tcW w:type="dxa" w:w="1440"/>
            <w:tcMar>
              <w:top w:w="100" w:type="dxa"/>
              <w:bottom w:w="100" w:type="dxa"/>
              <w:left w:w="120" w:type="dxa"/>
              <w:right w:w="120" w:type="dxa"/>
            </w:tcMar>
            <w:shd w:fill="1B365D"/>
          </w:tcPr>
          <w:p>
            <w:pPr>
              <w:spacing w:before="60" w:after="60"/>
            </w:pPr>
            <w:r>
              <w:rPr>
                <w:rFonts w:ascii="Arial" w:hAnsi="Arial"/>
                <w:b/>
                <w:color w:val="FFFFFF"/>
                <w:sz w:val="18"/>
              </w:rPr>
              <w:t>Confidence</w:t>
            </w:r>
          </w:p>
        </w:tc>
        <w:tc>
          <w:tcPr>
            <w:tcW w:type="dxa" w:w="1728"/>
            <w:tcMar>
              <w:top w:w="100" w:type="dxa"/>
              <w:bottom w:w="100" w:type="dxa"/>
              <w:left w:w="120" w:type="dxa"/>
              <w:right w:w="120" w:type="dxa"/>
            </w:tcMar>
            <w:shd w:fill="1B365D"/>
          </w:tcPr>
          <w:p>
            <w:pPr>
              <w:spacing w:before="60" w:after="60"/>
            </w:pPr>
            <w:r>
              <w:rPr>
                <w:rFonts w:ascii="Arial" w:hAnsi="Arial"/>
                <w:b/>
                <w:color w:val="FFFFFF"/>
                <w:sz w:val="18"/>
              </w:rPr>
              <w:t>Predicted Value</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212529"/>
                <w:sz w:val="17"/>
              </w:rPr>
              <w:t>aaaaaaaa-1111-1111-1111-aaaaaaaaaaaa</w:t>
            </w:r>
          </w:p>
        </w:tc>
        <w:tc>
          <w:tcPr>
            <w:tcW w:type="dxa" w:w="2016"/>
            <w:tcMar>
              <w:top w:w="100" w:type="dxa"/>
              <w:bottom w:w="100" w:type="dxa"/>
              <w:left w:w="120" w:type="dxa"/>
              <w:right w:w="120" w:type="dxa"/>
            </w:tcMar>
            <w:shd w:fill="F8FAFC"/>
          </w:tcPr>
          <w:p>
            <w:pPr>
              <w:spacing w:before="40" w:after="40"/>
            </w:pPr>
            <w:r>
              <w:rPr>
                <w:rFonts w:ascii="Arial" w:hAnsi="Arial"/>
                <w:color w:val="212529"/>
                <w:sz w:val="17"/>
              </w:rPr>
              <w:t>ensemble-weekly-v1</w:t>
            </w:r>
          </w:p>
        </w:tc>
        <w:tc>
          <w:tcPr>
            <w:tcW w:type="dxa" w:w="1584"/>
            <w:tcMar>
              <w:top w:w="100" w:type="dxa"/>
              <w:bottom w:w="100" w:type="dxa"/>
              <w:left w:w="120" w:type="dxa"/>
              <w:right w:w="120" w:type="dxa"/>
            </w:tcMar>
            <w:shd w:fill="F8FAFC"/>
          </w:tcPr>
          <w:p>
            <w:pPr>
              <w:spacing w:before="40" w:after="40"/>
            </w:pPr>
            <w:r>
              <w:rPr>
                <w:rFonts w:ascii="Arial" w:hAnsi="Arial"/>
                <w:color w:val="212529"/>
                <w:sz w:val="17"/>
              </w:rPr>
              <w:t>2026-10-18</w:t>
            </w:r>
          </w:p>
        </w:tc>
        <w:tc>
          <w:tcPr>
            <w:tcW w:type="dxa" w:w="1440"/>
            <w:tcMar>
              <w:top w:w="100" w:type="dxa"/>
              <w:bottom w:w="100" w:type="dxa"/>
              <w:left w:w="120" w:type="dxa"/>
              <w:right w:w="120" w:type="dxa"/>
            </w:tcMar>
            <w:shd w:fill="F8FAFC"/>
          </w:tcPr>
          <w:p>
            <w:pPr>
              <w:spacing w:before="40" w:after="40"/>
            </w:pPr>
            <w:r>
              <w:rPr>
                <w:rFonts w:ascii="Arial" w:hAnsi="Arial"/>
                <w:color w:val="212529"/>
                <w:sz w:val="17"/>
              </w:rPr>
              <w:t>0.92</w:t>
            </w:r>
          </w:p>
        </w:tc>
        <w:tc>
          <w:tcPr>
            <w:tcW w:type="dxa" w:w="1728"/>
            <w:tcMar>
              <w:top w:w="100" w:type="dxa"/>
              <w:bottom w:w="100" w:type="dxa"/>
              <w:left w:w="120" w:type="dxa"/>
              <w:right w:w="120" w:type="dxa"/>
            </w:tcMar>
            <w:shd w:fill="F8FAFC"/>
          </w:tcPr>
          <w:p>
            <w:pPr>
              <w:spacing w:before="40" w:after="40"/>
            </w:pPr>
            <w:r>
              <w:rPr>
                <w:rFonts w:ascii="Arial" w:hAnsi="Arial"/>
                <w:color w:val="212529"/>
                <w:sz w:val="17"/>
              </w:rPr>
              <w:t>1,030.20 L</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212529"/>
                <w:sz w:val="17"/>
              </w:rPr>
              <w:t>bbbbbbbb-2222-2222-2222-bbbbbbbbbbbb</w:t>
            </w:r>
          </w:p>
        </w:tc>
        <w:tc>
          <w:tcPr>
            <w:tcW w:type="dxa" w:w="2016"/>
            <w:tcMar>
              <w:top w:w="100" w:type="dxa"/>
              <w:bottom w:w="100" w:type="dxa"/>
              <w:left w:w="120" w:type="dxa"/>
              <w:right w:w="120" w:type="dxa"/>
            </w:tcMar>
            <w:shd w:fill="FFFFFF"/>
          </w:tcPr>
          <w:p>
            <w:pPr>
              <w:spacing w:before="40" w:after="40"/>
            </w:pPr>
            <w:r>
              <w:rPr>
                <w:rFonts w:ascii="Arial" w:hAnsi="Arial"/>
                <w:color w:val="212529"/>
                <w:sz w:val="17"/>
              </w:rPr>
              <w:t>ensemble-weekly-v1</w:t>
            </w:r>
          </w:p>
        </w:tc>
        <w:tc>
          <w:tcPr>
            <w:tcW w:type="dxa" w:w="1584"/>
            <w:tcMar>
              <w:top w:w="100" w:type="dxa"/>
              <w:bottom w:w="100" w:type="dxa"/>
              <w:left w:w="120" w:type="dxa"/>
              <w:right w:w="120" w:type="dxa"/>
            </w:tcMar>
            <w:shd w:fill="FFFFFF"/>
          </w:tcPr>
          <w:p>
            <w:pPr>
              <w:spacing w:before="40" w:after="40"/>
            </w:pPr>
            <w:r>
              <w:rPr>
                <w:rFonts w:ascii="Arial" w:hAnsi="Arial"/>
                <w:color w:val="212529"/>
                <w:sz w:val="17"/>
              </w:rPr>
              <w:t>2026-10-18</w:t>
            </w:r>
          </w:p>
        </w:tc>
        <w:tc>
          <w:tcPr>
            <w:tcW w:type="dxa" w:w="1440"/>
            <w:tcMar>
              <w:top w:w="100" w:type="dxa"/>
              <w:bottom w:w="100" w:type="dxa"/>
              <w:left w:w="120" w:type="dxa"/>
              <w:right w:w="120" w:type="dxa"/>
            </w:tcMar>
            <w:shd w:fill="FFFFFF"/>
          </w:tcPr>
          <w:p>
            <w:pPr>
              <w:spacing w:before="40" w:after="40"/>
            </w:pPr>
            <w:r>
              <w:rPr>
                <w:rFonts w:ascii="Arial" w:hAnsi="Arial"/>
                <w:color w:val="212529"/>
                <w:sz w:val="17"/>
              </w:rPr>
              <w:t>0.92</w:t>
            </w:r>
          </w:p>
        </w:tc>
        <w:tc>
          <w:tcPr>
            <w:tcW w:type="dxa" w:w="1728"/>
            <w:tcMar>
              <w:top w:w="100" w:type="dxa"/>
              <w:bottom w:w="100" w:type="dxa"/>
              <w:left w:w="120" w:type="dxa"/>
              <w:right w:w="120" w:type="dxa"/>
            </w:tcMar>
            <w:shd w:fill="FFFFFF"/>
          </w:tcPr>
          <w:p>
            <w:pPr>
              <w:spacing w:before="40" w:after="40"/>
            </w:pPr>
            <w:r>
              <w:rPr>
                <w:rFonts w:ascii="Arial" w:hAnsi="Arial"/>
                <w:color w:val="212529"/>
                <w:sz w:val="17"/>
              </w:rPr>
              <w:t>1,070.20 L</w:t>
            </w:r>
          </w:p>
        </w:tc>
      </w:tr>
    </w:tbl>
    <w:p>
      <w:pPr>
        <w:spacing w:before="80" w:after="240"/>
        <w:jc w:val="center"/>
      </w:pPr>
      <w:r>
        <w:rPr>
          <w:rFonts w:ascii="Arial" w:hAnsi="Arial"/>
          <w:i/>
          <w:color w:val="6C757D"/>
          <w:sz w:val="17"/>
        </w:rPr>
        <w:t>Figure: Live Production Forecast Records Written to Supabase ml_predictions Table</w:t>
      </w:r>
    </w:p>
    <w:p>
      <w:pPr>
        <w:pStyle w:val="Heading1"/>
        <w:keepNext/>
        <w:spacing w:before="400" w:after="120"/>
      </w:pPr>
      <w:r>
        <w:rPr>
          <w:rFonts w:ascii="Arial" w:hAnsi="Arial"/>
          <w:b/>
          <w:color w:val="1B365D"/>
          <w:sz w:val="32"/>
        </w:rPr>
        <w:t>7. Conclusion</w:t>
      </w:r>
    </w:p>
    <w:p>
      <w:pPr>
        <w:spacing w:after="80" w:line="276" w:lineRule="auto"/>
      </w:pPr>
      <w:r>
        <w:rPr>
          <w:rFonts w:ascii="Arial" w:hAnsi="Arial"/>
          <w:color w:val="212529"/>
          <w:sz w:val="19"/>
        </w:rPr>
        <w:t>By enforcing a complete zero-leakage architecture—comprising chronological panel date splitting, an 8-day forward horizon purge gap, purged expanding-window cross validation, and train-only outlier clipping—the Water Angel ML forecasting service delivers impeccable statistical integrity, robust out-of-sample accuracy, and enterprise-grade reliability.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C757D"/>
        <w:sz w:val="16"/>
      </w:rPr>
      <w:t>Confidential &amp; Proprietary - Water Angel IoT Guardian Platform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C757D"/>
        <w:sz w:val="16"/>
      </w:rPr>
      <w:t>Water Angel Platform | Leak-Free ML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