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r>
        <w:rPr>
          <w:rFonts w:ascii="Arial" w:hAnsi="Arial"/>
          <w:b/>
          <w:color w:val="1B365D"/>
          <w:sz w:val="44"/>
        </w:rPr>
        <w:t>WATER ANGEL AI &amp; MACHINE LEARNING ARCHITECTURE SPECIFICATION</w:t>
      </w:r>
    </w:p>
    <w:p>
      <w:pPr>
        <w:spacing w:after="360"/>
      </w:pPr>
      <w:r>
        <w:rPr>
          <w:rFonts w:ascii="Arial" w:hAnsi="Arial"/>
          <w:color w:val="00A3E0"/>
          <w:sz w:val="24"/>
        </w:rPr>
        <w:t>Deep Technical Documentation, Model Benchmarking, Mathematical Formulations, Feature Engineering, SHAP Interpretability, Database Schema, and Microservice Integration</w:t>
      </w:r>
    </w:p>
    <w:tbl>
      <w:tblPr>
        <w:tblW w:type="auto" w:w="0"/>
        <w:jc w:val="center"/>
        <w:tblLook w:firstColumn="1" w:firstRow="1" w:lastColumn="0" w:lastRow="0" w:noHBand="0" w:noVBand="1" w:val="04A0"/>
      </w:tblPr>
      <w:tblGrid>
        <w:gridCol w:w="4680"/>
        <w:gridCol w:w="4680"/>
      </w:tblGrid>
      <w:tr>
        <w:trPr>
          <w:cantSplit/>
          <w:tblHeader/>
        </w:trPr>
        <w:tc>
          <w:tcPr>
            <w:tcW w:type="dxa" w:w="3168"/>
            <w:tcMar>
              <w:top w:w="100" w:type="dxa"/>
              <w:bottom w:w="100" w:type="dxa"/>
              <w:left w:w="120" w:type="dxa"/>
              <w:right w:w="120" w:type="dxa"/>
            </w:tcMar>
            <w:shd w:fill="1B365D"/>
          </w:tcPr>
          <w:p>
            <w:pPr>
              <w:spacing w:before="60" w:after="60"/>
            </w:pPr>
            <w:r>
              <w:rPr>
                <w:rFonts w:ascii="Arial" w:hAnsi="Arial"/>
                <w:b/>
                <w:color w:val="FFFFFF"/>
                <w:sz w:val="18"/>
              </w:rPr>
              <w:t>Platform System</w:t>
            </w:r>
          </w:p>
        </w:tc>
        <w:tc>
          <w:tcPr>
            <w:tcW w:type="dxa" w:w="6192"/>
            <w:tcMar>
              <w:top w:w="100" w:type="dxa"/>
              <w:bottom w:w="100" w:type="dxa"/>
              <w:left w:w="120" w:type="dxa"/>
              <w:right w:w="120" w:type="dxa"/>
            </w:tcMar>
            <w:shd w:fill="1B365D"/>
          </w:tcPr>
          <w:p>
            <w:pPr>
              <w:spacing w:before="60" w:after="60"/>
            </w:pPr>
            <w:r>
              <w:rPr>
                <w:rFonts w:ascii="Arial" w:hAnsi="Arial"/>
                <w:b/>
                <w:color w:val="FFFFFF"/>
                <w:sz w:val="18"/>
              </w:rPr>
              <w:t>Water Angel IoT Water Monitor &amp; Guardian</w:t>
            </w:r>
          </w:p>
        </w:tc>
      </w:tr>
      <w:tr>
        <w:trPr>
          <w:cantSplit/>
        </w:trPr>
        <w:tc>
          <w:tcPr>
            <w:tcW w:type="dxa" w:w="3168"/>
            <w:tcMar>
              <w:top w:w="100" w:type="dxa"/>
              <w:bottom w:w="100" w:type="dxa"/>
              <w:left w:w="120" w:type="dxa"/>
              <w:right w:w="120" w:type="dxa"/>
            </w:tcMar>
            <w:shd w:fill="F8FAFC"/>
          </w:tcPr>
          <w:p>
            <w:pPr>
              <w:spacing w:before="40" w:after="40"/>
            </w:pPr>
            <w:r>
              <w:rPr>
                <w:rFonts w:ascii="Arial" w:hAnsi="Arial"/>
                <w:color w:val="212529"/>
                <w:sz w:val="17"/>
              </w:rPr>
              <w:t>Microservice Component</w:t>
            </w:r>
          </w:p>
        </w:tc>
        <w:tc>
          <w:tcPr>
            <w:tcW w:type="dxa" w:w="6192"/>
            <w:tcMar>
              <w:top w:w="100" w:type="dxa"/>
              <w:bottom w:w="100" w:type="dxa"/>
              <w:left w:w="120" w:type="dxa"/>
              <w:right w:w="120" w:type="dxa"/>
            </w:tcMar>
            <w:shd w:fill="F8FAFC"/>
          </w:tcPr>
          <w:p>
            <w:pPr>
              <w:spacing w:before="40" w:after="40"/>
            </w:pPr>
            <w:r>
              <w:rPr>
                <w:rFonts w:ascii="Arial" w:hAnsi="Arial"/>
                <w:color w:val="212529"/>
                <w:sz w:val="17"/>
              </w:rPr>
              <w:t>ml-forecasting (Production Weekly Consumption Engine)</w:t>
            </w:r>
          </w:p>
        </w:tc>
      </w:tr>
      <w:tr>
        <w:trPr>
          <w:cantSplit/>
        </w:trPr>
        <w:tc>
          <w:tcPr>
            <w:tcW w:type="dxa" w:w="3168"/>
            <w:tcMar>
              <w:top w:w="100" w:type="dxa"/>
              <w:bottom w:w="100" w:type="dxa"/>
              <w:left w:w="120" w:type="dxa"/>
              <w:right w:w="120" w:type="dxa"/>
            </w:tcMar>
            <w:shd w:fill="FFFFFF"/>
          </w:tcPr>
          <w:p>
            <w:pPr>
              <w:spacing w:before="40" w:after="40"/>
            </w:pPr>
            <w:r>
              <w:rPr>
                <w:rFonts w:ascii="Arial" w:hAnsi="Arial"/>
                <w:color w:val="212529"/>
                <w:sz w:val="17"/>
              </w:rPr>
              <w:t>Specification Version</w:t>
            </w:r>
          </w:p>
        </w:tc>
        <w:tc>
          <w:tcPr>
            <w:tcW w:type="dxa" w:w="6192"/>
            <w:tcMar>
              <w:top w:w="100" w:type="dxa"/>
              <w:bottom w:w="100" w:type="dxa"/>
              <w:left w:w="120" w:type="dxa"/>
              <w:right w:w="120" w:type="dxa"/>
            </w:tcMar>
            <w:shd w:fill="FFFFFF"/>
          </w:tcPr>
          <w:p>
            <w:pPr>
              <w:spacing w:before="40" w:after="40"/>
            </w:pPr>
            <w:r>
              <w:rPr>
                <w:rFonts w:ascii="Arial" w:hAnsi="Arial"/>
                <w:color w:val="212529"/>
                <w:sz w:val="17"/>
              </w:rPr>
              <w:t>v2.0.0 (Production Release)</w:t>
            </w:r>
          </w:p>
        </w:tc>
      </w:tr>
      <w:tr>
        <w:trPr>
          <w:cantSplit/>
        </w:trPr>
        <w:tc>
          <w:tcPr>
            <w:tcW w:type="dxa" w:w="3168"/>
            <w:tcMar>
              <w:top w:w="100" w:type="dxa"/>
              <w:bottom w:w="100" w:type="dxa"/>
              <w:left w:w="120" w:type="dxa"/>
              <w:right w:w="120" w:type="dxa"/>
            </w:tcMar>
            <w:shd w:fill="F8FAFC"/>
          </w:tcPr>
          <w:p>
            <w:pPr>
              <w:spacing w:before="40" w:after="40"/>
            </w:pPr>
            <w:r>
              <w:rPr>
                <w:rFonts w:ascii="Arial" w:hAnsi="Arial"/>
                <w:color w:val="212529"/>
                <w:sz w:val="17"/>
              </w:rPr>
              <w:t>Forecasting Target</w:t>
            </w:r>
          </w:p>
        </w:tc>
        <w:tc>
          <w:tcPr>
            <w:tcW w:type="dxa" w:w="6192"/>
            <w:tcMar>
              <w:top w:w="100" w:type="dxa"/>
              <w:bottom w:w="100" w:type="dxa"/>
              <w:left w:w="120" w:type="dxa"/>
              <w:right w:w="120" w:type="dxa"/>
            </w:tcMar>
            <w:shd w:fill="F8FAFC"/>
          </w:tcPr>
          <w:p>
            <w:pPr>
              <w:spacing w:before="40" w:after="40"/>
            </w:pPr>
            <w:r>
              <w:rPr>
                <w:rFonts w:ascii="Arial" w:hAnsi="Arial"/>
                <w:color w:val="212529"/>
                <w:sz w:val="17"/>
              </w:rPr>
              <w:t>1-Figure Weekly Water Volume (Single xxx L value for coming 7 days)</w:t>
            </w:r>
          </w:p>
        </w:tc>
      </w:tr>
      <w:tr>
        <w:trPr>
          <w:cantSplit/>
        </w:trPr>
        <w:tc>
          <w:tcPr>
            <w:tcW w:type="dxa" w:w="3168"/>
            <w:tcMar>
              <w:top w:w="100" w:type="dxa"/>
              <w:bottom w:w="100" w:type="dxa"/>
              <w:left w:w="120" w:type="dxa"/>
              <w:right w:w="120" w:type="dxa"/>
            </w:tcMar>
            <w:shd w:fill="FFFFFF"/>
          </w:tcPr>
          <w:p>
            <w:pPr>
              <w:spacing w:before="40" w:after="40"/>
            </w:pPr>
            <w:r>
              <w:rPr>
                <w:rFonts w:ascii="Arial" w:hAnsi="Arial"/>
                <w:color w:val="212529"/>
                <w:sz w:val="17"/>
              </w:rPr>
              <w:t>Active Algorithm</w:t>
            </w:r>
          </w:p>
        </w:tc>
        <w:tc>
          <w:tcPr>
            <w:tcW w:type="dxa" w:w="6192"/>
            <w:tcMar>
              <w:top w:w="100" w:type="dxa"/>
              <w:bottom w:w="100" w:type="dxa"/>
              <w:left w:w="120" w:type="dxa"/>
              <w:right w:w="120" w:type="dxa"/>
            </w:tcMar>
            <w:shd w:fill="FFFFFF"/>
          </w:tcPr>
          <w:p>
            <w:pPr>
              <w:spacing w:before="40" w:after="40"/>
            </w:pPr>
            <w:r>
              <w:rPr>
                <w:rFonts w:ascii="Arial" w:hAnsi="Arial"/>
                <w:color w:val="212529"/>
                <w:sz w:val="17"/>
              </w:rPr>
              <w:t>ElasticNet Regularized Regression (Validated against Baseline Persistence)</w:t>
            </w:r>
          </w:p>
        </w:tc>
      </w:tr>
      <w:tr>
        <w:trPr>
          <w:cantSplit/>
        </w:trPr>
        <w:tc>
          <w:tcPr>
            <w:tcW w:type="dxa" w:w="3168"/>
            <w:tcMar>
              <w:top w:w="100" w:type="dxa"/>
              <w:bottom w:w="100" w:type="dxa"/>
              <w:left w:w="120" w:type="dxa"/>
              <w:right w:w="120" w:type="dxa"/>
            </w:tcMar>
            <w:shd w:fill="F8FAFC"/>
          </w:tcPr>
          <w:p>
            <w:pPr>
              <w:spacing w:before="40" w:after="40"/>
            </w:pPr>
            <w:r>
              <w:rPr>
                <w:rFonts w:ascii="Arial" w:hAnsi="Arial"/>
                <w:color w:val="212529"/>
                <w:sz w:val="17"/>
              </w:rPr>
              <w:t>Database Target</w:t>
            </w:r>
          </w:p>
        </w:tc>
        <w:tc>
          <w:tcPr>
            <w:tcW w:type="dxa" w:w="6192"/>
            <w:tcMar>
              <w:top w:w="100" w:type="dxa"/>
              <w:bottom w:w="100" w:type="dxa"/>
              <w:left w:w="120" w:type="dxa"/>
              <w:right w:w="120" w:type="dxa"/>
            </w:tcMar>
            <w:shd w:fill="F8FAFC"/>
          </w:tcPr>
          <w:p>
            <w:pPr>
              <w:spacing w:before="40" w:after="40"/>
            </w:pPr>
            <w:r>
              <w:rPr>
                <w:rFonts w:ascii="Arial" w:hAnsi="Arial"/>
                <w:color w:val="212529"/>
                <w:sz w:val="17"/>
              </w:rPr>
              <w:t>Supabase PostgreSQL Database - Table: ml_predictions</w:t>
            </w:r>
          </w:p>
        </w:tc>
      </w:tr>
    </w:tbl>
    <w:p>
      <w:r>
        <w:br w:type="page"/>
      </w:r>
    </w:p>
    <w:p>
      <w:pPr>
        <w:pStyle w:val="Heading1"/>
        <w:keepNext/>
        <w:spacing w:before="400" w:after="120"/>
      </w:pPr>
      <w:r>
        <w:rPr>
          <w:rFonts w:ascii="Arial" w:hAnsi="Arial"/>
          <w:b/>
          <w:color w:val="1B365D"/>
          <w:sz w:val="32"/>
        </w:rPr>
        <w:t>1. Executive Summary &amp; Architectural Overview</w:t>
      </w:r>
    </w:p>
    <w:p>
      <w:pPr>
        <w:spacing w:after="80" w:line="276" w:lineRule="auto"/>
      </w:pPr>
      <w:r>
        <w:rPr>
          <w:rFonts w:ascii="Arial" w:hAnsi="Arial"/>
          <w:color w:val="212529"/>
          <w:sz w:val="19"/>
        </w:rPr>
        <w:t>Water Angel is an enterprise-grade IoT smart water monitoring, guardian, and leak detection platform. The system captures real-time water flow telemetry via high-precision pulse sensors installed on residential and commercial water lines, streaming events to an edge gateway and central Supabase cloud infrastructure. Within this ecosystem, the Machine Learning (ML) subsystem provides predictive intelligence, forecasting future consumption demands, detecting hidden anomalies, and empowering property owners to eliminate water waste.</w:t>
      </w:r>
    </w:p>
    <w:p>
      <w:pPr>
        <w:pStyle w:val="Heading2"/>
        <w:keepNext/>
        <w:spacing w:before="280" w:after="80"/>
      </w:pPr>
      <w:r>
        <w:rPr>
          <w:rFonts w:ascii="Arial" w:hAnsi="Arial"/>
          <w:b/>
          <w:color w:val="00A3E0"/>
          <w:sz w:val="25"/>
        </w:rPr>
        <w:t>1.1 The Paradigm Shift: From Daily Step-by-Step to Single-Figure Weekly Forecasting</w:t>
      </w:r>
    </w:p>
    <w:p>
      <w:pPr>
        <w:spacing w:after="80" w:line="276" w:lineRule="auto"/>
      </w:pPr>
      <w:r>
        <w:rPr>
          <w:rFonts w:ascii="Arial" w:hAnsi="Arial"/>
          <w:color w:val="212529"/>
          <w:sz w:val="19"/>
        </w:rPr>
        <w:t>In the legacy Water Angel prototype ('water-angel-ml'), forecasting was designed to output day-by-day estimates (e.g., Day 1: 152L, Day 2: 148L, Day 3: 161L ...). Comprehensive field telemetry evaluation and behavioral research revealed severe operational flaws in this approach:</w:t>
      </w:r>
    </w:p>
    <w:p>
      <w:pPr>
        <w:pStyle w:val="ListBullet"/>
        <w:spacing w:after="60" w:line="276" w:lineRule="auto"/>
      </w:pPr>
      <w:r>
        <w:rPr>
          <w:rFonts w:ascii="Arial" w:hAnsi="Arial"/>
          <w:b/>
          <w:color w:val="1B365D"/>
          <w:sz w:val="19"/>
        </w:rPr>
        <w:t xml:space="preserve">Autoregressive Error Compounding: </w:t>
      </w:r>
      <w:r>
        <w:rPr>
          <w:rFonts w:ascii="Arial" w:hAnsi="Arial"/>
          <w:color w:val="212529"/>
          <w:sz w:val="19"/>
        </w:rPr>
        <w:t>Predicting sequential individual days recursively feeds errors from day t into day t+1. By day 7, variance explosion causes the multi-day forecast confidence intervals to widen beyond actionable utility.</w:t>
      </w:r>
    </w:p>
    <w:p>
      <w:pPr>
        <w:pStyle w:val="ListBullet"/>
        <w:spacing w:after="60" w:line="276" w:lineRule="auto"/>
      </w:pPr>
      <w:r>
        <w:rPr>
          <w:rFonts w:ascii="Arial" w:hAnsi="Arial"/>
          <w:b/>
          <w:color w:val="1B365D"/>
          <w:sz w:val="19"/>
        </w:rPr>
        <w:t xml:space="preserve">User Cognitive Friction: </w:t>
      </w:r>
      <w:r>
        <w:rPr>
          <w:rFonts w:ascii="Arial" w:hAnsi="Arial"/>
          <w:color w:val="212529"/>
          <w:sz w:val="19"/>
        </w:rPr>
        <w:t>Property managers and consumers do not budget water day-by-day. They budget weekly or monthly. A single clear figure (e.g., '1,070 L anticipated next week') provides an immediate cognitive benchmark against quota targets, municipal tier pricing, and conservation goals.</w:t>
      </w:r>
    </w:p>
    <w:p>
      <w:pPr>
        <w:pStyle w:val="ListBullet"/>
        <w:spacing w:after="60" w:line="276" w:lineRule="auto"/>
      </w:pPr>
      <w:r>
        <w:rPr>
          <w:rFonts w:ascii="Arial" w:hAnsi="Arial"/>
          <w:b/>
          <w:color w:val="1B365D"/>
          <w:sz w:val="19"/>
        </w:rPr>
        <w:t xml:space="preserve">Leak and Anomaly Masking: </w:t>
      </w:r>
      <w:r>
        <w:rPr>
          <w:rFonts w:ascii="Arial" w:hAnsi="Arial"/>
          <w:color w:val="212529"/>
          <w:sz w:val="19"/>
        </w:rPr>
        <w:t>Day-to-day fluctuations (showering at 9:00 PM vs. 6:00 AM) create high-frequency noise that causes false positive daily alarms. In contrast, integrating consumption over a full 7-day rolling window neutralizes intraday schedule variance and exposes genuine systemic drift or continuous pipe leaks.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top w:val="none"/>
              <w:left w:val="single" w:sz="36" w:space="0" w:color="1B365D"/>
              <w:bottom w:val="none"/>
              <w:right w:val="none"/>
            </w:tcBorders>
          </w:tcPr>
          <w:p>
            <w:pPr>
              <w:spacing w:before="40" w:after="40"/>
            </w:pPr>
            <w:r>
              <w:rPr>
                <w:rFonts w:ascii="Arial" w:hAnsi="Arial"/>
                <w:b/>
                <w:color w:val="1B365D"/>
                <w:sz w:val="19"/>
              </w:rPr>
              <w:t>■ CORE DESIGN PRINCIPLE: SINGLE-FIGURE FORECASTING</w:t>
              <w:br/>
            </w:r>
            <w:r>
              <w:rPr>
                <w:rFonts w:ascii="Arial" w:hAnsi="Arial"/>
                <w:color w:val="212529"/>
                <w:sz w:val="19"/>
              </w:rPr>
              <w:t>The Water Angel forecasting engine has been permanently standardized to generate a Single 1-Figure Forecast (xxx Liters) for the upcoming 7-day period (prediction_type: 'weekly_consumption'). This value represents the total integrated volume expected across the coming week and is persisted directly into Supabase.</w:t>
            </w:r>
          </w:p>
        </w:tc>
      </w:tr>
    </w:tbl>
    <w:p>
      <w:pPr>
        <w:spacing w:after="80"/>
      </w:pPr>
    </w:p>
    <w:p>
      <w:pPr>
        <w:pStyle w:val="Heading2"/>
        <w:keepNext/>
        <w:spacing w:before="280" w:after="80"/>
      </w:pPr>
      <w:r>
        <w:rPr>
          <w:rFonts w:ascii="Arial" w:hAnsi="Arial"/>
          <w:b/>
          <w:color w:val="00A3E0"/>
          <w:sz w:val="25"/>
        </w:rPr>
        <w:t>1.2 End-to-End System Data Flow</w:t>
      </w:r>
    </w:p>
    <w:p>
      <w:pPr>
        <w:spacing w:after="80" w:line="276" w:lineRule="auto"/>
      </w:pPr>
      <w:r>
        <w:rPr>
          <w:rFonts w:ascii="Arial" w:hAnsi="Arial"/>
          <w:color w:val="212529"/>
          <w:sz w:val="19"/>
        </w:rPr>
        <w:t>The production machine learning architecture is structured into a decoupled, highly resilient 5-tier pipeline:</w:t>
      </w:r>
    </w:p>
    <w:p>
      <w:pPr>
        <w:pStyle w:val="ListBullet"/>
        <w:spacing w:after="60" w:line="276" w:lineRule="auto"/>
      </w:pPr>
      <w:r>
        <w:rPr>
          <w:rFonts w:ascii="Arial" w:hAnsi="Arial"/>
          <w:b/>
          <w:color w:val="1B365D"/>
          <w:sz w:val="19"/>
        </w:rPr>
        <w:t xml:space="preserve">1. Telemetry Ingestion Layer: </w:t>
      </w:r>
      <w:r>
        <w:rPr>
          <w:rFonts w:ascii="Arial" w:hAnsi="Arial"/>
          <w:color w:val="212529"/>
          <w:sz w:val="19"/>
        </w:rPr>
        <w:t>ESP32-based flow sensors count optical/magnetic impeller pulses. Every pulse equates to an exact volume coefficient (e.g., 450 pulses/liter). Hourly summaries stream securely over MQTT/HTTPS to the cloud gateway.</w:t>
      </w:r>
    </w:p>
    <w:p>
      <w:pPr>
        <w:pStyle w:val="ListBullet"/>
        <w:spacing w:after="60" w:line="276" w:lineRule="auto"/>
      </w:pPr>
      <w:r>
        <w:rPr>
          <w:rFonts w:ascii="Arial" w:hAnsi="Arial"/>
          <w:b/>
          <w:color w:val="1B365D"/>
          <w:sz w:val="19"/>
        </w:rPr>
        <w:t xml:space="preserve">2. Cloud Storage Layer (Supabase): </w:t>
      </w:r>
      <w:r>
        <w:rPr>
          <w:rFonts w:ascii="Arial" w:hAnsi="Arial"/>
          <w:color w:val="212529"/>
          <w:sz w:val="19"/>
        </w:rPr>
        <w:t>Raw events populate the 'telemetry' and 'device_daily_consumption' tables in PostgreSQL, indexed by device_id and timestamp.</w:t>
      </w:r>
    </w:p>
    <w:p>
      <w:pPr>
        <w:pStyle w:val="ListBullet"/>
        <w:spacing w:after="60" w:line="276" w:lineRule="auto"/>
      </w:pPr>
      <w:r>
        <w:rPr>
          <w:rFonts w:ascii="Arial" w:hAnsi="Arial"/>
          <w:b/>
          <w:color w:val="1B365D"/>
          <w:sz w:val="19"/>
        </w:rPr>
        <w:t xml:space="preserve">3. ML Forecasting Microservice (ml-forecasting): </w:t>
      </w:r>
      <w:r>
        <w:rPr>
          <w:rFonts w:ascii="Arial" w:hAnsi="Arial"/>
          <w:color w:val="212529"/>
          <w:sz w:val="19"/>
        </w:rPr>
        <w:t>A dedicated Python FastAPI engine autonomously pulls historical telemetry, applies cleaning and outlier clipping, transforms raw volumes into 18 engineered features, evaluates candidate algorithms, and outputs point forecasts with confidence intervals.</w:t>
      </w:r>
    </w:p>
    <w:p>
      <w:pPr>
        <w:pStyle w:val="ListBullet"/>
        <w:spacing w:after="60" w:line="276" w:lineRule="auto"/>
      </w:pPr>
      <w:r>
        <w:rPr>
          <w:rFonts w:ascii="Arial" w:hAnsi="Arial"/>
          <w:b/>
          <w:color w:val="1B365D"/>
          <w:sz w:val="19"/>
        </w:rPr>
        <w:t xml:space="preserve">4. Database Persistence Layer: </w:t>
      </w:r>
      <w:r>
        <w:rPr>
          <w:rFonts w:ascii="Arial" w:hAnsi="Arial"/>
          <w:color w:val="212529"/>
          <w:sz w:val="19"/>
        </w:rPr>
        <w:t>Predictions are published via the Database Publisher module into the 'ml_predictions' table, complete with comprehensive JSON metadata containing feature snapshots, algorithm version tags, and performance diagnostics.</w:t>
      </w:r>
    </w:p>
    <w:p>
      <w:pPr>
        <w:pStyle w:val="ListBullet"/>
        <w:spacing w:after="60" w:line="276" w:lineRule="auto"/>
      </w:pPr>
      <w:r>
        <w:rPr>
          <w:rFonts w:ascii="Arial" w:hAnsi="Arial"/>
          <w:b/>
          <w:color w:val="1B365D"/>
          <w:sz w:val="19"/>
        </w:rPr>
        <w:t xml:space="preserve">5. User Interface Layer (PWA &amp; Mobile): </w:t>
      </w:r>
      <w:r>
        <w:rPr>
          <w:rFonts w:ascii="Arial" w:hAnsi="Arial"/>
          <w:color w:val="212529"/>
          <w:sz w:val="19"/>
        </w:rPr>
        <w:t>The Water Angel Progressive Web Application displays the forecasted single-figure weekly water volume on the main Guardian Dashboard, comparing anticipated demand against historical baselines and user-defined conservation budgets.</w:t>
      </w:r>
    </w:p>
    <w:p>
      <w:pPr>
        <w:pStyle w:val="Heading1"/>
        <w:keepNext/>
        <w:spacing w:before="400" w:after="120"/>
      </w:pPr>
      <w:r>
        <w:rPr>
          <w:rFonts w:ascii="Arial" w:hAnsi="Arial"/>
          <w:b/>
          <w:color w:val="1B365D"/>
          <w:sz w:val="32"/>
        </w:rPr>
        <w:t>2. Legacy System ('water-angel-ml') Deep Dive &amp; Bug Audit</w:t>
      </w:r>
    </w:p>
    <w:p>
      <w:pPr>
        <w:spacing w:after="80" w:line="276" w:lineRule="auto"/>
      </w:pPr>
      <w:r>
        <w:rPr>
          <w:rFonts w:ascii="Arial" w:hAnsi="Arial"/>
          <w:color w:val="212529"/>
          <w:sz w:val="19"/>
        </w:rPr>
        <w:t>Before developing the greenfield 'ml-forecasting' microservice, a rigorous forensic code audit was conducted on the original 'water-angel-ml' repository. Multiple critical bugs and architectural anti-patterns were uncovered that prevented production reliability:</w:t>
      </w:r>
    </w:p>
    <w:p>
      <w:pPr>
        <w:pStyle w:val="Heading2"/>
        <w:keepNext/>
        <w:spacing w:before="280" w:after="80"/>
      </w:pPr>
      <w:r>
        <w:rPr>
          <w:rFonts w:ascii="Arial" w:hAnsi="Arial"/>
          <w:b/>
          <w:color w:val="00A3E0"/>
          <w:sz w:val="25"/>
        </w:rPr>
        <w:t>2.1 Critical Bugs Identified in Legacy Implementation</w:t>
      </w:r>
    </w:p>
    <w:p>
      <w:pPr>
        <w:pStyle w:val="ListBullet"/>
        <w:spacing w:after="60" w:line="276" w:lineRule="auto"/>
      </w:pPr>
      <w:r>
        <w:rPr>
          <w:rFonts w:ascii="Arial" w:hAnsi="Arial"/>
          <w:b/>
          <w:color w:val="1B365D"/>
          <w:sz w:val="19"/>
        </w:rPr>
        <w:t xml:space="preserve">Bug #1: Synthetic Data Mock Disconnect: </w:t>
      </w:r>
      <w:r>
        <w:rPr>
          <w:rFonts w:ascii="Arial" w:hAnsi="Arial"/>
          <w:color w:val="212529"/>
          <w:sz w:val="19"/>
        </w:rPr>
        <w:t>The legacy codebase contained hardcoded synthetic data generators in 'pipelines/data_loader.py' that overrode live telemetry calls. When deployed to production, the service frequently trained on sine-wave mock distributions rather than real flow sensor readings.</w:t>
      </w:r>
    </w:p>
    <w:p>
      <w:pPr>
        <w:pStyle w:val="ListBullet"/>
        <w:spacing w:after="60" w:line="276" w:lineRule="auto"/>
      </w:pPr>
      <w:r>
        <w:rPr>
          <w:rFonts w:ascii="Arial" w:hAnsi="Arial"/>
          <w:b/>
          <w:color w:val="1B365D"/>
          <w:sz w:val="19"/>
        </w:rPr>
        <w:t xml:space="preserve">Bug #2: Autoregressive Compounding Error: </w:t>
      </w:r>
      <w:r>
        <w:rPr>
          <w:rFonts w:ascii="Arial" w:hAnsi="Arial"/>
          <w:color w:val="212529"/>
          <w:sz w:val="19"/>
        </w:rPr>
        <w:t>The legacy forecaster attempted to predict 7 individual days sequentially using an autoregressive loop. Any misprediction on Day 1 propagated exponentially, resulting in final weekly totals that deviated by up to 34% from true household consumption.</w:t>
      </w:r>
    </w:p>
    <w:p>
      <w:pPr>
        <w:pStyle w:val="ListBullet"/>
        <w:spacing w:after="60" w:line="276" w:lineRule="auto"/>
      </w:pPr>
      <w:r>
        <w:rPr>
          <w:rFonts w:ascii="Arial" w:hAnsi="Arial"/>
          <w:b/>
          <w:color w:val="1B365D"/>
          <w:sz w:val="19"/>
        </w:rPr>
        <w:t xml:space="preserve">Bug #3: Future Target Data Leakage: </w:t>
      </w:r>
      <w:r>
        <w:rPr>
          <w:rFonts w:ascii="Arial" w:hAnsi="Arial"/>
          <w:color w:val="212529"/>
          <w:sz w:val="19"/>
        </w:rPr>
        <w:t>In 'feature_engineering.py', rolling averages were computed using centered windows (center=True) rather than trailing windows. This caused future target information to leak into past feature values, resulting in artificially inflated training metrics (99% R^2) that collapsed catastrophically during live real-time evaluation.</w:t>
      </w:r>
    </w:p>
    <w:p>
      <w:pPr>
        <w:pStyle w:val="ListBullet"/>
        <w:spacing w:after="60" w:line="276" w:lineRule="auto"/>
      </w:pPr>
      <w:r>
        <w:rPr>
          <w:rFonts w:ascii="Arial" w:hAnsi="Arial"/>
          <w:b/>
          <w:color w:val="1B365D"/>
          <w:sz w:val="19"/>
        </w:rPr>
        <w:t xml:space="preserve">Bug #4: Supabase Schema Incompatibility: </w:t>
      </w:r>
      <w:r>
        <w:rPr>
          <w:rFonts w:ascii="Arial" w:hAnsi="Arial"/>
          <w:color w:val="212529"/>
          <w:sz w:val="19"/>
        </w:rPr>
        <w:t>The legacy prediction output schema did not match the Supabase PostgreSQL 'ml_predictions' table. Fields such as 'confidence', 'prediction_type', 'target_date', and 'metadata' were missing or incorrectly typed, causing database insertion rejections.</w:t>
      </w:r>
    </w:p>
    <w:p>
      <w:pPr>
        <w:pStyle w:val="ListBullet"/>
        <w:spacing w:after="60" w:line="276" w:lineRule="auto"/>
      </w:pPr>
      <w:r>
        <w:rPr>
          <w:rFonts w:ascii="Arial" w:hAnsi="Arial"/>
          <w:b/>
          <w:color w:val="1B365D"/>
          <w:sz w:val="19"/>
        </w:rPr>
        <w:t xml:space="preserve">Bug #5: Random Split on Time-Series Data: </w:t>
      </w:r>
      <w:r>
        <w:rPr>
          <w:rFonts w:ascii="Arial" w:hAnsi="Arial"/>
          <w:color w:val="212529"/>
          <w:sz w:val="19"/>
        </w:rPr>
        <w:t>The evaluation scripts utilized scikit-learn's standard 'train_test_split(shuffle=True)'. Shuffling temporal observations violates time-series causality, allowing past records to be predicted from future records. Consequently, model overfitting went completely undetected.</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180" w:type="dxa"/>
              <w:right w:w="180" w:type="dxa"/>
            </w:tcMar>
            <w:tcBorders>
              <w:top w:val="none"/>
              <w:left w:val="single" w:sz="36" w:space="0" w:color="D97706"/>
              <w:bottom w:val="none"/>
              <w:right w:val="none"/>
            </w:tcBorders>
          </w:tcPr>
          <w:p>
            <w:pPr>
              <w:spacing w:before="40" w:after="40"/>
            </w:pPr>
            <w:r>
              <w:rPr>
                <w:rFonts w:ascii="Arial" w:hAnsi="Arial"/>
                <w:b/>
                <w:color w:val="D97706"/>
                <w:sz w:val="19"/>
              </w:rPr>
              <w:t>■ AUDIT CONCLUSION: ARCHITECTURAL REWRITE</w:t>
              <w:br/>
            </w:r>
            <w:r>
              <w:rPr>
                <w:rFonts w:ascii="Arial" w:hAnsi="Arial"/>
                <w:color w:val="212529"/>
                <w:sz w:val="19"/>
              </w:rPr>
              <w:t>Due to structural data leakage and compounding autoregressive errors in 'water-angel-ml', the entire machine learning pipeline was rebuilt from first principles in the new 'ml-forecasting' module, incorporating time-series walk-forward validation and strict temporal isolation.</w:t>
            </w:r>
          </w:p>
        </w:tc>
      </w:tr>
    </w:tbl>
    <w:p>
      <w:pPr>
        <w:spacing w:after="80"/>
      </w:pPr>
    </w:p>
    <w:p>
      <w:pPr>
        <w:pStyle w:val="Heading1"/>
        <w:keepNext/>
        <w:spacing w:before="400" w:after="120"/>
      </w:pPr>
      <w:r>
        <w:rPr>
          <w:rFonts w:ascii="Arial" w:hAnsi="Arial"/>
          <w:b/>
          <w:color w:val="1B365D"/>
          <w:sz w:val="32"/>
        </w:rPr>
        <w:t>3. Telemetry Data Engineering &amp; Feature Pipeline</w:t>
      </w:r>
    </w:p>
    <w:p>
      <w:pPr>
        <w:spacing w:after="80" w:line="276" w:lineRule="auto"/>
      </w:pPr>
      <w:r>
        <w:rPr>
          <w:rFonts w:ascii="Arial" w:hAnsi="Arial"/>
          <w:color w:val="212529"/>
          <w:sz w:val="19"/>
        </w:rPr>
        <w:t>The quality of water forecasting is strictly governed by the signal fidelity of engineered features. Raw telemetry consists of continuous volumetric readings that are aggregated into uniform daily intervals (liters/day). The 'feature_pipeline.py' module implements mathematical transformations designed to capture household consumption habits, velocity shifts, and calendar periodicity.</w:t>
      </w:r>
    </w:p>
    <w:p>
      <w:pPr>
        <w:pStyle w:val="Heading2"/>
        <w:keepNext/>
        <w:spacing w:before="280" w:after="80"/>
      </w:pPr>
      <w:r>
        <w:rPr>
          <w:rFonts w:ascii="Arial" w:hAnsi="Arial"/>
          <w:b/>
          <w:color w:val="00A3E0"/>
          <w:sz w:val="25"/>
        </w:rPr>
        <w:t>3.1 Target Variable Formulation</w:t>
      </w:r>
    </w:p>
    <w:p>
      <w:pPr>
        <w:spacing w:after="80" w:line="276" w:lineRule="auto"/>
      </w:pPr>
      <w:r>
        <w:rPr>
          <w:rFonts w:ascii="Arial" w:hAnsi="Arial"/>
          <w:color w:val="212529"/>
          <w:sz w:val="19"/>
        </w:rPr>
        <w:t>The prediction target is formally defined as the cumulative sum of water consumption over the subsequent 7 calendar days:</w:t>
      </w:r>
    </w:p>
    <w:p>
      <w:pPr>
        <w:spacing w:after="80" w:line="276" w:lineRule="auto"/>
      </w:pPr>
      <w:r>
        <w:rPr>
          <w:rFonts w:ascii="Arial" w:hAnsi="Arial"/>
          <w:b/>
          <w:color w:val="212529"/>
          <w:sz w:val="19"/>
        </w:rPr>
        <w:t xml:space="preserve">Mathematical Formulation: </w:t>
      </w:r>
      <w:r>
        <w:rPr>
          <w:rFonts w:ascii="Arial" w:hAnsi="Arial"/>
          <w:color w:val="212529"/>
          <w:sz w:val="19"/>
        </w:rPr>
        <w:t>y(t) = Sum_{k=1 to 7} consumption(t + k)</w:t>
      </w:r>
    </w:p>
    <w:p>
      <w:pPr>
        <w:spacing w:after="80" w:line="276" w:lineRule="auto"/>
      </w:pPr>
      <w:r>
        <w:rPr>
          <w:rFonts w:ascii="Arial" w:hAnsi="Arial"/>
          <w:color w:val="212529"/>
          <w:sz w:val="19"/>
        </w:rPr>
        <w:t>Where t represents the current observation day, and y(t) represents the total volume in Liters to be consumed from day t+1 through day t+7. This formulation directly maps to the single-figure weekly water consumption requirement.</w:t>
      </w:r>
    </w:p>
    <w:p>
      <w:pPr>
        <w:pStyle w:val="Heading2"/>
        <w:keepNext/>
        <w:spacing w:before="280" w:after="80"/>
      </w:pPr>
      <w:r>
        <w:rPr>
          <w:rFonts w:ascii="Arial" w:hAnsi="Arial"/>
          <w:b/>
          <w:color w:val="00A3E0"/>
          <w:sz w:val="25"/>
        </w:rPr>
        <w:t>3.2 Outlier Detection &amp; Physical Clipping</w:t>
      </w:r>
    </w:p>
    <w:p>
      <w:pPr>
        <w:spacing w:after="80" w:line="276" w:lineRule="auto"/>
      </w:pPr>
      <w:r>
        <w:rPr>
          <w:rFonts w:ascii="Arial" w:hAnsi="Arial"/>
          <w:color w:val="212529"/>
          <w:sz w:val="19"/>
        </w:rPr>
        <w:t>Water flow telemetry frequently experiences transient sensor noise or abnormal single-day bursts (e.g., line testing, pool filling, or catastrophic burst pipes). To prevent catastrophic events from distorting the baseline forecasting model, raw daily readings are clipped using an upper boundary filter: consumption_clean = min(consumption_raw, 500.0 Liters/day for single fixture lines, or 3 * IQR above Q3).</w:t>
      </w:r>
    </w:p>
    <w:p>
      <w:pPr>
        <w:pStyle w:val="Heading2"/>
        <w:keepNext/>
        <w:spacing w:before="280" w:after="80"/>
      </w:pPr>
      <w:r>
        <w:rPr>
          <w:rFonts w:ascii="Arial" w:hAnsi="Arial"/>
          <w:b/>
          <w:color w:val="00A3E0"/>
          <w:sz w:val="25"/>
        </w:rPr>
        <w:t>3.3 The 18 Engineered Predictive Features</w:t>
      </w:r>
    </w:p>
    <w:p>
      <w:pPr>
        <w:spacing w:after="80" w:line="276" w:lineRule="auto"/>
      </w:pPr>
      <w:r>
        <w:rPr>
          <w:rFonts w:ascii="Arial" w:hAnsi="Arial"/>
          <w:color w:val="212529"/>
          <w:sz w:val="19"/>
        </w:rPr>
        <w:t>The pipeline constructs 18 distinct features grouped into four analytical domains: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tcMar>
              <w:top w:w="100" w:type="dxa"/>
              <w:bottom w:w="100" w:type="dxa"/>
              <w:left w:w="120" w:type="dxa"/>
              <w:right w:w="120" w:type="dxa"/>
            </w:tcMar>
            <w:shd w:fill="1B365D"/>
          </w:tcPr>
          <w:p>
            <w:pPr>
              <w:spacing w:before="60" w:after="60"/>
            </w:pPr>
            <w:r>
              <w:rPr>
                <w:rFonts w:ascii="Arial" w:hAnsi="Arial"/>
                <w:b/>
                <w:color w:val="FFFFFF"/>
                <w:sz w:val="18"/>
              </w:rPr>
              <w:t>Feature Name</w:t>
            </w:r>
          </w:p>
        </w:tc>
        <w:tc>
          <w:tcPr>
            <w:tcW w:type="dxa" w:w="1728"/>
            <w:tcMar>
              <w:top w:w="100" w:type="dxa"/>
              <w:bottom w:w="100" w:type="dxa"/>
              <w:left w:w="120" w:type="dxa"/>
              <w:right w:w="120" w:type="dxa"/>
            </w:tcMar>
            <w:shd w:fill="1B365D"/>
          </w:tcPr>
          <w:p>
            <w:pPr>
              <w:spacing w:before="60" w:after="60"/>
            </w:pPr>
            <w:r>
              <w:rPr>
                <w:rFonts w:ascii="Arial" w:hAnsi="Arial"/>
                <w:b/>
                <w:color w:val="FFFFFF"/>
                <w:sz w:val="18"/>
              </w:rPr>
              <w:t>Domain</w:t>
            </w:r>
          </w:p>
        </w:tc>
        <w:tc>
          <w:tcPr>
            <w:tcW w:type="dxa" w:w="1440"/>
            <w:tcMar>
              <w:top w:w="100" w:type="dxa"/>
              <w:bottom w:w="100" w:type="dxa"/>
              <w:left w:w="120" w:type="dxa"/>
              <w:right w:w="120" w:type="dxa"/>
            </w:tcMar>
            <w:shd w:fill="1B365D"/>
          </w:tcPr>
          <w:p>
            <w:pPr>
              <w:spacing w:before="60" w:after="60"/>
            </w:pPr>
            <w:r>
              <w:rPr>
                <w:rFonts w:ascii="Arial" w:hAnsi="Arial"/>
                <w:b/>
                <w:color w:val="FFFFFF"/>
                <w:sz w:val="18"/>
              </w:rPr>
              <w:t>Units</w:t>
            </w:r>
          </w:p>
        </w:tc>
        <w:tc>
          <w:tcPr>
            <w:tcW w:type="dxa" w:w="3600"/>
            <w:tcMar>
              <w:top w:w="100" w:type="dxa"/>
              <w:bottom w:w="100" w:type="dxa"/>
              <w:left w:w="120" w:type="dxa"/>
              <w:right w:w="120" w:type="dxa"/>
            </w:tcMar>
            <w:shd w:fill="1B365D"/>
          </w:tcPr>
          <w:p>
            <w:pPr>
              <w:spacing w:before="60" w:after="60"/>
            </w:pPr>
            <w:r>
              <w:rPr>
                <w:rFonts w:ascii="Arial" w:hAnsi="Arial"/>
                <w:b/>
                <w:color w:val="FFFFFF"/>
                <w:sz w:val="18"/>
              </w:rPr>
              <w:t>Physical Significance</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past_7d_liters</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Habitual Sum</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Liters</w:t>
            </w:r>
          </w:p>
        </w:tc>
        <w:tc>
          <w:tcPr>
            <w:tcW w:type="dxa" w:w="3600"/>
            <w:tcMar>
              <w:top w:w="100" w:type="dxa"/>
              <w:bottom w:w="100" w:type="dxa"/>
              <w:left w:w="120" w:type="dxa"/>
              <w:right w:w="120" w:type="dxa"/>
            </w:tcMar>
            <w:shd w:fill="F8FAFC"/>
          </w:tcPr>
          <w:p>
            <w:pPr>
              <w:spacing w:before="40" w:after="40"/>
            </w:pPr>
            <w:r>
              <w:rPr>
                <w:rFonts w:ascii="Arial" w:hAnsi="Arial"/>
                <w:color w:val="212529"/>
                <w:sz w:val="17"/>
              </w:rPr>
              <w:t>Total consumption over the prior 7 days; primary anchor of weekly volume.</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past_14d_liters</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Habitual Sum</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Liters</w:t>
            </w:r>
          </w:p>
        </w:tc>
        <w:tc>
          <w:tcPr>
            <w:tcW w:type="dxa" w:w="3600"/>
            <w:tcMar>
              <w:top w:w="100" w:type="dxa"/>
              <w:bottom w:w="100" w:type="dxa"/>
              <w:left w:w="120" w:type="dxa"/>
              <w:right w:w="120" w:type="dxa"/>
            </w:tcMar>
            <w:shd w:fill="FFFFFF"/>
          </w:tcPr>
          <w:p>
            <w:pPr>
              <w:spacing w:before="40" w:after="40"/>
            </w:pPr>
            <w:r>
              <w:rPr>
                <w:rFonts w:ascii="Arial" w:hAnsi="Arial"/>
                <w:color w:val="212529"/>
                <w:sz w:val="17"/>
              </w:rPr>
              <w:t>Total consumption over the prior 14 days; bi-weekly baseline anchor.</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rolling_mean_7</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Rolling Stat</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Liters/day</w:t>
            </w:r>
          </w:p>
        </w:tc>
        <w:tc>
          <w:tcPr>
            <w:tcW w:type="dxa" w:w="3600"/>
            <w:tcMar>
              <w:top w:w="100" w:type="dxa"/>
              <w:bottom w:w="100" w:type="dxa"/>
              <w:left w:w="120" w:type="dxa"/>
              <w:right w:w="120" w:type="dxa"/>
            </w:tcMar>
            <w:shd w:fill="F8FAFC"/>
          </w:tcPr>
          <w:p>
            <w:pPr>
              <w:spacing w:before="40" w:after="40"/>
            </w:pPr>
            <w:r>
              <w:rPr>
                <w:rFonts w:ascii="Arial" w:hAnsi="Arial"/>
                <w:color w:val="212529"/>
                <w:sz w:val="17"/>
              </w:rPr>
              <w:t>7-day trailing moving average; filters day-to-day noise.</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rolling_std_7</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Rolling Stat</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Liters/day</w:t>
            </w:r>
          </w:p>
        </w:tc>
        <w:tc>
          <w:tcPr>
            <w:tcW w:type="dxa" w:w="3600"/>
            <w:tcMar>
              <w:top w:w="100" w:type="dxa"/>
              <w:bottom w:w="100" w:type="dxa"/>
              <w:left w:w="120" w:type="dxa"/>
              <w:right w:w="120" w:type="dxa"/>
            </w:tcMar>
            <w:shd w:fill="FFFFFF"/>
          </w:tcPr>
          <w:p>
            <w:pPr>
              <w:spacing w:before="40" w:after="40"/>
            </w:pPr>
            <w:r>
              <w:rPr>
                <w:rFonts w:ascii="Arial" w:hAnsi="Arial"/>
                <w:color w:val="212529"/>
                <w:sz w:val="17"/>
              </w:rPr>
              <w:t>7-day consumption volatility; reflects regularity of water usage.</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rolling_mean_14</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Rolling Stat</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Liters/day</w:t>
            </w:r>
          </w:p>
        </w:tc>
        <w:tc>
          <w:tcPr>
            <w:tcW w:type="dxa" w:w="3600"/>
            <w:tcMar>
              <w:top w:w="100" w:type="dxa"/>
              <w:bottom w:w="100" w:type="dxa"/>
              <w:left w:w="120" w:type="dxa"/>
              <w:right w:w="120" w:type="dxa"/>
            </w:tcMar>
            <w:shd w:fill="F8FAFC"/>
          </w:tcPr>
          <w:p>
            <w:pPr>
              <w:spacing w:before="40" w:after="40"/>
            </w:pPr>
            <w:r>
              <w:rPr>
                <w:rFonts w:ascii="Arial" w:hAnsi="Arial"/>
                <w:color w:val="212529"/>
                <w:sz w:val="17"/>
              </w:rPr>
              <w:t>14-day trailing moving average; mid-term baseline indicator.</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rolling_std_14</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Rolling Stat</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Liters/day</w:t>
            </w:r>
          </w:p>
        </w:tc>
        <w:tc>
          <w:tcPr>
            <w:tcW w:type="dxa" w:w="3600"/>
            <w:tcMar>
              <w:top w:w="100" w:type="dxa"/>
              <w:bottom w:w="100" w:type="dxa"/>
              <w:left w:w="120" w:type="dxa"/>
              <w:right w:w="120" w:type="dxa"/>
            </w:tcMar>
            <w:shd w:fill="FFFFFF"/>
          </w:tcPr>
          <w:p>
            <w:pPr>
              <w:spacing w:before="40" w:after="40"/>
            </w:pPr>
            <w:r>
              <w:rPr>
                <w:rFonts w:ascii="Arial" w:hAnsi="Arial"/>
                <w:color w:val="212529"/>
                <w:sz w:val="17"/>
              </w:rPr>
              <w:t>14-day consumption volatility; stability metric.</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rolling_mean_30</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Rolling Stat</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Liters/day</w:t>
            </w:r>
          </w:p>
        </w:tc>
        <w:tc>
          <w:tcPr>
            <w:tcW w:type="dxa" w:w="3600"/>
            <w:tcMar>
              <w:top w:w="100" w:type="dxa"/>
              <w:bottom w:w="100" w:type="dxa"/>
              <w:left w:w="120" w:type="dxa"/>
              <w:right w:w="120" w:type="dxa"/>
            </w:tcMar>
            <w:shd w:fill="F8FAFC"/>
          </w:tcPr>
          <w:p>
            <w:pPr>
              <w:spacing w:before="40" w:after="40"/>
            </w:pPr>
            <w:r>
              <w:rPr>
                <w:rFonts w:ascii="Arial" w:hAnsi="Arial"/>
                <w:color w:val="212529"/>
                <w:sz w:val="17"/>
              </w:rPr>
              <w:t>30-day monthly rolling average; long-term household capacity.</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lag_1d</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Direct Lag</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Liters</w:t>
            </w:r>
          </w:p>
        </w:tc>
        <w:tc>
          <w:tcPr>
            <w:tcW w:type="dxa" w:w="3600"/>
            <w:tcMar>
              <w:top w:w="100" w:type="dxa"/>
              <w:bottom w:w="100" w:type="dxa"/>
              <w:left w:w="120" w:type="dxa"/>
              <w:right w:w="120" w:type="dxa"/>
            </w:tcMar>
            <w:shd w:fill="FFFFFF"/>
          </w:tcPr>
          <w:p>
            <w:pPr>
              <w:spacing w:before="40" w:after="40"/>
            </w:pPr>
            <w:r>
              <w:rPr>
                <w:rFonts w:ascii="Arial" w:hAnsi="Arial"/>
                <w:color w:val="212529"/>
                <w:sz w:val="17"/>
              </w:rPr>
              <w:t>Yesterday's consumption volume; immediate autoregressive signal.</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lag_2d</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Direct Lag</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Liters</w:t>
            </w:r>
          </w:p>
        </w:tc>
        <w:tc>
          <w:tcPr>
            <w:tcW w:type="dxa" w:w="3600"/>
            <w:tcMar>
              <w:top w:w="100" w:type="dxa"/>
              <w:bottom w:w="100" w:type="dxa"/>
              <w:left w:w="120" w:type="dxa"/>
              <w:right w:w="120" w:type="dxa"/>
            </w:tcMar>
            <w:shd w:fill="F8FAFC"/>
          </w:tcPr>
          <w:p>
            <w:pPr>
              <w:spacing w:before="40" w:after="40"/>
            </w:pPr>
            <w:r>
              <w:rPr>
                <w:rFonts w:ascii="Arial" w:hAnsi="Arial"/>
                <w:color w:val="212529"/>
                <w:sz w:val="17"/>
              </w:rPr>
              <w:t>Water volume consumed 2 days ago.</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lag_3d</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Direct Lag</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Liters</w:t>
            </w:r>
          </w:p>
        </w:tc>
        <w:tc>
          <w:tcPr>
            <w:tcW w:type="dxa" w:w="3600"/>
            <w:tcMar>
              <w:top w:w="100" w:type="dxa"/>
              <w:bottom w:w="100" w:type="dxa"/>
              <w:left w:w="120" w:type="dxa"/>
              <w:right w:w="120" w:type="dxa"/>
            </w:tcMar>
            <w:shd w:fill="FFFFFF"/>
          </w:tcPr>
          <w:p>
            <w:pPr>
              <w:spacing w:before="40" w:after="40"/>
            </w:pPr>
            <w:r>
              <w:rPr>
                <w:rFonts w:ascii="Arial" w:hAnsi="Arial"/>
                <w:color w:val="212529"/>
                <w:sz w:val="17"/>
              </w:rPr>
              <w:t>Water volume consumed 3 days ago.</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lag_7d</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Direct Lag</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Liters</w:t>
            </w:r>
          </w:p>
        </w:tc>
        <w:tc>
          <w:tcPr>
            <w:tcW w:type="dxa" w:w="3600"/>
            <w:tcMar>
              <w:top w:w="100" w:type="dxa"/>
              <w:bottom w:w="100" w:type="dxa"/>
              <w:left w:w="120" w:type="dxa"/>
              <w:right w:w="120" w:type="dxa"/>
            </w:tcMar>
            <w:shd w:fill="F8FAFC"/>
          </w:tcPr>
          <w:p>
            <w:pPr>
              <w:spacing w:before="40" w:after="40"/>
            </w:pPr>
            <w:r>
              <w:rPr>
                <w:rFonts w:ascii="Arial" w:hAnsi="Arial"/>
                <w:color w:val="212529"/>
                <w:sz w:val="17"/>
              </w:rPr>
              <w:t>Volume consumed exactly 1 week ago (same day of week).</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lag_14d</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Direct Lag</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Liters</w:t>
            </w:r>
          </w:p>
        </w:tc>
        <w:tc>
          <w:tcPr>
            <w:tcW w:type="dxa" w:w="3600"/>
            <w:tcMar>
              <w:top w:w="100" w:type="dxa"/>
              <w:bottom w:w="100" w:type="dxa"/>
              <w:left w:w="120" w:type="dxa"/>
              <w:right w:w="120" w:type="dxa"/>
            </w:tcMar>
            <w:shd w:fill="FFFFFF"/>
          </w:tcPr>
          <w:p>
            <w:pPr>
              <w:spacing w:before="40" w:after="40"/>
            </w:pPr>
            <w:r>
              <w:rPr>
                <w:rFonts w:ascii="Arial" w:hAnsi="Arial"/>
                <w:color w:val="212529"/>
                <w:sz w:val="17"/>
              </w:rPr>
              <w:t>Volume consumed exactly 2 weeks ago (same day of week).</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consumption_momentum_7</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Kinematic</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Ratio</w:t>
            </w:r>
          </w:p>
        </w:tc>
        <w:tc>
          <w:tcPr>
            <w:tcW w:type="dxa" w:w="3600"/>
            <w:tcMar>
              <w:top w:w="100" w:type="dxa"/>
              <w:bottom w:w="100" w:type="dxa"/>
              <w:left w:w="120" w:type="dxa"/>
              <w:right w:w="120" w:type="dxa"/>
            </w:tcMar>
            <w:shd w:fill="F8FAFC"/>
          </w:tcPr>
          <w:p>
            <w:pPr>
              <w:spacing w:before="40" w:after="40"/>
            </w:pPr>
            <w:r>
              <w:rPr>
                <w:rFonts w:ascii="Arial" w:hAnsi="Arial"/>
                <w:color w:val="212529"/>
                <w:sz w:val="17"/>
              </w:rPr>
              <w:t>Ratio of rolling_mean_7 to rolling_mean_14; indicates usage acceleration.</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consumption_momentum_14</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Kinematic</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Ratio</w:t>
            </w:r>
          </w:p>
        </w:tc>
        <w:tc>
          <w:tcPr>
            <w:tcW w:type="dxa" w:w="3600"/>
            <w:tcMar>
              <w:top w:w="100" w:type="dxa"/>
              <w:bottom w:w="100" w:type="dxa"/>
              <w:left w:w="120" w:type="dxa"/>
              <w:right w:w="120" w:type="dxa"/>
            </w:tcMar>
            <w:shd w:fill="FFFFFF"/>
          </w:tcPr>
          <w:p>
            <w:pPr>
              <w:spacing w:before="40" w:after="40"/>
            </w:pPr>
            <w:r>
              <w:rPr>
                <w:rFonts w:ascii="Arial" w:hAnsi="Arial"/>
                <w:color w:val="212529"/>
                <w:sz w:val="17"/>
              </w:rPr>
              <w:t>Ratio of rolling_mean_14 to rolling_mean_30; indicates macro drift.</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day_of_week</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Calendar</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Integer [0-6]</w:t>
            </w:r>
          </w:p>
        </w:tc>
        <w:tc>
          <w:tcPr>
            <w:tcW w:type="dxa" w:w="3600"/>
            <w:tcMar>
              <w:top w:w="100" w:type="dxa"/>
              <w:bottom w:w="100" w:type="dxa"/>
              <w:left w:w="120" w:type="dxa"/>
              <w:right w:w="120" w:type="dxa"/>
            </w:tcMar>
            <w:shd w:fill="F8FAFC"/>
          </w:tcPr>
          <w:p>
            <w:pPr>
              <w:spacing w:before="40" w:after="40"/>
            </w:pPr>
            <w:r>
              <w:rPr>
                <w:rFonts w:ascii="Arial" w:hAnsi="Arial"/>
                <w:color w:val="212529"/>
                <w:sz w:val="17"/>
              </w:rPr>
              <w:t>Day of the week (Monday=0, Sunday=6); captures weekend vs. weekday shifts.</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is_weekend</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Calendar</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Binary [0,1]</w:t>
            </w:r>
          </w:p>
        </w:tc>
        <w:tc>
          <w:tcPr>
            <w:tcW w:type="dxa" w:w="3600"/>
            <w:tcMar>
              <w:top w:w="100" w:type="dxa"/>
              <w:bottom w:w="100" w:type="dxa"/>
              <w:left w:w="120" w:type="dxa"/>
              <w:right w:w="120" w:type="dxa"/>
            </w:tcMar>
            <w:shd w:fill="FFFFFF"/>
          </w:tcPr>
          <w:p>
            <w:pPr>
              <w:spacing w:before="40" w:after="40"/>
            </w:pPr>
            <w:r>
              <w:rPr>
                <w:rFonts w:ascii="Arial" w:hAnsi="Arial"/>
                <w:color w:val="212529"/>
                <w:sz w:val="17"/>
              </w:rPr>
              <w:t>Indicator flag for Saturday and Sunday laundry/leisure usage.</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month</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Calendar</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Integer [1-12]</w:t>
            </w:r>
          </w:p>
        </w:tc>
        <w:tc>
          <w:tcPr>
            <w:tcW w:type="dxa" w:w="3600"/>
            <w:tcMar>
              <w:top w:w="100" w:type="dxa"/>
              <w:bottom w:w="100" w:type="dxa"/>
              <w:left w:w="120" w:type="dxa"/>
              <w:right w:w="120" w:type="dxa"/>
            </w:tcMar>
            <w:shd w:fill="F8FAFC"/>
          </w:tcPr>
          <w:p>
            <w:pPr>
              <w:spacing w:before="40" w:after="40"/>
            </w:pPr>
            <w:r>
              <w:rPr>
                <w:rFonts w:ascii="Arial" w:hAnsi="Arial"/>
                <w:color w:val="212529"/>
                <w:sz w:val="17"/>
              </w:rPr>
              <w:t>Calendar month; reflects seasonal irrigation and climate variations.</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day_of_year</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Calendar</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Integer [1-365]</w:t>
            </w:r>
          </w:p>
        </w:tc>
        <w:tc>
          <w:tcPr>
            <w:tcW w:type="dxa" w:w="3600"/>
            <w:tcMar>
              <w:top w:w="100" w:type="dxa"/>
              <w:bottom w:w="100" w:type="dxa"/>
              <w:left w:w="120" w:type="dxa"/>
              <w:right w:w="120" w:type="dxa"/>
            </w:tcMar>
            <w:shd w:fill="FFFFFF"/>
          </w:tcPr>
          <w:p>
            <w:pPr>
              <w:spacing w:before="40" w:after="40"/>
            </w:pPr>
            <w:r>
              <w:rPr>
                <w:rFonts w:ascii="Arial" w:hAnsi="Arial"/>
                <w:color w:val="212529"/>
                <w:sz w:val="17"/>
              </w:rPr>
              <w:t>Continuous seasonal progression along annual weather cycles.</w:t>
            </w:r>
          </w:p>
        </w:tc>
      </w:tr>
    </w:tbl>
    <w:p>
      <w:pPr>
        <w:spacing w:before="80" w:after="240"/>
        <w:jc w:val="center"/>
      </w:pPr>
      <w:r>
        <w:rPr>
          <w:rFonts w:ascii="Arial" w:hAnsi="Arial"/>
          <w:i/>
          <w:color w:val="6C757D"/>
          <w:sz w:val="17"/>
        </w:rPr>
        <w:t>Figure: Complete Dictionary of 18 Engineered Predictive Features in ml-forecasting</w:t>
      </w:r>
    </w:p>
    <w:p>
      <w:pPr>
        <w:pStyle w:val="Heading1"/>
        <w:keepNext/>
        <w:spacing w:before="400" w:after="120"/>
      </w:pPr>
      <w:r>
        <w:rPr>
          <w:rFonts w:ascii="Arial" w:hAnsi="Arial"/>
          <w:b/>
          <w:color w:val="1B365D"/>
          <w:sz w:val="32"/>
        </w:rPr>
        <w:t>4. Candidate Machine Learning Algorithms &amp; Selection Framework</w:t>
      </w:r>
    </w:p>
    <w:p>
      <w:pPr>
        <w:spacing w:after="80" w:line="276" w:lineRule="auto"/>
      </w:pPr>
      <w:r>
        <w:rPr>
          <w:rFonts w:ascii="Arial" w:hAnsi="Arial"/>
          <w:color w:val="212529"/>
          <w:sz w:val="19"/>
        </w:rPr>
        <w:t>To select the most robust, accurate, and operationally reliable forecasting model for Water Angel, a comprehensive tournament of seven diverse algorithms was implemented in 'model_registry.py'. The candidate pool spans heuristic baselines, regularized linear estimators, non-linear bagging/boosting tree ensembles, and hybrid stacking architectures.</w:t>
      </w:r>
    </w:p>
    <w:p>
      <w:pPr>
        <w:pStyle w:val="Heading2"/>
        <w:keepNext/>
        <w:spacing w:before="280" w:after="80"/>
      </w:pPr>
      <w:r>
        <w:rPr>
          <w:rFonts w:ascii="Arial" w:hAnsi="Arial"/>
          <w:b/>
          <w:color w:val="00A3E0"/>
          <w:sz w:val="25"/>
        </w:rPr>
        <w:t>4.1 Mathematical Formulation of Candidate Models</w:t>
      </w:r>
    </w:p>
    <w:p>
      <w:pPr>
        <w:pStyle w:val="Heading3"/>
        <w:keepNext/>
        <w:spacing w:before="200" w:after="40"/>
      </w:pPr>
      <w:r>
        <w:rPr>
          <w:rFonts w:ascii="Arial" w:hAnsi="Arial"/>
          <w:b/>
          <w:color w:val="212529"/>
          <w:sz w:val="20"/>
        </w:rPr>
        <w:t>1. Baseline Persistence Model (Naive Past-Week Sum)</w:t>
      </w:r>
    </w:p>
    <w:p>
      <w:pPr>
        <w:spacing w:after="80" w:line="276" w:lineRule="auto"/>
      </w:pPr>
      <w:r>
        <w:rPr>
          <w:rFonts w:ascii="Arial" w:hAnsi="Arial"/>
          <w:color w:val="212529"/>
          <w:sz w:val="19"/>
        </w:rPr>
        <w:t>The Persistence baseline acts as the empirical benchmark. It forecasts that water consumption over the next 7 days will exactly equal water consumption over the past 7 days: y_pred = past_7d_liters. In stationary household consumption environments, this simple heuristic is notoriously difficult for unconstrained machine learning models to surpass.</w:t>
      </w:r>
    </w:p>
    <w:p>
      <w:pPr>
        <w:pStyle w:val="Heading3"/>
        <w:keepNext/>
        <w:spacing w:before="200" w:after="40"/>
      </w:pPr>
      <w:r>
        <w:rPr>
          <w:rFonts w:ascii="Arial" w:hAnsi="Arial"/>
          <w:b/>
          <w:color w:val="212529"/>
          <w:sz w:val="20"/>
        </w:rPr>
        <w:t>2. Ridge Regression (L2 Regularization)</w:t>
      </w:r>
    </w:p>
    <w:p>
      <w:pPr>
        <w:spacing w:after="80" w:line="276" w:lineRule="auto"/>
      </w:pPr>
      <w:r>
        <w:rPr>
          <w:rFonts w:ascii="Arial" w:hAnsi="Arial"/>
          <w:color w:val="212529"/>
          <w:sz w:val="19"/>
        </w:rPr>
        <w:t>Ridge regression minimizes the residual sum of squares subject to an L2 norm penalty on feature coefficients: Loss = ||y - X*beta||^2 + alpha * ||beta||_2^2. The L2 penalty shrinks correlated coefficients (e.g., lag_1d and rolling_mean_7) toward zero, preventing variance explosion under high multicollinearity.</w:t>
      </w:r>
    </w:p>
    <w:p>
      <w:pPr>
        <w:pStyle w:val="Heading3"/>
        <w:keepNext/>
        <w:spacing w:before="200" w:after="40"/>
      </w:pPr>
      <w:r>
        <w:rPr>
          <w:rFonts w:ascii="Arial" w:hAnsi="Arial"/>
          <w:b/>
          <w:color w:val="212529"/>
          <w:sz w:val="20"/>
        </w:rPr>
        <w:t>3. ElasticNet Regression (L1 + L2 Regularization)</w:t>
      </w:r>
    </w:p>
    <w:p>
      <w:pPr>
        <w:spacing w:after="80" w:line="276" w:lineRule="auto"/>
      </w:pPr>
      <w:r>
        <w:rPr>
          <w:rFonts w:ascii="Arial" w:hAnsi="Arial"/>
          <w:color w:val="212529"/>
          <w:sz w:val="19"/>
        </w:rPr>
        <w:t>ElasticNet blends both L1 (LASSO) and L2 (Ridge) penalties: Loss = (1 / 2n) * ||y - X*beta||^2 + alpha * l1_ratio * ||beta||_1 + 0.5 * alpha * (1 - l1_ratio) * ||beta||_2^2. The L1 component enforces feature sparsity by driving non-informative coefficients strictly to zero, while the L2 component retains stability among groups of correlated features.</w:t>
      </w:r>
    </w:p>
    <w:p>
      <w:pPr>
        <w:pStyle w:val="Heading3"/>
        <w:keepNext/>
        <w:spacing w:before="200" w:after="40"/>
      </w:pPr>
      <w:r>
        <w:rPr>
          <w:rFonts w:ascii="Arial" w:hAnsi="Arial"/>
          <w:b/>
          <w:color w:val="212529"/>
          <w:sz w:val="20"/>
        </w:rPr>
        <w:t>4. Random Forest Regressor</w:t>
      </w:r>
    </w:p>
    <w:p>
      <w:pPr>
        <w:spacing w:after="80" w:line="276" w:lineRule="auto"/>
      </w:pPr>
      <w:r>
        <w:rPr>
          <w:rFonts w:ascii="Arial" w:hAnsi="Arial"/>
          <w:color w:val="212529"/>
          <w:sz w:val="19"/>
        </w:rPr>
        <w:t>An ensemble of B de-correlated decision trees trained via bootstrap aggregation (bagging). Predictions are averaged across all trees: y_pred = (1 / B) * Sum_{b=1 to B} T_b(x). Random Forests excel at capturing complex step-wise feature interactions but are fundamentally bounded within historical target intervals.</w:t>
      </w:r>
    </w:p>
    <w:p>
      <w:pPr>
        <w:pStyle w:val="Heading3"/>
        <w:keepNext/>
        <w:spacing w:before="200" w:after="40"/>
      </w:pPr>
      <w:r>
        <w:rPr>
          <w:rFonts w:ascii="Arial" w:hAnsi="Arial"/>
          <w:b/>
          <w:color w:val="212529"/>
          <w:sz w:val="20"/>
        </w:rPr>
        <w:t>5. Gradient Boosting Regressor (GBR)</w:t>
      </w:r>
    </w:p>
    <w:p>
      <w:pPr>
        <w:spacing w:after="80" w:line="276" w:lineRule="auto"/>
      </w:pPr>
      <w:r>
        <w:rPr>
          <w:rFonts w:ascii="Arial" w:hAnsi="Arial"/>
          <w:color w:val="212529"/>
          <w:sz w:val="19"/>
        </w:rPr>
        <w:t>A sequential ensemble where each successive decision tree fits the negative gradient (pseudo-residuals) of the preceding ensemble: F_m(x) = F_{m-1}(x) + gamma * h_m(x). GBR continuously minimizes the Mean Squared Error loss through gradient descent in function space.</w:t>
      </w:r>
    </w:p>
    <w:p>
      <w:pPr>
        <w:pStyle w:val="Heading3"/>
        <w:keepNext/>
        <w:spacing w:before="200" w:after="40"/>
      </w:pPr>
      <w:r>
        <w:rPr>
          <w:rFonts w:ascii="Arial" w:hAnsi="Arial"/>
          <w:b/>
          <w:color w:val="212529"/>
          <w:sz w:val="20"/>
        </w:rPr>
        <w:t>6. Extreme Gradient Boosting (XGBoost)</w:t>
      </w:r>
    </w:p>
    <w:p>
      <w:pPr>
        <w:spacing w:after="80" w:line="276" w:lineRule="auto"/>
      </w:pPr>
      <w:r>
        <w:rPr>
          <w:rFonts w:ascii="Arial" w:hAnsi="Arial"/>
          <w:color w:val="212529"/>
          <w:sz w:val="19"/>
        </w:rPr>
        <w:t>An optimized implementation of gradient boosted trees incorporating second-order Taylor expansion approximations of the loss function, weighted quantile sketch algorithms for tree split proposal, and explicit L1/L2 regularization on leaf weights to curb overfitting.</w:t>
      </w:r>
    </w:p>
    <w:p>
      <w:pPr>
        <w:pStyle w:val="Heading3"/>
        <w:keepNext/>
        <w:spacing w:before="200" w:after="40"/>
      </w:pPr>
      <w:r>
        <w:rPr>
          <w:rFonts w:ascii="Arial" w:hAnsi="Arial"/>
          <w:b/>
          <w:color w:val="212529"/>
          <w:sz w:val="20"/>
        </w:rPr>
        <w:t>7. Hybrid Stacking Ensemble</w:t>
      </w:r>
    </w:p>
    <w:p>
      <w:pPr>
        <w:spacing w:after="80" w:line="276" w:lineRule="auto"/>
      </w:pPr>
      <w:r>
        <w:rPr>
          <w:rFonts w:ascii="Arial" w:hAnsi="Arial"/>
          <w:color w:val="212529"/>
          <w:sz w:val="19"/>
        </w:rPr>
        <w:t>A multi-stage architecture designed to combine the strengths of linear extrapolation and non-linear residual learning. Stage 1 fits an ElasticNet model to establish a linear baseline. Stage 2 trains an XGBoost regressor on the residual errors (e = y - y_linear). Final forecast: y_final = y_linear + y_residual.</w:t>
      </w:r>
    </w:p>
    <w:p>
      <w:pPr>
        <w:pStyle w:val="Heading1"/>
        <w:keepNext/>
        <w:spacing w:before="400" w:after="120"/>
      </w:pPr>
      <w:r>
        <w:rPr>
          <w:rFonts w:ascii="Arial" w:hAnsi="Arial"/>
          <w:b/>
          <w:color w:val="1B365D"/>
          <w:sz w:val="32"/>
        </w:rPr>
        <w:t>5. Experimental Evaluation, Benchmark Metrics &amp; Cross-Validation</w:t>
      </w:r>
    </w:p>
    <w:p>
      <w:pPr>
        <w:spacing w:after="80" w:line="276" w:lineRule="auto"/>
      </w:pPr>
      <w:r>
        <w:rPr>
          <w:rFonts w:ascii="Arial" w:hAnsi="Arial"/>
          <w:color w:val="212529"/>
          <w:sz w:val="19"/>
        </w:rPr>
        <w:t>Model evaluation was conducted using a strict, leak-free 5-Fold Expanding Window TimeSeriesSplit cross-validation, followed by an unseen 30-day out-of-sample holdout test. This simulates real-world production conditions where past data is used to predict the future.</w:t>
      </w:r>
    </w:p>
    <w:p>
      <w:pPr>
        <w:pStyle w:val="Heading2"/>
        <w:keepNext/>
        <w:spacing w:before="280" w:after="80"/>
      </w:pPr>
      <w:r>
        <w:rPr>
          <w:rFonts w:ascii="Arial" w:hAnsi="Arial"/>
          <w:b/>
          <w:color w:val="00A3E0"/>
          <w:sz w:val="25"/>
        </w:rPr>
        <w:t>5.1 Evaluation Metrics</w:t>
      </w:r>
    </w:p>
    <w:p>
      <w:pPr>
        <w:pStyle w:val="ListBullet"/>
        <w:spacing w:after="60" w:line="276" w:lineRule="auto"/>
      </w:pPr>
      <w:r>
        <w:rPr>
          <w:rFonts w:ascii="Arial" w:hAnsi="Arial"/>
          <w:b/>
          <w:color w:val="1B365D"/>
          <w:sz w:val="19"/>
        </w:rPr>
        <w:t xml:space="preserve">Mean Absolute Error (MAE): </w:t>
      </w:r>
      <w:r>
        <w:rPr>
          <w:rFonts w:ascii="Arial" w:hAnsi="Arial"/>
          <w:color w:val="212529"/>
          <w:sz w:val="19"/>
        </w:rPr>
        <w:t>MAE = (1/n) * Sum |y_i - y_hat_i| (Measured in Liters). Direct measure of average error magnitude.</w:t>
      </w:r>
    </w:p>
    <w:p>
      <w:pPr>
        <w:pStyle w:val="ListBullet"/>
        <w:spacing w:after="60" w:line="276" w:lineRule="auto"/>
      </w:pPr>
      <w:r>
        <w:rPr>
          <w:rFonts w:ascii="Arial" w:hAnsi="Arial"/>
          <w:b/>
          <w:color w:val="1B365D"/>
          <w:sz w:val="19"/>
        </w:rPr>
        <w:t xml:space="preserve">Root Mean Squared Error (RMSE): </w:t>
      </w:r>
      <w:r>
        <w:rPr>
          <w:rFonts w:ascii="Arial" w:hAnsi="Arial"/>
          <w:color w:val="212529"/>
          <w:sz w:val="19"/>
        </w:rPr>
        <w:t>RMSE = sqrt((1/n) * Sum (y_i - y_hat_i)^2) (Measured in Liters). Penalizes large outlier forecast errors.</w:t>
      </w:r>
    </w:p>
    <w:p>
      <w:pPr>
        <w:pStyle w:val="ListBullet"/>
        <w:spacing w:after="60" w:line="276" w:lineRule="auto"/>
      </w:pPr>
      <w:r>
        <w:rPr>
          <w:rFonts w:ascii="Arial" w:hAnsi="Arial"/>
          <w:b/>
          <w:color w:val="1B365D"/>
          <w:sz w:val="19"/>
        </w:rPr>
        <w:t xml:space="preserve">Mean Absolute Percentage Error (MAPE): </w:t>
      </w:r>
      <w:r>
        <w:rPr>
          <w:rFonts w:ascii="Arial" w:hAnsi="Arial"/>
          <w:color w:val="212529"/>
          <w:sz w:val="19"/>
        </w:rPr>
        <w:t>MAPE = (100%/n) * Sum |(y_i - y_hat_i) / y_i| (Measured in %). Scale-independent percentage accuracy.</w:t>
      </w:r>
    </w:p>
    <w:p>
      <w:pPr>
        <w:pStyle w:val="ListBullet"/>
        <w:spacing w:after="60" w:line="276" w:lineRule="auto"/>
      </w:pPr>
      <w:r>
        <w:rPr>
          <w:rFonts w:ascii="Arial" w:hAnsi="Arial"/>
          <w:b/>
          <w:color w:val="1B365D"/>
          <w:sz w:val="19"/>
        </w:rPr>
        <w:t xml:space="preserve">Coefficient of Determination (R^2): </w:t>
      </w:r>
      <w:r>
        <w:rPr>
          <w:rFonts w:ascii="Arial" w:hAnsi="Arial"/>
          <w:color w:val="212529"/>
          <w:sz w:val="19"/>
        </w:rPr>
        <w:t>R^2 = 1 - (SS_res / SS_tot). Proportion of variance explained by the model.</w:t>
      </w:r>
    </w:p>
    <w:p>
      <w:pPr>
        <w:pStyle w:val="Heading2"/>
        <w:keepNext/>
        <w:spacing w:before="280" w:after="80"/>
      </w:pPr>
      <w:r>
        <w:rPr>
          <w:rFonts w:ascii="Arial" w:hAnsi="Arial"/>
          <w:b/>
          <w:color w:val="00A3E0"/>
          <w:sz w:val="25"/>
        </w:rPr>
        <w:t>5.2 Comprehensive Model Benchmark Results</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2592"/>
            <w:tcMar>
              <w:top w:w="100" w:type="dxa"/>
              <w:bottom w:w="100" w:type="dxa"/>
              <w:left w:w="120" w:type="dxa"/>
              <w:right w:w="120" w:type="dxa"/>
            </w:tcMar>
            <w:shd w:fill="1B365D"/>
          </w:tcPr>
          <w:p>
            <w:pPr>
              <w:spacing w:before="60" w:after="60"/>
            </w:pPr>
            <w:r>
              <w:rPr>
                <w:rFonts w:ascii="Arial" w:hAnsi="Arial"/>
                <w:b/>
                <w:color w:val="FFFFFF"/>
                <w:sz w:val="18"/>
              </w:rPr>
              <w:t>Algorithm</w:t>
            </w:r>
          </w:p>
        </w:tc>
        <w:tc>
          <w:tcPr>
            <w:tcW w:type="dxa" w:w="1296"/>
            <w:tcMar>
              <w:top w:w="100" w:type="dxa"/>
              <w:bottom w:w="100" w:type="dxa"/>
              <w:left w:w="120" w:type="dxa"/>
              <w:right w:w="120" w:type="dxa"/>
            </w:tcMar>
            <w:shd w:fill="1B365D"/>
          </w:tcPr>
          <w:p>
            <w:pPr>
              <w:spacing w:before="60" w:after="60"/>
            </w:pPr>
            <w:r>
              <w:rPr>
                <w:rFonts w:ascii="Arial" w:hAnsi="Arial"/>
                <w:b/>
                <w:color w:val="FFFFFF"/>
                <w:sz w:val="18"/>
              </w:rPr>
              <w:t>MAE (L)</w:t>
            </w:r>
          </w:p>
        </w:tc>
        <w:tc>
          <w:tcPr>
            <w:tcW w:type="dxa" w:w="1296"/>
            <w:tcMar>
              <w:top w:w="100" w:type="dxa"/>
              <w:bottom w:w="100" w:type="dxa"/>
              <w:left w:w="120" w:type="dxa"/>
              <w:right w:w="120" w:type="dxa"/>
            </w:tcMar>
            <w:shd w:fill="1B365D"/>
          </w:tcPr>
          <w:p>
            <w:pPr>
              <w:spacing w:before="60" w:after="60"/>
            </w:pPr>
            <w:r>
              <w:rPr>
                <w:rFonts w:ascii="Arial" w:hAnsi="Arial"/>
                <w:b/>
                <w:color w:val="FFFFFF"/>
                <w:sz w:val="18"/>
              </w:rPr>
              <w:t>RMSE (L)</w:t>
            </w:r>
          </w:p>
        </w:tc>
        <w:tc>
          <w:tcPr>
            <w:tcW w:type="dxa" w:w="1440"/>
            <w:tcMar>
              <w:top w:w="100" w:type="dxa"/>
              <w:bottom w:w="100" w:type="dxa"/>
              <w:left w:w="120" w:type="dxa"/>
              <w:right w:w="120" w:type="dxa"/>
            </w:tcMar>
            <w:shd w:fill="1B365D"/>
          </w:tcPr>
          <w:p>
            <w:pPr>
              <w:spacing w:before="60" w:after="60"/>
            </w:pPr>
            <w:r>
              <w:rPr>
                <w:rFonts w:ascii="Arial" w:hAnsi="Arial"/>
                <w:b/>
                <w:color w:val="FFFFFF"/>
                <w:sz w:val="18"/>
              </w:rPr>
              <w:t>MAPE (%)</w:t>
            </w:r>
          </w:p>
        </w:tc>
        <w:tc>
          <w:tcPr>
            <w:tcW w:type="dxa" w:w="1152"/>
            <w:tcMar>
              <w:top w:w="100" w:type="dxa"/>
              <w:bottom w:w="100" w:type="dxa"/>
              <w:left w:w="120" w:type="dxa"/>
              <w:right w:w="120" w:type="dxa"/>
            </w:tcMar>
            <w:shd w:fill="1B365D"/>
          </w:tcPr>
          <w:p>
            <w:pPr>
              <w:spacing w:before="60" w:after="60"/>
            </w:pPr>
            <w:r>
              <w:rPr>
                <w:rFonts w:ascii="Arial" w:hAnsi="Arial"/>
                <w:b/>
                <w:color w:val="FFFFFF"/>
                <w:sz w:val="18"/>
              </w:rPr>
              <w:t>R^2</w:t>
            </w:r>
          </w:p>
        </w:tc>
        <w:tc>
          <w:tcPr>
            <w:tcW w:type="dxa" w:w="1584"/>
            <w:tcMar>
              <w:top w:w="100" w:type="dxa"/>
              <w:bottom w:w="100" w:type="dxa"/>
              <w:left w:w="120" w:type="dxa"/>
              <w:right w:w="120" w:type="dxa"/>
            </w:tcMar>
            <w:shd w:fill="1B365D"/>
          </w:tcPr>
          <w:p>
            <w:pPr>
              <w:spacing w:before="60" w:after="60"/>
            </w:pPr>
            <w:r>
              <w:rPr>
                <w:rFonts w:ascii="Arial" w:hAnsi="Arial"/>
                <w:b/>
                <w:color w:val="FFFFFF"/>
                <w:sz w:val="18"/>
              </w:rPr>
              <w:t>5-Fold CV MAPE</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Baseline (Past 7d)</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67.07</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76.43</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6.62%</w:t>
            </w:r>
          </w:p>
        </w:tc>
        <w:tc>
          <w:tcPr>
            <w:tcW w:type="dxa" w:w="1152"/>
            <w:tcMar>
              <w:top w:w="100" w:type="dxa"/>
              <w:bottom w:w="100" w:type="dxa"/>
              <w:left w:w="120" w:type="dxa"/>
              <w:right w:w="120" w:type="dxa"/>
            </w:tcMar>
            <w:shd w:fill="F8FAFC"/>
          </w:tcPr>
          <w:p>
            <w:pPr>
              <w:spacing w:before="40" w:after="40"/>
            </w:pPr>
            <w:r>
              <w:rPr>
                <w:rFonts w:ascii="Arial" w:hAnsi="Arial"/>
                <w:color w:val="212529"/>
                <w:sz w:val="17"/>
              </w:rPr>
              <w:t>0.622</w:t>
            </w:r>
          </w:p>
        </w:tc>
        <w:tc>
          <w:tcPr>
            <w:tcW w:type="dxa" w:w="1584"/>
            <w:tcMar>
              <w:top w:w="100" w:type="dxa"/>
              <w:bottom w:w="100" w:type="dxa"/>
              <w:left w:w="120" w:type="dxa"/>
              <w:right w:w="120" w:type="dxa"/>
            </w:tcMar>
            <w:shd w:fill="F8FAFC"/>
          </w:tcPr>
          <w:p>
            <w:pPr>
              <w:spacing w:before="40" w:after="40"/>
            </w:pPr>
            <w:r>
              <w:rPr>
                <w:rFonts w:ascii="Arial" w:hAnsi="Arial"/>
                <w:color w:val="212529"/>
                <w:sz w:val="17"/>
              </w:rPr>
              <w:t>7.15% ± 1.1%</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ElasticNet</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85.86</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99.88</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8.19%</w:t>
            </w:r>
          </w:p>
        </w:tc>
        <w:tc>
          <w:tcPr>
            <w:tcW w:type="dxa" w:w="1152"/>
            <w:tcMar>
              <w:top w:w="100" w:type="dxa"/>
              <w:bottom w:w="100" w:type="dxa"/>
              <w:left w:w="120" w:type="dxa"/>
              <w:right w:w="120" w:type="dxa"/>
            </w:tcMar>
            <w:shd w:fill="FFFFFF"/>
          </w:tcPr>
          <w:p>
            <w:pPr>
              <w:spacing w:before="40" w:after="40"/>
            </w:pPr>
            <w:r>
              <w:rPr>
                <w:rFonts w:ascii="Arial" w:hAnsi="Arial"/>
                <w:color w:val="212529"/>
                <w:sz w:val="17"/>
              </w:rPr>
              <w:t>0.489</w:t>
            </w:r>
          </w:p>
        </w:tc>
        <w:tc>
          <w:tcPr>
            <w:tcW w:type="dxa" w:w="1584"/>
            <w:tcMar>
              <w:top w:w="100" w:type="dxa"/>
              <w:bottom w:w="100" w:type="dxa"/>
              <w:left w:w="120" w:type="dxa"/>
              <w:right w:w="120" w:type="dxa"/>
            </w:tcMar>
            <w:shd w:fill="FFFFFF"/>
          </w:tcPr>
          <w:p>
            <w:pPr>
              <w:spacing w:before="40" w:after="40"/>
            </w:pPr>
            <w:r>
              <w:rPr>
                <w:rFonts w:ascii="Arial" w:hAnsi="Arial"/>
                <w:color w:val="212529"/>
                <w:sz w:val="17"/>
              </w:rPr>
              <w:t>8.94% ± 1.4%</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Ridge Regression</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86.12</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100.15</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8.22%</w:t>
            </w:r>
          </w:p>
        </w:tc>
        <w:tc>
          <w:tcPr>
            <w:tcW w:type="dxa" w:w="1152"/>
            <w:tcMar>
              <w:top w:w="100" w:type="dxa"/>
              <w:bottom w:w="100" w:type="dxa"/>
              <w:left w:w="120" w:type="dxa"/>
              <w:right w:w="120" w:type="dxa"/>
            </w:tcMar>
            <w:shd w:fill="F8FAFC"/>
          </w:tcPr>
          <w:p>
            <w:pPr>
              <w:spacing w:before="40" w:after="40"/>
            </w:pPr>
            <w:r>
              <w:rPr>
                <w:rFonts w:ascii="Arial" w:hAnsi="Arial"/>
                <w:color w:val="212529"/>
                <w:sz w:val="17"/>
              </w:rPr>
              <w:t>0.485</w:t>
            </w:r>
          </w:p>
        </w:tc>
        <w:tc>
          <w:tcPr>
            <w:tcW w:type="dxa" w:w="1584"/>
            <w:tcMar>
              <w:top w:w="100" w:type="dxa"/>
              <w:bottom w:w="100" w:type="dxa"/>
              <w:left w:w="120" w:type="dxa"/>
              <w:right w:w="120" w:type="dxa"/>
            </w:tcMar>
            <w:shd w:fill="F8FAFC"/>
          </w:tcPr>
          <w:p>
            <w:pPr>
              <w:spacing w:before="40" w:after="40"/>
            </w:pPr>
            <w:r>
              <w:rPr>
                <w:rFonts w:ascii="Arial" w:hAnsi="Arial"/>
                <w:color w:val="212529"/>
                <w:sz w:val="17"/>
              </w:rPr>
              <w:t>9.02% ± 1.5%</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Hybrid Stacking</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88.45</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102.30</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8.45%</w:t>
            </w:r>
          </w:p>
        </w:tc>
        <w:tc>
          <w:tcPr>
            <w:tcW w:type="dxa" w:w="1152"/>
            <w:tcMar>
              <w:top w:w="100" w:type="dxa"/>
              <w:bottom w:w="100" w:type="dxa"/>
              <w:left w:w="120" w:type="dxa"/>
              <w:right w:w="120" w:type="dxa"/>
            </w:tcMar>
            <w:shd w:fill="FFFFFF"/>
          </w:tcPr>
          <w:p>
            <w:pPr>
              <w:spacing w:before="40" w:after="40"/>
            </w:pPr>
            <w:r>
              <w:rPr>
                <w:rFonts w:ascii="Arial" w:hAnsi="Arial"/>
                <w:color w:val="212529"/>
                <w:sz w:val="17"/>
              </w:rPr>
              <w:t>0.461</w:t>
            </w:r>
          </w:p>
        </w:tc>
        <w:tc>
          <w:tcPr>
            <w:tcW w:type="dxa" w:w="1584"/>
            <w:tcMar>
              <w:top w:w="100" w:type="dxa"/>
              <w:bottom w:w="100" w:type="dxa"/>
              <w:left w:w="120" w:type="dxa"/>
              <w:right w:w="120" w:type="dxa"/>
            </w:tcMar>
            <w:shd w:fill="FFFFFF"/>
          </w:tcPr>
          <w:p>
            <w:pPr>
              <w:spacing w:before="40" w:after="40"/>
            </w:pPr>
            <w:r>
              <w:rPr>
                <w:rFonts w:ascii="Arial" w:hAnsi="Arial"/>
                <w:color w:val="212529"/>
                <w:sz w:val="17"/>
              </w:rPr>
              <w:t>9.18% ± 1.6%</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Gradient Boosting</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89.50</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103.80</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8.58%</w:t>
            </w:r>
          </w:p>
        </w:tc>
        <w:tc>
          <w:tcPr>
            <w:tcW w:type="dxa" w:w="1152"/>
            <w:tcMar>
              <w:top w:w="100" w:type="dxa"/>
              <w:bottom w:w="100" w:type="dxa"/>
              <w:left w:w="120" w:type="dxa"/>
              <w:right w:w="120" w:type="dxa"/>
            </w:tcMar>
            <w:shd w:fill="F8FAFC"/>
          </w:tcPr>
          <w:p>
            <w:pPr>
              <w:spacing w:before="40" w:after="40"/>
            </w:pPr>
            <w:r>
              <w:rPr>
                <w:rFonts w:ascii="Arial" w:hAnsi="Arial"/>
                <w:color w:val="212529"/>
                <w:sz w:val="17"/>
              </w:rPr>
              <w:t>0.448</w:t>
            </w:r>
          </w:p>
        </w:tc>
        <w:tc>
          <w:tcPr>
            <w:tcW w:type="dxa" w:w="1584"/>
            <w:tcMar>
              <w:top w:w="100" w:type="dxa"/>
              <w:bottom w:w="100" w:type="dxa"/>
              <w:left w:w="120" w:type="dxa"/>
              <w:right w:w="120" w:type="dxa"/>
            </w:tcMar>
            <w:shd w:fill="F8FAFC"/>
          </w:tcPr>
          <w:p>
            <w:pPr>
              <w:spacing w:before="40" w:after="40"/>
            </w:pPr>
            <w:r>
              <w:rPr>
                <w:rFonts w:ascii="Arial" w:hAnsi="Arial"/>
                <w:color w:val="212529"/>
                <w:sz w:val="17"/>
              </w:rPr>
              <w:t>9.35% ± 1.8%</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XGBoost Regressor</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91.20</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105.40</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8.75%</w:t>
            </w:r>
          </w:p>
        </w:tc>
        <w:tc>
          <w:tcPr>
            <w:tcW w:type="dxa" w:w="1152"/>
            <w:tcMar>
              <w:top w:w="100" w:type="dxa"/>
              <w:bottom w:w="100" w:type="dxa"/>
              <w:left w:w="120" w:type="dxa"/>
              <w:right w:w="120" w:type="dxa"/>
            </w:tcMar>
            <w:shd w:fill="FFFFFF"/>
          </w:tcPr>
          <w:p>
            <w:pPr>
              <w:spacing w:before="40" w:after="40"/>
            </w:pPr>
            <w:r>
              <w:rPr>
                <w:rFonts w:ascii="Arial" w:hAnsi="Arial"/>
                <w:color w:val="212529"/>
                <w:sz w:val="17"/>
              </w:rPr>
              <w:t>0.432</w:t>
            </w:r>
          </w:p>
        </w:tc>
        <w:tc>
          <w:tcPr>
            <w:tcW w:type="dxa" w:w="1584"/>
            <w:tcMar>
              <w:top w:w="100" w:type="dxa"/>
              <w:bottom w:w="100" w:type="dxa"/>
              <w:left w:w="120" w:type="dxa"/>
              <w:right w:w="120" w:type="dxa"/>
            </w:tcMar>
            <w:shd w:fill="FFFFFF"/>
          </w:tcPr>
          <w:p>
            <w:pPr>
              <w:spacing w:before="40" w:after="40"/>
            </w:pPr>
            <w:r>
              <w:rPr>
                <w:rFonts w:ascii="Arial" w:hAnsi="Arial"/>
                <w:color w:val="212529"/>
                <w:sz w:val="17"/>
              </w:rPr>
              <w:t>9.62% ± 1.9%</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Random Forest</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107.15</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121.60</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10.27%</w:t>
            </w:r>
          </w:p>
        </w:tc>
        <w:tc>
          <w:tcPr>
            <w:tcW w:type="dxa" w:w="1152"/>
            <w:tcMar>
              <w:top w:w="100" w:type="dxa"/>
              <w:bottom w:w="100" w:type="dxa"/>
              <w:left w:w="120" w:type="dxa"/>
              <w:right w:w="120" w:type="dxa"/>
            </w:tcMar>
            <w:shd w:fill="F8FAFC"/>
          </w:tcPr>
          <w:p>
            <w:pPr>
              <w:spacing w:before="40" w:after="40"/>
            </w:pPr>
            <w:r>
              <w:rPr>
                <w:rFonts w:ascii="Arial" w:hAnsi="Arial"/>
                <w:color w:val="212529"/>
                <w:sz w:val="17"/>
              </w:rPr>
              <w:t>0.245</w:t>
            </w:r>
          </w:p>
        </w:tc>
        <w:tc>
          <w:tcPr>
            <w:tcW w:type="dxa" w:w="1584"/>
            <w:tcMar>
              <w:top w:w="100" w:type="dxa"/>
              <w:bottom w:w="100" w:type="dxa"/>
              <w:left w:w="120" w:type="dxa"/>
              <w:right w:w="120" w:type="dxa"/>
            </w:tcMar>
            <w:shd w:fill="F8FAFC"/>
          </w:tcPr>
          <w:p>
            <w:pPr>
              <w:spacing w:before="40" w:after="40"/>
            </w:pPr>
            <w:r>
              <w:rPr>
                <w:rFonts w:ascii="Arial" w:hAnsi="Arial"/>
                <w:color w:val="212529"/>
                <w:sz w:val="17"/>
              </w:rPr>
              <w:t>11.14% ± 2.2%</w:t>
            </w:r>
          </w:p>
        </w:tc>
      </w:tr>
    </w:tbl>
    <w:p>
      <w:pPr>
        <w:spacing w:before="80" w:after="240"/>
        <w:jc w:val="center"/>
      </w:pPr>
      <w:r>
        <w:rPr>
          <w:rFonts w:ascii="Arial" w:hAnsi="Arial"/>
          <w:i/>
          <w:color w:val="6C757D"/>
          <w:sz w:val="17"/>
        </w:rPr>
        <w:t>Figure: Official Model Benchmark Results across 7 Candidate Algorithms on Water Angel Telemetry</w:t>
      </w:r>
    </w:p>
    <w:p>
      <w:pPr>
        <w:spacing w:before="160"/>
      </w:pPr>
    </w:p>
    <w:p>
      <w:r>
        <w:drawing>
          <wp:inline xmlns:a="http://schemas.openxmlformats.org/drawingml/2006/main" xmlns:pic="http://schemas.openxmlformats.org/drawingml/2006/picture">
            <wp:extent cx="5669280" cy="2506977"/>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5669280" cy="2506977"/>
                    </a:xfrm>
                    <a:prstGeom prst="rect"/>
                  </pic:spPr>
                </pic:pic>
              </a:graphicData>
            </a:graphic>
          </wp:inline>
        </w:drawing>
      </w:r>
    </w:p>
    <w:p>
      <w:pPr>
        <w:spacing w:before="80" w:after="240"/>
        <w:jc w:val="center"/>
      </w:pPr>
      <w:r>
        <w:rPr>
          <w:rFonts w:ascii="Arial" w:hAnsi="Arial"/>
          <w:i/>
          <w:color w:val="6C757D"/>
          <w:sz w:val="17"/>
        </w:rPr>
        <w:t>Figure: Benchmark Comparison Chart: MAE, RMSE, and MAPE across Candidate Models</w:t>
      </w:r>
    </w:p>
    <w:p>
      <w:pPr>
        <w:pStyle w:val="Heading1"/>
        <w:keepNext/>
        <w:spacing w:before="400" w:after="120"/>
      </w:pPr>
      <w:r>
        <w:rPr>
          <w:rFonts w:ascii="Arial" w:hAnsi="Arial"/>
          <w:b/>
          <w:color w:val="1B365D"/>
          <w:sz w:val="32"/>
        </w:rPr>
        <w:t>6. In-Depth Analysis: Why Baseline &amp; ElasticNet Outperform Tree Models</w:t>
      </w:r>
    </w:p>
    <w:p>
      <w:pPr>
        <w:spacing w:after="80" w:line="276" w:lineRule="auto"/>
      </w:pPr>
      <w:r>
        <w:rPr>
          <w:rFonts w:ascii="Arial" w:hAnsi="Arial"/>
          <w:color w:val="212529"/>
          <w:sz w:val="19"/>
        </w:rPr>
        <w:t>A critical finding from our empirical benchmarking is that simpler regularized linear estimators (ElasticNet, Ridge) and the Baseline Persistence model significantly outperform complex non-linear tree models (XGBoost, Random Forest). While deep ensemble trees frequently dominate Kaggle tabular competitions, the physical and statistical characteristics of municipal water consumption invert this relationship. Below is the rigorous mathematical and domain analysis explaining this phenomenon:</w:t>
      </w:r>
    </w:p>
    <w:p>
      <w:pPr>
        <w:pStyle w:val="Heading2"/>
        <w:keepNext/>
        <w:spacing w:before="280" w:after="80"/>
      </w:pPr>
      <w:r>
        <w:rPr>
          <w:rFonts w:ascii="Arial" w:hAnsi="Arial"/>
          <w:b/>
          <w:color w:val="00A3E0"/>
          <w:sz w:val="25"/>
        </w:rPr>
        <w:t>6.1 High Autocorrelation of Household Water Habits (rho ≈ 0.93)</w:t>
      </w:r>
    </w:p>
    <w:p>
      <w:pPr>
        <w:spacing w:after="80" w:line="276" w:lineRule="auto"/>
      </w:pPr>
      <w:r>
        <w:rPr>
          <w:rFonts w:ascii="Arial" w:hAnsi="Arial"/>
          <w:color w:val="212529"/>
          <w:sz w:val="19"/>
        </w:rPr>
        <w:t>Domestic water consumption is governed by deeply entrenched human routines: daily morning hygiene, evening meal preparation, and scheduled weekend laundry. Statistical autocorrelation analysis of daily meter readings reveals a serial correlation of rho = 0.93 at a 7-day lag. In mathematical terms, the past 7-day sum (past_7d_liters) represents a nearly optimal minimum variance estimator of the subsequent 7 days. Complex models that attempt to learn non-linear decision boundaries introduce additional degrees of freedom that capture noise rather than genuine signal.</w:t>
      </w:r>
    </w:p>
    <w:p>
      <w:pPr>
        <w:pStyle w:val="Heading2"/>
        <w:keepNext/>
        <w:spacing w:before="280" w:after="80"/>
      </w:pPr>
      <w:r>
        <w:rPr>
          <w:rFonts w:ascii="Arial" w:hAnsi="Arial"/>
          <w:b/>
          <w:color w:val="00A3E0"/>
          <w:sz w:val="25"/>
        </w:rPr>
        <w:t>6.2 The Tree Extrapolation Barrier (Mathematical Proof)</w:t>
      </w:r>
    </w:p>
    <w:p>
      <w:pPr>
        <w:spacing w:after="80" w:line="276" w:lineRule="auto"/>
      </w:pPr>
      <w:r>
        <w:rPr>
          <w:rFonts w:ascii="Arial" w:hAnsi="Arial"/>
          <w:color w:val="212529"/>
          <w:sz w:val="19"/>
        </w:rPr>
        <w:t>Decision trees (and ensembles of decision trees such as Random Forest and XGBoost) partition the input feature space into orthogonal hyper-rectangles R_m. For any input feature vector x belonging to region R_m, the tree prediction is a constant value equal to the sample mean of training instances in that leaf:</w:t>
      </w:r>
    </w:p>
    <w:p>
      <w:pPr>
        <w:spacing w:after="80" w:line="276" w:lineRule="auto"/>
      </w:pPr>
      <w:r>
        <w:rPr>
          <w:rFonts w:ascii="Arial" w:hAnsi="Arial"/>
          <w:b/>
          <w:color w:val="212529"/>
          <w:sz w:val="19"/>
        </w:rPr>
        <w:t xml:space="preserve">Tree Leaf Equation: </w:t>
      </w:r>
      <w:r>
        <w:rPr>
          <w:rFonts w:ascii="Arial" w:hAnsi="Arial"/>
          <w:color w:val="212529"/>
          <w:sz w:val="19"/>
        </w:rPr>
        <w:t>f_tree(x) = Sum_{m=1 to M} c_m * I(x in R_m),  where c_m = avg(y_i for x_i in R_m)</w:t>
      </w:r>
    </w:p>
    <w:p>
      <w:pPr>
        <w:spacing w:after="80" w:line="276" w:lineRule="auto"/>
      </w:pPr>
      <w:r>
        <w:rPr>
          <w:rFonts w:ascii="Arial" w:hAnsi="Arial"/>
          <w:color w:val="212529"/>
          <w:sz w:val="19"/>
        </w:rPr>
        <w:t>A direct mathematical consequence of this formulation is that decision trees CANNOT extrapolate beyond the convex hull of training targets:</w:t>
      </w:r>
    </w:p>
    <w:p>
      <w:pPr>
        <w:spacing w:after="80" w:line="276" w:lineRule="auto"/>
      </w:pPr>
      <w:r>
        <w:rPr>
          <w:rFonts w:ascii="Arial" w:hAnsi="Arial"/>
          <w:b/>
          <w:color w:val="212529"/>
          <w:sz w:val="19"/>
        </w:rPr>
        <w:t xml:space="preserve">Extrapolation Bound: </w:t>
      </w:r>
      <w:r>
        <w:rPr>
          <w:rFonts w:ascii="Arial" w:hAnsi="Arial"/>
          <w:color w:val="212529"/>
          <w:sz w:val="19"/>
        </w:rPr>
        <w:t>min_{i} (y_i) &lt;= f_tree(x) &lt;= max_{i} (y_i)  for all x in R^D</w:t>
      </w:r>
    </w:p>
    <w:p>
      <w:pPr>
        <w:spacing w:after="80" w:line="276" w:lineRule="auto"/>
      </w:pPr>
      <w:r>
        <w:rPr>
          <w:rFonts w:ascii="Arial" w:hAnsi="Arial"/>
          <w:color w:val="212529"/>
          <w:sz w:val="19"/>
        </w:rPr>
        <w:t>During seasonal transitions (e.g., from spring to summer where average daily consumption rises from 110 L/day to 160 L/day), the future weekly target volume shifts to 1,120 L. However, if the maximum 7-day total observed in the training window was 950 L, a Random Forest or XGBoost model will cap its prediction at 950 L, producing severe systemic under-prediction errors. In contrast, ElasticNet and Ridge regression fit a continuous hyper-plane (y = X*beta + beta_0), allowing them to extrapolate linear seasonal trends indefinitely.</w:t>
      </w:r>
    </w:p>
    <w:p>
      <w:pPr>
        <w:pStyle w:val="Heading2"/>
        <w:keepNext/>
        <w:spacing w:before="280" w:after="80"/>
      </w:pPr>
      <w:r>
        <w:rPr>
          <w:rFonts w:ascii="Arial" w:hAnsi="Arial"/>
          <w:b/>
          <w:color w:val="00A3E0"/>
          <w:sz w:val="25"/>
        </w:rPr>
        <w:t>6.3 Leaf-Level Variance Overfitting</w:t>
      </w:r>
    </w:p>
    <w:p>
      <w:pPr>
        <w:spacing w:after="80" w:line="276" w:lineRule="auto"/>
      </w:pPr>
      <w:r>
        <w:rPr>
          <w:rFonts w:ascii="Arial" w:hAnsi="Arial"/>
          <w:color w:val="212529"/>
          <w:sz w:val="19"/>
        </w:rPr>
        <w:t>Tree models attempt to split on high-frequency noise (e.g., day_of_week, lag_1d vs. lag_3d differences). Because water consumption contains stochastic micro-fluctuations (taking a 15-minute shower instead of a 10-minute shower), tree splits over-fit to historical random spikes. Random Forest achieved a 10.27% MAPE because its individual trees split on irrelevant daily variations, degrading test generalization.</w:t>
      </w:r>
    </w:p>
    <w:p>
      <w:pPr>
        <w:pStyle w:val="Heading2"/>
        <w:keepNext/>
        <w:spacing w:before="280" w:after="80"/>
      </w:pPr>
      <w:r>
        <w:rPr>
          <w:rFonts w:ascii="Arial" w:hAnsi="Arial"/>
          <w:b/>
          <w:color w:val="00A3E0"/>
          <w:sz w:val="25"/>
        </w:rPr>
        <w:t>6.4 Strategic Allocation of Models Across Water Angel</w:t>
      </w:r>
    </w:p>
    <w:p>
      <w:pPr>
        <w:spacing w:after="80" w:line="276" w:lineRule="auto"/>
      </w:pPr>
      <w:r>
        <w:rPr>
          <w:rFonts w:ascii="Arial" w:hAnsi="Arial"/>
          <w:color w:val="212529"/>
          <w:sz w:val="19"/>
        </w:rPr>
        <w:t>This architectural discovery dictates the ideal division of labor across the Water Angel platform:</w:t>
      </w:r>
    </w:p>
    <w:p>
      <w:pPr>
        <w:pStyle w:val="ListBullet"/>
        <w:spacing w:after="60" w:line="276" w:lineRule="auto"/>
      </w:pPr>
      <w:r>
        <w:rPr>
          <w:rFonts w:ascii="Arial" w:hAnsi="Arial"/>
          <w:b/>
          <w:color w:val="1B365D"/>
          <w:sz w:val="19"/>
        </w:rPr>
        <w:t xml:space="preserve">Volume Forecasting Engine: </w:t>
      </w:r>
      <w:r>
        <w:rPr>
          <w:rFonts w:ascii="Arial" w:hAnsi="Arial"/>
          <w:color w:val="212529"/>
          <w:sz w:val="19"/>
        </w:rPr>
        <w:t>ElasticNet (or Baseline Persistence) is selected for production weekly volume prediction (lowest MAPE, zero extrapolation barrier, extreme computational efficiency).</w:t>
      </w:r>
    </w:p>
    <w:p>
      <w:pPr>
        <w:pStyle w:val="ListBullet"/>
        <w:spacing w:after="60" w:line="276" w:lineRule="auto"/>
      </w:pPr>
      <w:r>
        <w:rPr>
          <w:rFonts w:ascii="Arial" w:hAnsi="Arial"/>
          <w:b/>
          <w:color w:val="1B365D"/>
          <w:sz w:val="19"/>
        </w:rPr>
        <w:t xml:space="preserve">Guardian Anomaly &amp; Leak Detection: </w:t>
      </w:r>
      <w:r>
        <w:rPr>
          <w:rFonts w:ascii="Arial" w:hAnsi="Arial"/>
          <w:color w:val="212529"/>
          <w:sz w:val="19"/>
        </w:rPr>
        <w:t>XGBoost and Random Forest are reserved for pipe leak classification, fixture classification, and abnormal burst detection, where non-linear thresholds and step-function boundaries are highly advantageous.</w:t>
      </w:r>
    </w:p>
    <w:p>
      <w:pPr>
        <w:pStyle w:val="Heading1"/>
        <w:keepNext/>
        <w:spacing w:before="400" w:after="120"/>
      </w:pPr>
      <w:r>
        <w:rPr>
          <w:rFonts w:ascii="Arial" w:hAnsi="Arial"/>
          <w:b/>
          <w:color w:val="1B365D"/>
          <w:sz w:val="32"/>
        </w:rPr>
        <w:t>7. Explainable AI (XAI) &amp; SHAP Analysis</w:t>
      </w:r>
    </w:p>
    <w:p>
      <w:pPr>
        <w:spacing w:after="80" w:line="276" w:lineRule="auto"/>
      </w:pPr>
      <w:r>
        <w:rPr>
          <w:rFonts w:ascii="Arial" w:hAnsi="Arial"/>
          <w:color w:val="212529"/>
          <w:sz w:val="19"/>
        </w:rPr>
        <w:t>To ensure total transparency, regulatory trust, and user intelligibility, TreeSHAP (SHapley Additive exPlanations) was executed across the entire feature space. Rooted in cooperative game theory, SHAP attributes the exact marginal contribution of each feature toward moving the prediction away from the baseline expected value.</w:t>
      </w:r>
    </w:p>
    <w:p>
      <w:pPr>
        <w:pStyle w:val="Heading2"/>
        <w:keepNext/>
        <w:spacing w:before="280" w:after="80"/>
      </w:pPr>
      <w:r>
        <w:rPr>
          <w:rFonts w:ascii="Arial" w:hAnsi="Arial"/>
          <w:b/>
          <w:color w:val="00A3E0"/>
          <w:sz w:val="25"/>
        </w:rPr>
        <w:t>7.1 Ranked Feature Importance Table</w:t>
      </w:r>
    </w:p>
    <w:p>
      <w:pPr>
        <w:spacing w:after="80" w:line="276" w:lineRule="auto"/>
      </w:pPr>
      <w:r>
        <w:rPr>
          <w:rFonts w:ascii="Arial" w:hAnsi="Arial"/>
          <w:color w:val="212529"/>
          <w:sz w:val="19"/>
        </w:rPr>
        <w:t>The table below details the top predictive features ranked by their mean absolute SHAP value (impact in Liters):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1440"/>
            <w:tcMar>
              <w:top w:w="100" w:type="dxa"/>
              <w:bottom w:w="100" w:type="dxa"/>
              <w:left w:w="120" w:type="dxa"/>
              <w:right w:w="120" w:type="dxa"/>
            </w:tcMar>
            <w:shd w:fill="1B365D"/>
          </w:tcPr>
          <w:p>
            <w:pPr>
              <w:spacing w:before="60" w:after="60"/>
            </w:pPr>
            <w:r>
              <w:rPr>
                <w:rFonts w:ascii="Arial" w:hAnsi="Arial"/>
                <w:b/>
                <w:color w:val="FFFFFF"/>
                <w:sz w:val="18"/>
              </w:rPr>
              <w:t>Rank</w:t>
            </w:r>
          </w:p>
        </w:tc>
        <w:tc>
          <w:tcPr>
            <w:tcW w:type="dxa" w:w="3168"/>
            <w:tcMar>
              <w:top w:w="100" w:type="dxa"/>
              <w:bottom w:w="100" w:type="dxa"/>
              <w:left w:w="120" w:type="dxa"/>
              <w:right w:w="120" w:type="dxa"/>
            </w:tcMar>
            <w:shd w:fill="1B365D"/>
          </w:tcPr>
          <w:p>
            <w:pPr>
              <w:spacing w:before="60" w:after="60"/>
            </w:pPr>
            <w:r>
              <w:rPr>
                <w:rFonts w:ascii="Arial" w:hAnsi="Arial"/>
                <w:b/>
                <w:color w:val="FFFFFF"/>
                <w:sz w:val="18"/>
              </w:rPr>
              <w:t>Feature Name</w:t>
            </w:r>
          </w:p>
        </w:tc>
        <w:tc>
          <w:tcPr>
            <w:tcW w:type="dxa" w:w="2160"/>
            <w:tcMar>
              <w:top w:w="100" w:type="dxa"/>
              <w:bottom w:w="100" w:type="dxa"/>
              <w:left w:w="120" w:type="dxa"/>
              <w:right w:w="120" w:type="dxa"/>
            </w:tcMar>
            <w:shd w:fill="1B365D"/>
          </w:tcPr>
          <w:p>
            <w:pPr>
              <w:spacing w:before="60" w:after="60"/>
            </w:pPr>
            <w:r>
              <w:rPr>
                <w:rFonts w:ascii="Arial" w:hAnsi="Arial"/>
                <w:b/>
                <w:color w:val="FFFFFF"/>
                <w:sz w:val="18"/>
              </w:rPr>
              <w:t>Mean |SHAP| (L)</w:t>
            </w:r>
          </w:p>
        </w:tc>
        <w:tc>
          <w:tcPr>
            <w:tcW w:type="dxa" w:w="2592"/>
            <w:tcMar>
              <w:top w:w="100" w:type="dxa"/>
              <w:bottom w:w="100" w:type="dxa"/>
              <w:left w:w="120" w:type="dxa"/>
              <w:right w:w="120" w:type="dxa"/>
            </w:tcMar>
            <w:shd w:fill="1B365D"/>
          </w:tcPr>
          <w:p>
            <w:pPr>
              <w:spacing w:before="60" w:after="60"/>
            </w:pPr>
            <w:r>
              <w:rPr>
                <w:rFonts w:ascii="Arial" w:hAnsi="Arial"/>
                <w:b/>
                <w:color w:val="FFFFFF"/>
                <w:sz w:val="18"/>
              </w:rPr>
              <w:t>Physical Driver</w:t>
            </w:r>
          </w:p>
        </w:tc>
      </w:tr>
      <w:tr>
        <w:trPr>
          <w:cantSplit/>
        </w:trPr>
        <w:tc>
          <w:tcPr>
            <w:tcW w:type="dxa" w:w="1440"/>
            <w:tcMar>
              <w:top w:w="100" w:type="dxa"/>
              <w:bottom w:w="100" w:type="dxa"/>
              <w:left w:w="120" w:type="dxa"/>
              <w:right w:w="120" w:type="dxa"/>
            </w:tcMar>
            <w:shd w:fill="F8FAFC"/>
          </w:tcPr>
          <w:p>
            <w:pPr>
              <w:spacing w:before="40" w:after="40"/>
            </w:pPr>
            <w:r>
              <w:rPr>
                <w:rFonts w:ascii="Arial" w:hAnsi="Arial"/>
                <w:color w:val="212529"/>
                <w:sz w:val="17"/>
              </w:rPr>
              <w:t>#1</w:t>
            </w:r>
          </w:p>
        </w:tc>
        <w:tc>
          <w:tcPr>
            <w:tcW w:type="dxa" w:w="3168"/>
            <w:tcMar>
              <w:top w:w="100" w:type="dxa"/>
              <w:bottom w:w="100" w:type="dxa"/>
              <w:left w:w="120" w:type="dxa"/>
              <w:right w:w="120" w:type="dxa"/>
            </w:tcMar>
            <w:shd w:fill="F8FAFC"/>
          </w:tcPr>
          <w:p>
            <w:pPr>
              <w:spacing w:before="40" w:after="40"/>
            </w:pPr>
            <w:r>
              <w:rPr>
                <w:rFonts w:ascii="Arial" w:hAnsi="Arial"/>
                <w:color w:val="212529"/>
                <w:sz w:val="17"/>
              </w:rPr>
              <w:t>past_7d_liters</w:t>
            </w:r>
          </w:p>
        </w:tc>
        <w:tc>
          <w:tcPr>
            <w:tcW w:type="dxa" w:w="2160"/>
            <w:tcMar>
              <w:top w:w="100" w:type="dxa"/>
              <w:bottom w:w="100" w:type="dxa"/>
              <w:left w:w="120" w:type="dxa"/>
              <w:right w:w="120" w:type="dxa"/>
            </w:tcMar>
            <w:shd w:fill="F8FAFC"/>
          </w:tcPr>
          <w:p>
            <w:pPr>
              <w:spacing w:before="40" w:after="40"/>
            </w:pPr>
            <w:r>
              <w:rPr>
                <w:rFonts w:ascii="Arial" w:hAnsi="Arial"/>
                <w:color w:val="212529"/>
                <w:sz w:val="17"/>
              </w:rPr>
              <w:t>73.89 L</w:t>
            </w:r>
          </w:p>
        </w:tc>
        <w:tc>
          <w:tcPr>
            <w:tcW w:type="dxa" w:w="2592"/>
            <w:tcMar>
              <w:top w:w="100" w:type="dxa"/>
              <w:bottom w:w="100" w:type="dxa"/>
              <w:left w:w="120" w:type="dxa"/>
              <w:right w:w="120" w:type="dxa"/>
            </w:tcMar>
            <w:shd w:fill="F8FAFC"/>
          </w:tcPr>
          <w:p>
            <w:pPr>
              <w:spacing w:before="40" w:after="40"/>
            </w:pPr>
            <w:r>
              <w:rPr>
                <w:rFonts w:ascii="Arial" w:hAnsi="Arial"/>
                <w:color w:val="212529"/>
                <w:sz w:val="17"/>
              </w:rPr>
              <w:t>Habitual anchor; baseline demand.</w:t>
            </w:r>
          </w:p>
        </w:tc>
      </w:tr>
      <w:tr>
        <w:trPr>
          <w:cantSplit/>
        </w:trPr>
        <w:tc>
          <w:tcPr>
            <w:tcW w:type="dxa" w:w="1440"/>
            <w:tcMar>
              <w:top w:w="100" w:type="dxa"/>
              <w:bottom w:w="100" w:type="dxa"/>
              <w:left w:w="120" w:type="dxa"/>
              <w:right w:w="120" w:type="dxa"/>
            </w:tcMar>
            <w:shd w:fill="FFFFFF"/>
          </w:tcPr>
          <w:p>
            <w:pPr>
              <w:spacing w:before="40" w:after="40"/>
            </w:pPr>
            <w:r>
              <w:rPr>
                <w:rFonts w:ascii="Arial" w:hAnsi="Arial"/>
                <w:color w:val="212529"/>
                <w:sz w:val="17"/>
              </w:rPr>
              <w:t>#2</w:t>
            </w:r>
          </w:p>
        </w:tc>
        <w:tc>
          <w:tcPr>
            <w:tcW w:type="dxa" w:w="3168"/>
            <w:tcMar>
              <w:top w:w="100" w:type="dxa"/>
              <w:bottom w:w="100" w:type="dxa"/>
              <w:left w:w="120" w:type="dxa"/>
              <w:right w:w="120" w:type="dxa"/>
            </w:tcMar>
            <w:shd w:fill="FFFFFF"/>
          </w:tcPr>
          <w:p>
            <w:pPr>
              <w:spacing w:before="40" w:after="40"/>
            </w:pPr>
            <w:r>
              <w:rPr>
                <w:rFonts w:ascii="Arial" w:hAnsi="Arial"/>
                <w:color w:val="212529"/>
                <w:sz w:val="17"/>
              </w:rPr>
              <w:t>rolling_mean_7</w:t>
            </w:r>
          </w:p>
        </w:tc>
        <w:tc>
          <w:tcPr>
            <w:tcW w:type="dxa" w:w="2160"/>
            <w:tcMar>
              <w:top w:w="100" w:type="dxa"/>
              <w:bottom w:w="100" w:type="dxa"/>
              <w:left w:w="120" w:type="dxa"/>
              <w:right w:w="120" w:type="dxa"/>
            </w:tcMar>
            <w:shd w:fill="FFFFFF"/>
          </w:tcPr>
          <w:p>
            <w:pPr>
              <w:spacing w:before="40" w:after="40"/>
            </w:pPr>
            <w:r>
              <w:rPr>
                <w:rFonts w:ascii="Arial" w:hAnsi="Arial"/>
                <w:color w:val="212529"/>
                <w:sz w:val="17"/>
              </w:rPr>
              <w:t>45.73 L</w:t>
            </w:r>
          </w:p>
        </w:tc>
        <w:tc>
          <w:tcPr>
            <w:tcW w:type="dxa" w:w="2592"/>
            <w:tcMar>
              <w:top w:w="100" w:type="dxa"/>
              <w:bottom w:w="100" w:type="dxa"/>
              <w:left w:w="120" w:type="dxa"/>
              <w:right w:w="120" w:type="dxa"/>
            </w:tcMar>
            <w:shd w:fill="FFFFFF"/>
          </w:tcPr>
          <w:p>
            <w:pPr>
              <w:spacing w:before="40" w:after="40"/>
            </w:pPr>
            <w:r>
              <w:rPr>
                <w:rFonts w:ascii="Arial" w:hAnsi="Arial"/>
                <w:color w:val="212529"/>
                <w:sz w:val="17"/>
              </w:rPr>
              <w:t>Short-term consumption velocity.</w:t>
            </w:r>
          </w:p>
        </w:tc>
      </w:tr>
      <w:tr>
        <w:trPr>
          <w:cantSplit/>
        </w:trPr>
        <w:tc>
          <w:tcPr>
            <w:tcW w:type="dxa" w:w="1440"/>
            <w:tcMar>
              <w:top w:w="100" w:type="dxa"/>
              <w:bottom w:w="100" w:type="dxa"/>
              <w:left w:w="120" w:type="dxa"/>
              <w:right w:w="120" w:type="dxa"/>
            </w:tcMar>
            <w:shd w:fill="F8FAFC"/>
          </w:tcPr>
          <w:p>
            <w:pPr>
              <w:spacing w:before="40" w:after="40"/>
            </w:pPr>
            <w:r>
              <w:rPr>
                <w:rFonts w:ascii="Arial" w:hAnsi="Arial"/>
                <w:color w:val="212529"/>
                <w:sz w:val="17"/>
              </w:rPr>
              <w:t>#3</w:t>
            </w:r>
          </w:p>
        </w:tc>
        <w:tc>
          <w:tcPr>
            <w:tcW w:type="dxa" w:w="3168"/>
            <w:tcMar>
              <w:top w:w="100" w:type="dxa"/>
              <w:bottom w:w="100" w:type="dxa"/>
              <w:left w:w="120" w:type="dxa"/>
              <w:right w:w="120" w:type="dxa"/>
            </w:tcMar>
            <w:shd w:fill="F8FAFC"/>
          </w:tcPr>
          <w:p>
            <w:pPr>
              <w:spacing w:before="40" w:after="40"/>
            </w:pPr>
            <w:r>
              <w:rPr>
                <w:rFonts w:ascii="Arial" w:hAnsi="Arial"/>
                <w:color w:val="212529"/>
                <w:sz w:val="17"/>
              </w:rPr>
              <w:t>day_of_year</w:t>
            </w:r>
          </w:p>
        </w:tc>
        <w:tc>
          <w:tcPr>
            <w:tcW w:type="dxa" w:w="2160"/>
            <w:tcMar>
              <w:top w:w="100" w:type="dxa"/>
              <w:bottom w:w="100" w:type="dxa"/>
              <w:left w:w="120" w:type="dxa"/>
              <w:right w:w="120" w:type="dxa"/>
            </w:tcMar>
            <w:shd w:fill="F8FAFC"/>
          </w:tcPr>
          <w:p>
            <w:pPr>
              <w:spacing w:before="40" w:after="40"/>
            </w:pPr>
            <w:r>
              <w:rPr>
                <w:rFonts w:ascii="Arial" w:hAnsi="Arial"/>
                <w:color w:val="212529"/>
                <w:sz w:val="17"/>
              </w:rPr>
              <w:t>38.32 L</w:t>
            </w:r>
          </w:p>
        </w:tc>
        <w:tc>
          <w:tcPr>
            <w:tcW w:type="dxa" w:w="2592"/>
            <w:tcMar>
              <w:top w:w="100" w:type="dxa"/>
              <w:bottom w:w="100" w:type="dxa"/>
              <w:left w:w="120" w:type="dxa"/>
              <w:right w:w="120" w:type="dxa"/>
            </w:tcMar>
            <w:shd w:fill="F8FAFC"/>
          </w:tcPr>
          <w:p>
            <w:pPr>
              <w:spacing w:before="40" w:after="40"/>
            </w:pPr>
            <w:r>
              <w:rPr>
                <w:rFonts w:ascii="Arial" w:hAnsi="Arial"/>
                <w:color w:val="212529"/>
                <w:sz w:val="17"/>
              </w:rPr>
              <w:t>Seasonal curve &amp; outdoor temperature.</w:t>
            </w:r>
          </w:p>
        </w:tc>
      </w:tr>
      <w:tr>
        <w:trPr>
          <w:cantSplit/>
        </w:trPr>
        <w:tc>
          <w:tcPr>
            <w:tcW w:type="dxa" w:w="1440"/>
            <w:tcMar>
              <w:top w:w="100" w:type="dxa"/>
              <w:bottom w:w="100" w:type="dxa"/>
              <w:left w:w="120" w:type="dxa"/>
              <w:right w:w="120" w:type="dxa"/>
            </w:tcMar>
            <w:shd w:fill="FFFFFF"/>
          </w:tcPr>
          <w:p>
            <w:pPr>
              <w:spacing w:before="40" w:after="40"/>
            </w:pPr>
            <w:r>
              <w:rPr>
                <w:rFonts w:ascii="Arial" w:hAnsi="Arial"/>
                <w:color w:val="212529"/>
                <w:sz w:val="17"/>
              </w:rPr>
              <w:t>#4</w:t>
            </w:r>
          </w:p>
        </w:tc>
        <w:tc>
          <w:tcPr>
            <w:tcW w:type="dxa" w:w="3168"/>
            <w:tcMar>
              <w:top w:w="100" w:type="dxa"/>
              <w:bottom w:w="100" w:type="dxa"/>
              <w:left w:w="120" w:type="dxa"/>
              <w:right w:w="120" w:type="dxa"/>
            </w:tcMar>
            <w:shd w:fill="FFFFFF"/>
          </w:tcPr>
          <w:p>
            <w:pPr>
              <w:spacing w:before="40" w:after="40"/>
            </w:pPr>
            <w:r>
              <w:rPr>
                <w:rFonts w:ascii="Arial" w:hAnsi="Arial"/>
                <w:color w:val="212529"/>
                <w:sz w:val="17"/>
              </w:rPr>
              <w:t>rolling_mean_30</w:t>
            </w:r>
          </w:p>
        </w:tc>
        <w:tc>
          <w:tcPr>
            <w:tcW w:type="dxa" w:w="2160"/>
            <w:tcMar>
              <w:top w:w="100" w:type="dxa"/>
              <w:bottom w:w="100" w:type="dxa"/>
              <w:left w:w="120" w:type="dxa"/>
              <w:right w:w="120" w:type="dxa"/>
            </w:tcMar>
            <w:shd w:fill="FFFFFF"/>
          </w:tcPr>
          <w:p>
            <w:pPr>
              <w:spacing w:before="40" w:after="40"/>
            </w:pPr>
            <w:r>
              <w:rPr>
                <w:rFonts w:ascii="Arial" w:hAnsi="Arial"/>
                <w:color w:val="212529"/>
                <w:sz w:val="17"/>
              </w:rPr>
              <w:t>11.32 L</w:t>
            </w:r>
          </w:p>
        </w:tc>
        <w:tc>
          <w:tcPr>
            <w:tcW w:type="dxa" w:w="2592"/>
            <w:tcMar>
              <w:top w:w="100" w:type="dxa"/>
              <w:bottom w:w="100" w:type="dxa"/>
              <w:left w:w="120" w:type="dxa"/>
              <w:right w:w="120" w:type="dxa"/>
            </w:tcMar>
            <w:shd w:fill="FFFFFF"/>
          </w:tcPr>
          <w:p>
            <w:pPr>
              <w:spacing w:before="40" w:after="40"/>
            </w:pPr>
            <w:r>
              <w:rPr>
                <w:rFonts w:ascii="Arial" w:hAnsi="Arial"/>
                <w:color w:val="212529"/>
                <w:sz w:val="17"/>
              </w:rPr>
              <w:t>Long-term household occupancy baseline.</w:t>
            </w:r>
          </w:p>
        </w:tc>
      </w:tr>
      <w:tr>
        <w:trPr>
          <w:cantSplit/>
        </w:trPr>
        <w:tc>
          <w:tcPr>
            <w:tcW w:type="dxa" w:w="1440"/>
            <w:tcMar>
              <w:top w:w="100" w:type="dxa"/>
              <w:bottom w:w="100" w:type="dxa"/>
              <w:left w:w="120" w:type="dxa"/>
              <w:right w:w="120" w:type="dxa"/>
            </w:tcMar>
            <w:shd w:fill="F8FAFC"/>
          </w:tcPr>
          <w:p>
            <w:pPr>
              <w:spacing w:before="40" w:after="40"/>
            </w:pPr>
            <w:r>
              <w:rPr>
                <w:rFonts w:ascii="Arial" w:hAnsi="Arial"/>
                <w:color w:val="212529"/>
                <w:sz w:val="17"/>
              </w:rPr>
              <w:t>#5</w:t>
            </w:r>
          </w:p>
        </w:tc>
        <w:tc>
          <w:tcPr>
            <w:tcW w:type="dxa" w:w="3168"/>
            <w:tcMar>
              <w:top w:w="100" w:type="dxa"/>
              <w:bottom w:w="100" w:type="dxa"/>
              <w:left w:w="120" w:type="dxa"/>
              <w:right w:w="120" w:type="dxa"/>
            </w:tcMar>
            <w:shd w:fill="F8FAFC"/>
          </w:tcPr>
          <w:p>
            <w:pPr>
              <w:spacing w:before="40" w:after="40"/>
            </w:pPr>
            <w:r>
              <w:rPr>
                <w:rFonts w:ascii="Arial" w:hAnsi="Arial"/>
                <w:color w:val="212529"/>
                <w:sz w:val="17"/>
              </w:rPr>
              <w:t>lag_14d</w:t>
            </w:r>
          </w:p>
        </w:tc>
        <w:tc>
          <w:tcPr>
            <w:tcW w:type="dxa" w:w="2160"/>
            <w:tcMar>
              <w:top w:w="100" w:type="dxa"/>
              <w:bottom w:w="100" w:type="dxa"/>
              <w:left w:w="120" w:type="dxa"/>
              <w:right w:w="120" w:type="dxa"/>
            </w:tcMar>
            <w:shd w:fill="F8FAFC"/>
          </w:tcPr>
          <w:p>
            <w:pPr>
              <w:spacing w:before="40" w:after="40"/>
            </w:pPr>
            <w:r>
              <w:rPr>
                <w:rFonts w:ascii="Arial" w:hAnsi="Arial"/>
                <w:color w:val="212529"/>
                <w:sz w:val="17"/>
              </w:rPr>
              <w:t>8.75 L</w:t>
            </w:r>
          </w:p>
        </w:tc>
        <w:tc>
          <w:tcPr>
            <w:tcW w:type="dxa" w:w="2592"/>
            <w:tcMar>
              <w:top w:w="100" w:type="dxa"/>
              <w:bottom w:w="100" w:type="dxa"/>
              <w:left w:w="120" w:type="dxa"/>
              <w:right w:w="120" w:type="dxa"/>
            </w:tcMar>
            <w:shd w:fill="F8FAFC"/>
          </w:tcPr>
          <w:p>
            <w:pPr>
              <w:spacing w:before="40" w:after="40"/>
            </w:pPr>
            <w:r>
              <w:rPr>
                <w:rFonts w:ascii="Arial" w:hAnsi="Arial"/>
                <w:color w:val="212529"/>
                <w:sz w:val="17"/>
              </w:rPr>
              <w:t>Bi-weekly periodicity confirmation.</w:t>
            </w:r>
          </w:p>
        </w:tc>
      </w:tr>
      <w:tr>
        <w:trPr>
          <w:cantSplit/>
        </w:trPr>
        <w:tc>
          <w:tcPr>
            <w:tcW w:type="dxa" w:w="1440"/>
            <w:tcMar>
              <w:top w:w="100" w:type="dxa"/>
              <w:bottom w:w="100" w:type="dxa"/>
              <w:left w:w="120" w:type="dxa"/>
              <w:right w:w="120" w:type="dxa"/>
            </w:tcMar>
            <w:shd w:fill="FFFFFF"/>
          </w:tcPr>
          <w:p>
            <w:pPr>
              <w:spacing w:before="40" w:after="40"/>
            </w:pPr>
            <w:r>
              <w:rPr>
                <w:rFonts w:ascii="Arial" w:hAnsi="Arial"/>
                <w:color w:val="212529"/>
                <w:sz w:val="17"/>
              </w:rPr>
              <w:t>#6</w:t>
            </w:r>
          </w:p>
        </w:tc>
        <w:tc>
          <w:tcPr>
            <w:tcW w:type="dxa" w:w="3168"/>
            <w:tcMar>
              <w:top w:w="100" w:type="dxa"/>
              <w:bottom w:w="100" w:type="dxa"/>
              <w:left w:w="120" w:type="dxa"/>
              <w:right w:w="120" w:type="dxa"/>
            </w:tcMar>
            <w:shd w:fill="FFFFFF"/>
          </w:tcPr>
          <w:p>
            <w:pPr>
              <w:spacing w:before="40" w:after="40"/>
            </w:pPr>
            <w:r>
              <w:rPr>
                <w:rFonts w:ascii="Arial" w:hAnsi="Arial"/>
                <w:color w:val="212529"/>
                <w:sz w:val="17"/>
              </w:rPr>
              <w:t>rolling_std_7</w:t>
            </w:r>
          </w:p>
        </w:tc>
        <w:tc>
          <w:tcPr>
            <w:tcW w:type="dxa" w:w="2160"/>
            <w:tcMar>
              <w:top w:w="100" w:type="dxa"/>
              <w:bottom w:w="100" w:type="dxa"/>
              <w:left w:w="120" w:type="dxa"/>
              <w:right w:w="120" w:type="dxa"/>
            </w:tcMar>
            <w:shd w:fill="FFFFFF"/>
          </w:tcPr>
          <w:p>
            <w:pPr>
              <w:spacing w:before="40" w:after="40"/>
            </w:pPr>
            <w:r>
              <w:rPr>
                <w:rFonts w:ascii="Arial" w:hAnsi="Arial"/>
                <w:color w:val="212529"/>
                <w:sz w:val="17"/>
              </w:rPr>
              <w:t>6.41 L</w:t>
            </w:r>
          </w:p>
        </w:tc>
        <w:tc>
          <w:tcPr>
            <w:tcW w:type="dxa" w:w="2592"/>
            <w:tcMar>
              <w:top w:w="100" w:type="dxa"/>
              <w:bottom w:w="100" w:type="dxa"/>
              <w:left w:w="120" w:type="dxa"/>
              <w:right w:w="120" w:type="dxa"/>
            </w:tcMar>
            <w:shd w:fill="FFFFFF"/>
          </w:tcPr>
          <w:p>
            <w:pPr>
              <w:spacing w:before="40" w:after="40"/>
            </w:pPr>
            <w:r>
              <w:rPr>
                <w:rFonts w:ascii="Arial" w:hAnsi="Arial"/>
                <w:color w:val="212529"/>
                <w:sz w:val="17"/>
              </w:rPr>
              <w:t>Household volatility and routine stability.</w:t>
            </w:r>
          </w:p>
        </w:tc>
      </w:tr>
      <w:tr>
        <w:trPr>
          <w:cantSplit/>
        </w:trPr>
        <w:tc>
          <w:tcPr>
            <w:tcW w:type="dxa" w:w="1440"/>
            <w:tcMar>
              <w:top w:w="100" w:type="dxa"/>
              <w:bottom w:w="100" w:type="dxa"/>
              <w:left w:w="120" w:type="dxa"/>
              <w:right w:w="120" w:type="dxa"/>
            </w:tcMar>
            <w:shd w:fill="F8FAFC"/>
          </w:tcPr>
          <w:p>
            <w:pPr>
              <w:spacing w:before="40" w:after="40"/>
            </w:pPr>
            <w:r>
              <w:rPr>
                <w:rFonts w:ascii="Arial" w:hAnsi="Arial"/>
                <w:color w:val="212529"/>
                <w:sz w:val="17"/>
              </w:rPr>
              <w:t>#7</w:t>
            </w:r>
          </w:p>
        </w:tc>
        <w:tc>
          <w:tcPr>
            <w:tcW w:type="dxa" w:w="3168"/>
            <w:tcMar>
              <w:top w:w="100" w:type="dxa"/>
              <w:bottom w:w="100" w:type="dxa"/>
              <w:left w:w="120" w:type="dxa"/>
              <w:right w:w="120" w:type="dxa"/>
            </w:tcMar>
            <w:shd w:fill="F8FAFC"/>
          </w:tcPr>
          <w:p>
            <w:pPr>
              <w:spacing w:before="40" w:after="40"/>
            </w:pPr>
            <w:r>
              <w:rPr>
                <w:rFonts w:ascii="Arial" w:hAnsi="Arial"/>
                <w:color w:val="212529"/>
                <w:sz w:val="17"/>
              </w:rPr>
              <w:t>consumption_momentum_7</w:t>
            </w:r>
          </w:p>
        </w:tc>
        <w:tc>
          <w:tcPr>
            <w:tcW w:type="dxa" w:w="2160"/>
            <w:tcMar>
              <w:top w:w="100" w:type="dxa"/>
              <w:bottom w:w="100" w:type="dxa"/>
              <w:left w:w="120" w:type="dxa"/>
              <w:right w:w="120" w:type="dxa"/>
            </w:tcMar>
            <w:shd w:fill="F8FAFC"/>
          </w:tcPr>
          <w:p>
            <w:pPr>
              <w:spacing w:before="40" w:after="40"/>
            </w:pPr>
            <w:r>
              <w:rPr>
                <w:rFonts w:ascii="Arial" w:hAnsi="Arial"/>
                <w:color w:val="212529"/>
                <w:sz w:val="17"/>
              </w:rPr>
              <w:t>4.82 L</w:t>
            </w:r>
          </w:p>
        </w:tc>
        <w:tc>
          <w:tcPr>
            <w:tcW w:type="dxa" w:w="2592"/>
            <w:tcMar>
              <w:top w:w="100" w:type="dxa"/>
              <w:bottom w:w="100" w:type="dxa"/>
              <w:left w:w="120" w:type="dxa"/>
              <w:right w:w="120" w:type="dxa"/>
            </w:tcMar>
            <w:shd w:fill="F8FAFC"/>
          </w:tcPr>
          <w:p>
            <w:pPr>
              <w:spacing w:before="40" w:after="40"/>
            </w:pPr>
            <w:r>
              <w:rPr>
                <w:rFonts w:ascii="Arial" w:hAnsi="Arial"/>
                <w:color w:val="212529"/>
                <w:sz w:val="17"/>
              </w:rPr>
              <w:t>Acceleration / surge indicator.</w:t>
            </w:r>
          </w:p>
        </w:tc>
      </w:tr>
      <w:tr>
        <w:trPr>
          <w:cantSplit/>
        </w:trPr>
        <w:tc>
          <w:tcPr>
            <w:tcW w:type="dxa" w:w="1440"/>
            <w:tcMar>
              <w:top w:w="100" w:type="dxa"/>
              <w:bottom w:w="100" w:type="dxa"/>
              <w:left w:w="120" w:type="dxa"/>
              <w:right w:w="120" w:type="dxa"/>
            </w:tcMar>
            <w:shd w:fill="FFFFFF"/>
          </w:tcPr>
          <w:p>
            <w:pPr>
              <w:spacing w:before="40" w:after="40"/>
            </w:pPr>
            <w:r>
              <w:rPr>
                <w:rFonts w:ascii="Arial" w:hAnsi="Arial"/>
                <w:color w:val="212529"/>
                <w:sz w:val="17"/>
              </w:rPr>
              <w:t>#8</w:t>
            </w:r>
          </w:p>
        </w:tc>
        <w:tc>
          <w:tcPr>
            <w:tcW w:type="dxa" w:w="3168"/>
            <w:tcMar>
              <w:top w:w="100" w:type="dxa"/>
              <w:bottom w:w="100" w:type="dxa"/>
              <w:left w:w="120" w:type="dxa"/>
              <w:right w:w="120" w:type="dxa"/>
            </w:tcMar>
            <w:shd w:fill="FFFFFF"/>
          </w:tcPr>
          <w:p>
            <w:pPr>
              <w:spacing w:before="40" w:after="40"/>
            </w:pPr>
            <w:r>
              <w:rPr>
                <w:rFonts w:ascii="Arial" w:hAnsi="Arial"/>
                <w:color w:val="212529"/>
                <w:sz w:val="17"/>
              </w:rPr>
              <w:t>month</w:t>
            </w:r>
          </w:p>
        </w:tc>
        <w:tc>
          <w:tcPr>
            <w:tcW w:type="dxa" w:w="2160"/>
            <w:tcMar>
              <w:top w:w="100" w:type="dxa"/>
              <w:bottom w:w="100" w:type="dxa"/>
              <w:left w:w="120" w:type="dxa"/>
              <w:right w:w="120" w:type="dxa"/>
            </w:tcMar>
            <w:shd w:fill="FFFFFF"/>
          </w:tcPr>
          <w:p>
            <w:pPr>
              <w:spacing w:before="40" w:after="40"/>
            </w:pPr>
            <w:r>
              <w:rPr>
                <w:rFonts w:ascii="Arial" w:hAnsi="Arial"/>
                <w:color w:val="212529"/>
                <w:sz w:val="17"/>
              </w:rPr>
              <w:t>3.95 L</w:t>
            </w:r>
          </w:p>
        </w:tc>
        <w:tc>
          <w:tcPr>
            <w:tcW w:type="dxa" w:w="2592"/>
            <w:tcMar>
              <w:top w:w="100" w:type="dxa"/>
              <w:bottom w:w="100" w:type="dxa"/>
              <w:left w:w="120" w:type="dxa"/>
              <w:right w:w="120" w:type="dxa"/>
            </w:tcMar>
            <w:shd w:fill="FFFFFF"/>
          </w:tcPr>
          <w:p>
            <w:pPr>
              <w:spacing w:before="40" w:after="40"/>
            </w:pPr>
            <w:r>
              <w:rPr>
                <w:rFonts w:ascii="Arial" w:hAnsi="Arial"/>
                <w:color w:val="212529"/>
                <w:sz w:val="17"/>
              </w:rPr>
              <w:t>Macro climate &amp; billing cycle boundary.</w:t>
            </w:r>
          </w:p>
        </w:tc>
      </w:tr>
      <w:tr>
        <w:trPr>
          <w:cantSplit/>
        </w:trPr>
        <w:tc>
          <w:tcPr>
            <w:tcW w:type="dxa" w:w="1440"/>
            <w:tcMar>
              <w:top w:w="100" w:type="dxa"/>
              <w:bottom w:w="100" w:type="dxa"/>
              <w:left w:w="120" w:type="dxa"/>
              <w:right w:w="120" w:type="dxa"/>
            </w:tcMar>
            <w:shd w:fill="F8FAFC"/>
          </w:tcPr>
          <w:p>
            <w:pPr>
              <w:spacing w:before="40" w:after="40"/>
            </w:pPr>
            <w:r>
              <w:rPr>
                <w:rFonts w:ascii="Arial" w:hAnsi="Arial"/>
                <w:color w:val="212529"/>
                <w:sz w:val="17"/>
              </w:rPr>
              <w:t>#9</w:t>
            </w:r>
          </w:p>
        </w:tc>
        <w:tc>
          <w:tcPr>
            <w:tcW w:type="dxa" w:w="3168"/>
            <w:tcMar>
              <w:top w:w="100" w:type="dxa"/>
              <w:bottom w:w="100" w:type="dxa"/>
              <w:left w:w="120" w:type="dxa"/>
              <w:right w:w="120" w:type="dxa"/>
            </w:tcMar>
            <w:shd w:fill="F8FAFC"/>
          </w:tcPr>
          <w:p>
            <w:pPr>
              <w:spacing w:before="40" w:after="40"/>
            </w:pPr>
            <w:r>
              <w:rPr>
                <w:rFonts w:ascii="Arial" w:hAnsi="Arial"/>
                <w:color w:val="212529"/>
                <w:sz w:val="17"/>
              </w:rPr>
              <w:t>lag_7d</w:t>
            </w:r>
          </w:p>
        </w:tc>
        <w:tc>
          <w:tcPr>
            <w:tcW w:type="dxa" w:w="2160"/>
            <w:tcMar>
              <w:top w:w="100" w:type="dxa"/>
              <w:bottom w:w="100" w:type="dxa"/>
              <w:left w:w="120" w:type="dxa"/>
              <w:right w:w="120" w:type="dxa"/>
            </w:tcMar>
            <w:shd w:fill="F8FAFC"/>
          </w:tcPr>
          <w:p>
            <w:pPr>
              <w:spacing w:before="40" w:after="40"/>
            </w:pPr>
            <w:r>
              <w:rPr>
                <w:rFonts w:ascii="Arial" w:hAnsi="Arial"/>
                <w:color w:val="212529"/>
                <w:sz w:val="17"/>
              </w:rPr>
              <w:t>3.21 L</w:t>
            </w:r>
          </w:p>
        </w:tc>
        <w:tc>
          <w:tcPr>
            <w:tcW w:type="dxa" w:w="2592"/>
            <w:tcMar>
              <w:top w:w="100" w:type="dxa"/>
              <w:bottom w:w="100" w:type="dxa"/>
              <w:left w:w="120" w:type="dxa"/>
              <w:right w:w="120" w:type="dxa"/>
            </w:tcMar>
            <w:shd w:fill="F8FAFC"/>
          </w:tcPr>
          <w:p>
            <w:pPr>
              <w:spacing w:before="40" w:after="40"/>
            </w:pPr>
            <w:r>
              <w:rPr>
                <w:rFonts w:ascii="Arial" w:hAnsi="Arial"/>
                <w:color w:val="212529"/>
                <w:sz w:val="17"/>
              </w:rPr>
              <w:t>Day-of-week recurrence signal.</w:t>
            </w:r>
          </w:p>
        </w:tc>
      </w:tr>
      <w:tr>
        <w:trPr>
          <w:cantSplit/>
        </w:trPr>
        <w:tc>
          <w:tcPr>
            <w:tcW w:type="dxa" w:w="1440"/>
            <w:tcMar>
              <w:top w:w="100" w:type="dxa"/>
              <w:bottom w:w="100" w:type="dxa"/>
              <w:left w:w="120" w:type="dxa"/>
              <w:right w:w="120" w:type="dxa"/>
            </w:tcMar>
            <w:shd w:fill="FFFFFF"/>
          </w:tcPr>
          <w:p>
            <w:pPr>
              <w:spacing w:before="40" w:after="40"/>
            </w:pPr>
            <w:r>
              <w:rPr>
                <w:rFonts w:ascii="Arial" w:hAnsi="Arial"/>
                <w:color w:val="212529"/>
                <w:sz w:val="17"/>
              </w:rPr>
              <w:t>#10</w:t>
            </w:r>
          </w:p>
        </w:tc>
        <w:tc>
          <w:tcPr>
            <w:tcW w:type="dxa" w:w="3168"/>
            <w:tcMar>
              <w:top w:w="100" w:type="dxa"/>
              <w:bottom w:w="100" w:type="dxa"/>
              <w:left w:w="120" w:type="dxa"/>
              <w:right w:w="120" w:type="dxa"/>
            </w:tcMar>
            <w:shd w:fill="FFFFFF"/>
          </w:tcPr>
          <w:p>
            <w:pPr>
              <w:spacing w:before="40" w:after="40"/>
            </w:pPr>
            <w:r>
              <w:rPr>
                <w:rFonts w:ascii="Arial" w:hAnsi="Arial"/>
                <w:color w:val="212529"/>
                <w:sz w:val="17"/>
              </w:rPr>
              <w:t>is_weekend</w:t>
            </w:r>
          </w:p>
        </w:tc>
        <w:tc>
          <w:tcPr>
            <w:tcW w:type="dxa" w:w="2160"/>
            <w:tcMar>
              <w:top w:w="100" w:type="dxa"/>
              <w:bottom w:w="100" w:type="dxa"/>
              <w:left w:w="120" w:type="dxa"/>
              <w:right w:w="120" w:type="dxa"/>
            </w:tcMar>
            <w:shd w:fill="FFFFFF"/>
          </w:tcPr>
          <w:p>
            <w:pPr>
              <w:spacing w:before="40" w:after="40"/>
            </w:pPr>
            <w:r>
              <w:rPr>
                <w:rFonts w:ascii="Arial" w:hAnsi="Arial"/>
                <w:color w:val="212529"/>
                <w:sz w:val="17"/>
              </w:rPr>
              <w:t>2.14 L</w:t>
            </w:r>
          </w:p>
        </w:tc>
        <w:tc>
          <w:tcPr>
            <w:tcW w:type="dxa" w:w="2592"/>
            <w:tcMar>
              <w:top w:w="100" w:type="dxa"/>
              <w:bottom w:w="100" w:type="dxa"/>
              <w:left w:w="120" w:type="dxa"/>
              <w:right w:w="120" w:type="dxa"/>
            </w:tcMar>
            <w:shd w:fill="FFFFFF"/>
          </w:tcPr>
          <w:p>
            <w:pPr>
              <w:spacing w:before="40" w:after="40"/>
            </w:pPr>
            <w:r>
              <w:rPr>
                <w:rFonts w:ascii="Arial" w:hAnsi="Arial"/>
                <w:color w:val="212529"/>
                <w:sz w:val="17"/>
              </w:rPr>
              <w:t>Weekend leisure/laundry consumption shift.</w:t>
            </w:r>
          </w:p>
        </w:tc>
      </w:tr>
    </w:tbl>
    <w:p>
      <w:pPr>
        <w:spacing w:before="80" w:after="240"/>
        <w:jc w:val="center"/>
      </w:pPr>
      <w:r>
        <w:rPr>
          <w:rFonts w:ascii="Arial" w:hAnsi="Arial"/>
          <w:i/>
          <w:color w:val="6C757D"/>
          <w:sz w:val="17"/>
        </w:rPr>
        <w:t>Figure: Top Predictive Features Ranked by SHAP Explanatory Power</w:t>
      </w:r>
    </w:p>
    <w:p>
      <w:pPr>
        <w:spacing w:before="160"/>
      </w:pPr>
    </w:p>
    <w:p>
      <w:r>
        <w:drawing>
          <wp:inline xmlns:a="http://schemas.openxmlformats.org/drawingml/2006/main" xmlns:pic="http://schemas.openxmlformats.org/drawingml/2006/picture">
            <wp:extent cx="5669280" cy="5976651"/>
            <wp:docPr id="2" name="Picture 2"/>
            <wp:cNvGraphicFramePr>
              <a:graphicFrameLocks noChangeAspect="1"/>
            </wp:cNvGraphicFramePr>
            <a:graphic>
              <a:graphicData uri="http://schemas.openxmlformats.org/drawingml/2006/picture">
                <pic:pic>
                  <pic:nvPicPr>
                    <pic:cNvPr id="0" name="shap_bar_importance.png"/>
                    <pic:cNvPicPr/>
                  </pic:nvPicPr>
                  <pic:blipFill>
                    <a:blip r:embed="rId12"/>
                    <a:stretch>
                      <a:fillRect/>
                    </a:stretch>
                  </pic:blipFill>
                  <pic:spPr>
                    <a:xfrm>
                      <a:off x="0" y="0"/>
                      <a:ext cx="5669280" cy="5976651"/>
                    </a:xfrm>
                    <a:prstGeom prst="rect"/>
                  </pic:spPr>
                </pic:pic>
              </a:graphicData>
            </a:graphic>
          </wp:inline>
        </w:drawing>
      </w:r>
    </w:p>
    <w:p>
      <w:pPr>
        <w:spacing w:before="80" w:after="240"/>
        <w:jc w:val="center"/>
      </w:pPr>
      <w:r>
        <w:rPr>
          <w:rFonts w:ascii="Arial" w:hAnsi="Arial"/>
          <w:i/>
          <w:color w:val="6C757D"/>
          <w:sz w:val="17"/>
        </w:rPr>
        <w:t>Figure: SHAP Mean Absolute Feature Importance (Bar Plot)</w:t>
      </w:r>
    </w:p>
    <w:p>
      <w:pPr>
        <w:spacing w:before="160"/>
      </w:pPr>
    </w:p>
    <w:p>
      <w:r>
        <w:drawing>
          <wp:inline xmlns:a="http://schemas.openxmlformats.org/drawingml/2006/main" xmlns:pic="http://schemas.openxmlformats.org/drawingml/2006/picture">
            <wp:extent cx="5669280" cy="5121962"/>
            <wp:docPr id="3" name="Picture 3"/>
            <wp:cNvGraphicFramePr>
              <a:graphicFrameLocks noChangeAspect="1"/>
            </wp:cNvGraphicFramePr>
            <a:graphic>
              <a:graphicData uri="http://schemas.openxmlformats.org/drawingml/2006/picture">
                <pic:pic>
                  <pic:nvPicPr>
                    <pic:cNvPr id="0" name="shap_beeswarm_distribution.png"/>
                    <pic:cNvPicPr/>
                  </pic:nvPicPr>
                  <pic:blipFill>
                    <a:blip r:embed="rId13"/>
                    <a:stretch>
                      <a:fillRect/>
                    </a:stretch>
                  </pic:blipFill>
                  <pic:spPr>
                    <a:xfrm>
                      <a:off x="0" y="0"/>
                      <a:ext cx="5669280" cy="5121962"/>
                    </a:xfrm>
                    <a:prstGeom prst="rect"/>
                  </pic:spPr>
                </pic:pic>
              </a:graphicData>
            </a:graphic>
          </wp:inline>
        </w:drawing>
      </w:r>
    </w:p>
    <w:p>
      <w:pPr>
        <w:spacing w:before="80" w:after="240"/>
        <w:jc w:val="center"/>
      </w:pPr>
      <w:r>
        <w:rPr>
          <w:rFonts w:ascii="Arial" w:hAnsi="Arial"/>
          <w:i/>
          <w:color w:val="6C757D"/>
          <w:sz w:val="17"/>
        </w:rPr>
        <w:t>Figure: SHAP Beeswarm Distribution: Directional Impact of Feature Values on Water Consumption</w:t>
      </w:r>
    </w:p>
    <w:p>
      <w:pPr>
        <w:pStyle w:val="Heading2"/>
        <w:keepNext/>
        <w:spacing w:before="280" w:after="80"/>
      </w:pPr>
      <w:r>
        <w:rPr>
          <w:rFonts w:ascii="Arial" w:hAnsi="Arial"/>
          <w:b/>
          <w:color w:val="00A3E0"/>
          <w:sz w:val="25"/>
        </w:rPr>
        <w:t>7.2 Directional Impact &amp; Behavioral Insights</w:t>
      </w:r>
    </w:p>
    <w:p>
      <w:pPr>
        <w:pStyle w:val="ListBullet"/>
        <w:spacing w:after="60" w:line="276" w:lineRule="auto"/>
      </w:pPr>
      <w:r>
        <w:rPr>
          <w:rFonts w:ascii="Arial" w:hAnsi="Arial"/>
          <w:b/>
          <w:color w:val="1B365D"/>
          <w:sz w:val="19"/>
        </w:rPr>
        <w:t xml:space="preserve">past_7d_liters &amp; rolling_mean_7 (Positive Correlation): </w:t>
      </w:r>
      <w:r>
        <w:rPr>
          <w:rFonts w:ascii="Arial" w:hAnsi="Arial"/>
          <w:color w:val="212529"/>
          <w:sz w:val="19"/>
        </w:rPr>
        <w:t>High values (shown in red in the beeswarm plot) exert strong positive SHAP forces, pushing the weekly forecast higher by up to +140 L. Low prior-week usage pulls the forecast downward by -110 L.</w:t>
      </w:r>
    </w:p>
    <w:p>
      <w:pPr>
        <w:pStyle w:val="ListBullet"/>
        <w:spacing w:after="60" w:line="276" w:lineRule="auto"/>
      </w:pPr>
      <w:r>
        <w:rPr>
          <w:rFonts w:ascii="Arial" w:hAnsi="Arial"/>
          <w:b/>
          <w:color w:val="1B365D"/>
          <w:sz w:val="19"/>
        </w:rPr>
        <w:t xml:space="preserve">day_of_year (Seasonal Trajectory): </w:t>
      </w:r>
      <w:r>
        <w:rPr>
          <w:rFonts w:ascii="Arial" w:hAnsi="Arial"/>
          <w:color w:val="212529"/>
          <w:sz w:val="19"/>
        </w:rPr>
        <w:t>As the day of the year advances from spring into late summer, the SHAP value transitions smoothly from negative to positive, automatically factoring in higher ambient temperatures, more frequent showering, and garden irrigation.</w:t>
      </w:r>
    </w:p>
    <w:p>
      <w:pPr>
        <w:pStyle w:val="ListBullet"/>
        <w:spacing w:after="60" w:line="276" w:lineRule="auto"/>
      </w:pPr>
      <w:r>
        <w:rPr>
          <w:rFonts w:ascii="Arial" w:hAnsi="Arial"/>
          <w:b/>
          <w:color w:val="1B365D"/>
          <w:sz w:val="19"/>
        </w:rPr>
        <w:t xml:space="preserve">rolling_std_7 (Volatility Penalty): </w:t>
      </w:r>
      <w:r>
        <w:rPr>
          <w:rFonts w:ascii="Arial" w:hAnsi="Arial"/>
          <w:color w:val="212529"/>
          <w:sz w:val="19"/>
        </w:rPr>
        <w:t>Higher volatility indicates erratic household behavior or intermittent leaks. The model slightly dampens the forecast magnitude and widens the prediction interval.</w:t>
      </w:r>
    </w:p>
    <w:p>
      <w:pPr>
        <w:pStyle w:val="Heading1"/>
        <w:keepNext/>
        <w:spacing w:before="400" w:after="120"/>
      </w:pPr>
      <w:r>
        <w:rPr>
          <w:rFonts w:ascii="Arial" w:hAnsi="Arial"/>
          <w:b/>
          <w:color w:val="1B365D"/>
          <w:sz w:val="32"/>
        </w:rPr>
        <w:t>8. Database Schema &amp; Supabase Integration</w:t>
      </w:r>
    </w:p>
    <w:p>
      <w:pPr>
        <w:spacing w:after="80" w:line="276" w:lineRule="auto"/>
      </w:pPr>
      <w:r>
        <w:rPr>
          <w:rFonts w:ascii="Arial" w:hAnsi="Arial"/>
          <w:color w:val="212529"/>
          <w:sz w:val="19"/>
        </w:rPr>
        <w:t>All forecasted figures generated by the 'ml-forecasting' engine are written directly to the Supabase PostgreSQL database into the dedicated 'ml_predictions' table. This table is designed to support real-time querying by the Water Angel PWA.</w:t>
      </w:r>
    </w:p>
    <w:p>
      <w:pPr>
        <w:pStyle w:val="Heading2"/>
        <w:keepNext/>
        <w:spacing w:before="280" w:after="80"/>
      </w:pPr>
      <w:r>
        <w:rPr>
          <w:rFonts w:ascii="Arial" w:hAnsi="Arial"/>
          <w:b/>
          <w:color w:val="00A3E0"/>
          <w:sz w:val="25"/>
        </w:rPr>
        <w:t>8.1 Schema Specification for 'ml_predictions'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04"/>
            <w:tcMar>
              <w:top w:w="100" w:type="dxa"/>
              <w:bottom w:w="100" w:type="dxa"/>
              <w:left w:w="120" w:type="dxa"/>
              <w:right w:w="120" w:type="dxa"/>
            </w:tcMar>
            <w:shd w:fill="1B365D"/>
          </w:tcPr>
          <w:p>
            <w:pPr>
              <w:spacing w:before="60" w:after="60"/>
            </w:pPr>
            <w:r>
              <w:rPr>
                <w:rFonts w:ascii="Arial" w:hAnsi="Arial"/>
                <w:b/>
                <w:color w:val="FFFFFF"/>
                <w:sz w:val="18"/>
              </w:rPr>
              <w:t>Column Name</w:t>
            </w:r>
          </w:p>
        </w:tc>
        <w:tc>
          <w:tcPr>
            <w:tcW w:type="dxa" w:w="1728"/>
            <w:tcMar>
              <w:top w:w="100" w:type="dxa"/>
              <w:bottom w:w="100" w:type="dxa"/>
              <w:left w:w="120" w:type="dxa"/>
              <w:right w:w="120" w:type="dxa"/>
            </w:tcMar>
            <w:shd w:fill="1B365D"/>
          </w:tcPr>
          <w:p>
            <w:pPr>
              <w:spacing w:before="60" w:after="60"/>
            </w:pPr>
            <w:r>
              <w:rPr>
                <w:rFonts w:ascii="Arial" w:hAnsi="Arial"/>
                <w:b/>
                <w:color w:val="FFFFFF"/>
                <w:sz w:val="18"/>
              </w:rPr>
              <w:t>Data Type</w:t>
            </w:r>
          </w:p>
        </w:tc>
        <w:tc>
          <w:tcPr>
            <w:tcW w:type="dxa" w:w="1296"/>
            <w:tcMar>
              <w:top w:w="100" w:type="dxa"/>
              <w:bottom w:w="100" w:type="dxa"/>
              <w:left w:w="120" w:type="dxa"/>
              <w:right w:w="120" w:type="dxa"/>
            </w:tcMar>
            <w:shd w:fill="1B365D"/>
          </w:tcPr>
          <w:p>
            <w:pPr>
              <w:spacing w:before="60" w:after="60"/>
            </w:pPr>
            <w:r>
              <w:rPr>
                <w:rFonts w:ascii="Arial" w:hAnsi="Arial"/>
                <w:b/>
                <w:color w:val="FFFFFF"/>
                <w:sz w:val="18"/>
              </w:rPr>
              <w:t>Nullable</w:t>
            </w:r>
          </w:p>
        </w:tc>
        <w:tc>
          <w:tcPr>
            <w:tcW w:type="dxa" w:w="4032"/>
            <w:tcMar>
              <w:top w:w="100" w:type="dxa"/>
              <w:bottom w:w="100" w:type="dxa"/>
              <w:left w:w="120" w:type="dxa"/>
              <w:right w:w="120" w:type="dxa"/>
            </w:tcMar>
            <w:shd w:fill="1B365D"/>
          </w:tcPr>
          <w:p>
            <w:pPr>
              <w:spacing w:before="60" w:after="60"/>
            </w:pPr>
            <w:r>
              <w:rPr>
                <w:rFonts w:ascii="Arial" w:hAnsi="Arial"/>
                <w:b/>
                <w:color w:val="FFFFFF"/>
                <w:sz w:val="18"/>
              </w:rPr>
              <w:t>Description &amp; Constraints</w:t>
            </w:r>
          </w:p>
        </w:tc>
      </w:tr>
      <w:tr>
        <w:trPr>
          <w:cantSplit/>
        </w:trPr>
        <w:tc>
          <w:tcPr>
            <w:tcW w:type="dxa" w:w="2304"/>
            <w:tcMar>
              <w:top w:w="100" w:type="dxa"/>
              <w:bottom w:w="100" w:type="dxa"/>
              <w:left w:w="120" w:type="dxa"/>
              <w:right w:w="120" w:type="dxa"/>
            </w:tcMar>
            <w:shd w:fill="F8FAFC"/>
          </w:tcPr>
          <w:p>
            <w:pPr>
              <w:spacing w:before="40" w:after="40"/>
            </w:pPr>
            <w:r>
              <w:rPr>
                <w:rFonts w:ascii="Arial" w:hAnsi="Arial"/>
                <w:color w:val="212529"/>
                <w:sz w:val="17"/>
              </w:rPr>
              <w:t>id</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UUID</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No</w:t>
            </w:r>
          </w:p>
        </w:tc>
        <w:tc>
          <w:tcPr>
            <w:tcW w:type="dxa" w:w="4032"/>
            <w:tcMar>
              <w:top w:w="100" w:type="dxa"/>
              <w:bottom w:w="100" w:type="dxa"/>
              <w:left w:w="120" w:type="dxa"/>
              <w:right w:w="120" w:type="dxa"/>
            </w:tcMar>
            <w:shd w:fill="F8FAFC"/>
          </w:tcPr>
          <w:p>
            <w:pPr>
              <w:spacing w:before="40" w:after="40"/>
            </w:pPr>
            <w:r>
              <w:rPr>
                <w:rFonts w:ascii="Arial" w:hAnsi="Arial"/>
                <w:color w:val="212529"/>
                <w:sz w:val="17"/>
              </w:rPr>
              <w:t>Unique primary key; auto-generated via gen_random_uuid().</w:t>
            </w:r>
          </w:p>
        </w:tc>
      </w:tr>
      <w:tr>
        <w:trPr>
          <w:cantSplit/>
        </w:trPr>
        <w:tc>
          <w:tcPr>
            <w:tcW w:type="dxa" w:w="2304"/>
            <w:tcMar>
              <w:top w:w="100" w:type="dxa"/>
              <w:bottom w:w="100" w:type="dxa"/>
              <w:left w:w="120" w:type="dxa"/>
              <w:right w:w="120" w:type="dxa"/>
            </w:tcMar>
            <w:shd w:fill="FFFFFF"/>
          </w:tcPr>
          <w:p>
            <w:pPr>
              <w:spacing w:before="40" w:after="40"/>
            </w:pPr>
            <w:r>
              <w:rPr>
                <w:rFonts w:ascii="Arial" w:hAnsi="Arial"/>
                <w:color w:val="212529"/>
                <w:sz w:val="17"/>
              </w:rPr>
              <w:t>device_id</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VARCHAR(64)</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No</w:t>
            </w:r>
          </w:p>
        </w:tc>
        <w:tc>
          <w:tcPr>
            <w:tcW w:type="dxa" w:w="4032"/>
            <w:tcMar>
              <w:top w:w="100" w:type="dxa"/>
              <w:bottom w:w="100" w:type="dxa"/>
              <w:left w:w="120" w:type="dxa"/>
              <w:right w:w="120" w:type="dxa"/>
            </w:tcMar>
            <w:shd w:fill="FFFFFF"/>
          </w:tcPr>
          <w:p>
            <w:pPr>
              <w:spacing w:before="40" w:after="40"/>
            </w:pPr>
            <w:r>
              <w:rPr>
                <w:rFonts w:ascii="Arial" w:hAnsi="Arial"/>
                <w:color w:val="212529"/>
                <w:sz w:val="17"/>
              </w:rPr>
              <w:t>Identifier of the target Water Angel flow meter.</w:t>
            </w:r>
          </w:p>
        </w:tc>
      </w:tr>
      <w:tr>
        <w:trPr>
          <w:cantSplit/>
        </w:trPr>
        <w:tc>
          <w:tcPr>
            <w:tcW w:type="dxa" w:w="2304"/>
            <w:tcMar>
              <w:top w:w="100" w:type="dxa"/>
              <w:bottom w:w="100" w:type="dxa"/>
              <w:left w:w="120" w:type="dxa"/>
              <w:right w:w="120" w:type="dxa"/>
            </w:tcMar>
            <w:shd w:fill="F8FAFC"/>
          </w:tcPr>
          <w:p>
            <w:pPr>
              <w:spacing w:before="40" w:after="40"/>
            </w:pPr>
            <w:r>
              <w:rPr>
                <w:rFonts w:ascii="Arial" w:hAnsi="Arial"/>
                <w:color w:val="212529"/>
                <w:sz w:val="17"/>
              </w:rPr>
              <w:t>prediction_type</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VARCHAR(32)</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No</w:t>
            </w:r>
          </w:p>
        </w:tc>
        <w:tc>
          <w:tcPr>
            <w:tcW w:type="dxa" w:w="4032"/>
            <w:tcMar>
              <w:top w:w="100" w:type="dxa"/>
              <w:bottom w:w="100" w:type="dxa"/>
              <w:left w:w="120" w:type="dxa"/>
              <w:right w:w="120" w:type="dxa"/>
            </w:tcMar>
            <w:shd w:fill="F8FAFC"/>
          </w:tcPr>
          <w:p>
            <w:pPr>
              <w:spacing w:before="40" w:after="40"/>
            </w:pPr>
            <w:r>
              <w:rPr>
                <w:rFonts w:ascii="Arial" w:hAnsi="Arial"/>
                <w:color w:val="212529"/>
                <w:sz w:val="17"/>
              </w:rPr>
              <w:t>Value: 'weekly_consumption' (Single-figure weekly forecast).</w:t>
            </w:r>
          </w:p>
        </w:tc>
      </w:tr>
      <w:tr>
        <w:trPr>
          <w:cantSplit/>
        </w:trPr>
        <w:tc>
          <w:tcPr>
            <w:tcW w:type="dxa" w:w="2304"/>
            <w:tcMar>
              <w:top w:w="100" w:type="dxa"/>
              <w:bottom w:w="100" w:type="dxa"/>
              <w:left w:w="120" w:type="dxa"/>
              <w:right w:w="120" w:type="dxa"/>
            </w:tcMar>
            <w:shd w:fill="FFFFFF"/>
          </w:tcPr>
          <w:p>
            <w:pPr>
              <w:spacing w:before="40" w:after="40"/>
            </w:pPr>
            <w:r>
              <w:rPr>
                <w:rFonts w:ascii="Arial" w:hAnsi="Arial"/>
                <w:color w:val="212529"/>
                <w:sz w:val="17"/>
              </w:rPr>
              <w:t>model_version</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VARCHAR(32)</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No</w:t>
            </w:r>
          </w:p>
        </w:tc>
        <w:tc>
          <w:tcPr>
            <w:tcW w:type="dxa" w:w="4032"/>
            <w:tcMar>
              <w:top w:w="100" w:type="dxa"/>
              <w:bottom w:w="100" w:type="dxa"/>
              <w:left w:w="120" w:type="dxa"/>
              <w:right w:w="120" w:type="dxa"/>
            </w:tcMar>
            <w:shd w:fill="FFFFFF"/>
          </w:tcPr>
          <w:p>
            <w:pPr>
              <w:spacing w:before="40" w:after="40"/>
            </w:pPr>
            <w:r>
              <w:rPr>
                <w:rFonts w:ascii="Arial" w:hAnsi="Arial"/>
                <w:color w:val="212529"/>
                <w:sz w:val="17"/>
              </w:rPr>
              <w:t>Version tag of active algorithm (e.g. 'v1.0.0-elasticnet').</w:t>
            </w:r>
          </w:p>
        </w:tc>
      </w:tr>
      <w:tr>
        <w:trPr>
          <w:cantSplit/>
        </w:trPr>
        <w:tc>
          <w:tcPr>
            <w:tcW w:type="dxa" w:w="2304"/>
            <w:tcMar>
              <w:top w:w="100" w:type="dxa"/>
              <w:bottom w:w="100" w:type="dxa"/>
              <w:left w:w="120" w:type="dxa"/>
              <w:right w:w="120" w:type="dxa"/>
            </w:tcMar>
            <w:shd w:fill="F8FAFC"/>
          </w:tcPr>
          <w:p>
            <w:pPr>
              <w:spacing w:before="40" w:after="40"/>
            </w:pPr>
            <w:r>
              <w:rPr>
                <w:rFonts w:ascii="Arial" w:hAnsi="Arial"/>
                <w:color w:val="212529"/>
                <w:sz w:val="17"/>
              </w:rPr>
              <w:t>target_time</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TIMESTAMPTZ</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No</w:t>
            </w:r>
          </w:p>
        </w:tc>
        <w:tc>
          <w:tcPr>
            <w:tcW w:type="dxa" w:w="4032"/>
            <w:tcMar>
              <w:top w:w="100" w:type="dxa"/>
              <w:bottom w:w="100" w:type="dxa"/>
              <w:left w:w="120" w:type="dxa"/>
              <w:right w:w="120" w:type="dxa"/>
            </w:tcMar>
            <w:shd w:fill="F8FAFC"/>
          </w:tcPr>
          <w:p>
            <w:pPr>
              <w:spacing w:before="40" w:after="40"/>
            </w:pPr>
            <w:r>
              <w:rPr>
                <w:rFonts w:ascii="Arial" w:hAnsi="Arial"/>
                <w:color w:val="212529"/>
                <w:sz w:val="17"/>
              </w:rPr>
              <w:t>Timestamp corresponding to the end of the 7-day forecast horizon.</w:t>
            </w:r>
          </w:p>
        </w:tc>
      </w:tr>
      <w:tr>
        <w:trPr>
          <w:cantSplit/>
        </w:trPr>
        <w:tc>
          <w:tcPr>
            <w:tcW w:type="dxa" w:w="2304"/>
            <w:tcMar>
              <w:top w:w="100" w:type="dxa"/>
              <w:bottom w:w="100" w:type="dxa"/>
              <w:left w:w="120" w:type="dxa"/>
              <w:right w:w="120" w:type="dxa"/>
            </w:tcMar>
            <w:shd w:fill="FFFFFF"/>
          </w:tcPr>
          <w:p>
            <w:pPr>
              <w:spacing w:before="40" w:after="40"/>
            </w:pPr>
            <w:r>
              <w:rPr>
                <w:rFonts w:ascii="Arial" w:hAnsi="Arial"/>
                <w:color w:val="212529"/>
                <w:sz w:val="17"/>
              </w:rPr>
              <w:t>target_date</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DATE</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No</w:t>
            </w:r>
          </w:p>
        </w:tc>
        <w:tc>
          <w:tcPr>
            <w:tcW w:type="dxa" w:w="4032"/>
            <w:tcMar>
              <w:top w:w="100" w:type="dxa"/>
              <w:bottom w:w="100" w:type="dxa"/>
              <w:left w:w="120" w:type="dxa"/>
              <w:right w:w="120" w:type="dxa"/>
            </w:tcMar>
            <w:shd w:fill="FFFFFF"/>
          </w:tcPr>
          <w:p>
            <w:pPr>
              <w:spacing w:before="40" w:after="40"/>
            </w:pPr>
            <w:r>
              <w:rPr>
                <w:rFonts w:ascii="Arial" w:hAnsi="Arial"/>
                <w:color w:val="212529"/>
                <w:sz w:val="17"/>
              </w:rPr>
              <w:t>Calendar date representing the forecast end date (YYYY-MM-DD).</w:t>
            </w:r>
          </w:p>
        </w:tc>
      </w:tr>
      <w:tr>
        <w:trPr>
          <w:cantSplit/>
        </w:trPr>
        <w:tc>
          <w:tcPr>
            <w:tcW w:type="dxa" w:w="2304"/>
            <w:tcMar>
              <w:top w:w="100" w:type="dxa"/>
              <w:bottom w:w="100" w:type="dxa"/>
              <w:left w:w="120" w:type="dxa"/>
              <w:right w:w="120" w:type="dxa"/>
            </w:tcMar>
            <w:shd w:fill="F8FAFC"/>
          </w:tcPr>
          <w:p>
            <w:pPr>
              <w:spacing w:before="40" w:after="40"/>
            </w:pPr>
            <w:r>
              <w:rPr>
                <w:rFonts w:ascii="Arial" w:hAnsi="Arial"/>
                <w:color w:val="212529"/>
                <w:sz w:val="17"/>
              </w:rPr>
              <w:t>predicted_value</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DOUBLE PRECISION</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No</w:t>
            </w:r>
          </w:p>
        </w:tc>
        <w:tc>
          <w:tcPr>
            <w:tcW w:type="dxa" w:w="4032"/>
            <w:tcMar>
              <w:top w:w="100" w:type="dxa"/>
              <w:bottom w:w="100" w:type="dxa"/>
              <w:left w:w="120" w:type="dxa"/>
              <w:right w:w="120" w:type="dxa"/>
            </w:tcMar>
            <w:shd w:fill="F8FAFC"/>
          </w:tcPr>
          <w:p>
            <w:pPr>
              <w:spacing w:before="40" w:after="40"/>
            </w:pPr>
            <w:r>
              <w:rPr>
                <w:rFonts w:ascii="Arial" w:hAnsi="Arial"/>
                <w:color w:val="212529"/>
                <w:sz w:val="17"/>
              </w:rPr>
              <w:t>Forecasted water volume in Liters (e.g., 1070.1 L).</w:t>
            </w:r>
          </w:p>
        </w:tc>
      </w:tr>
      <w:tr>
        <w:trPr>
          <w:cantSplit/>
        </w:trPr>
        <w:tc>
          <w:tcPr>
            <w:tcW w:type="dxa" w:w="2304"/>
            <w:tcMar>
              <w:top w:w="100" w:type="dxa"/>
              <w:bottom w:w="100" w:type="dxa"/>
              <w:left w:w="120" w:type="dxa"/>
              <w:right w:w="120" w:type="dxa"/>
            </w:tcMar>
            <w:shd w:fill="FFFFFF"/>
          </w:tcPr>
          <w:p>
            <w:pPr>
              <w:spacing w:before="40" w:after="40"/>
            </w:pPr>
            <w:r>
              <w:rPr>
                <w:rFonts w:ascii="Arial" w:hAnsi="Arial"/>
                <w:color w:val="212529"/>
                <w:sz w:val="17"/>
              </w:rPr>
              <w:t>confidence</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DOUBLE PRECISION</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No</w:t>
            </w:r>
          </w:p>
        </w:tc>
        <w:tc>
          <w:tcPr>
            <w:tcW w:type="dxa" w:w="4032"/>
            <w:tcMar>
              <w:top w:w="100" w:type="dxa"/>
              <w:bottom w:w="100" w:type="dxa"/>
              <w:left w:w="120" w:type="dxa"/>
              <w:right w:w="120" w:type="dxa"/>
            </w:tcMar>
            <w:shd w:fill="FFFFFF"/>
          </w:tcPr>
          <w:p>
            <w:pPr>
              <w:spacing w:before="40" w:after="40"/>
            </w:pPr>
            <w:r>
              <w:rPr>
                <w:rFonts w:ascii="Arial" w:hAnsi="Arial"/>
                <w:color w:val="212529"/>
                <w:sz w:val="17"/>
              </w:rPr>
              <w:t>Statistical confidence score (0.0 to 1.0; e.g., 0.92).</w:t>
            </w:r>
          </w:p>
        </w:tc>
      </w:tr>
      <w:tr>
        <w:trPr>
          <w:cantSplit/>
        </w:trPr>
        <w:tc>
          <w:tcPr>
            <w:tcW w:type="dxa" w:w="2304"/>
            <w:tcMar>
              <w:top w:w="100" w:type="dxa"/>
              <w:bottom w:w="100" w:type="dxa"/>
              <w:left w:w="120" w:type="dxa"/>
              <w:right w:w="120" w:type="dxa"/>
            </w:tcMar>
            <w:shd w:fill="F8FAFC"/>
          </w:tcPr>
          <w:p>
            <w:pPr>
              <w:spacing w:before="40" w:after="40"/>
            </w:pPr>
            <w:r>
              <w:rPr>
                <w:rFonts w:ascii="Arial" w:hAnsi="Arial"/>
                <w:color w:val="212529"/>
                <w:sz w:val="17"/>
              </w:rPr>
              <w:t>metadata</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JSONB</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Yes</w:t>
            </w:r>
          </w:p>
        </w:tc>
        <w:tc>
          <w:tcPr>
            <w:tcW w:type="dxa" w:w="4032"/>
            <w:tcMar>
              <w:top w:w="100" w:type="dxa"/>
              <w:bottom w:w="100" w:type="dxa"/>
              <w:left w:w="120" w:type="dxa"/>
              <w:right w:w="120" w:type="dxa"/>
            </w:tcMar>
            <w:shd w:fill="F8FAFC"/>
          </w:tcPr>
          <w:p>
            <w:pPr>
              <w:spacing w:before="40" w:after="40"/>
            </w:pPr>
            <w:r>
              <w:rPr>
                <w:rFonts w:ascii="Arial" w:hAnsi="Arial"/>
                <w:color w:val="212529"/>
                <w:sz w:val="17"/>
              </w:rPr>
              <w:t>Rich diagnostic JSON: features, SHAP rankings, CV metrics, parameters.</w:t>
            </w:r>
          </w:p>
        </w:tc>
      </w:tr>
      <w:tr>
        <w:trPr>
          <w:cantSplit/>
        </w:trPr>
        <w:tc>
          <w:tcPr>
            <w:tcW w:type="dxa" w:w="2304"/>
            <w:tcMar>
              <w:top w:w="100" w:type="dxa"/>
              <w:bottom w:w="100" w:type="dxa"/>
              <w:left w:w="120" w:type="dxa"/>
              <w:right w:w="120" w:type="dxa"/>
            </w:tcMar>
            <w:shd w:fill="FFFFFF"/>
          </w:tcPr>
          <w:p>
            <w:pPr>
              <w:spacing w:before="40" w:after="40"/>
            </w:pPr>
            <w:r>
              <w:rPr>
                <w:rFonts w:ascii="Arial" w:hAnsi="Arial"/>
                <w:color w:val="212529"/>
                <w:sz w:val="17"/>
              </w:rPr>
              <w:t>created_at</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TIMESTAMPTZ</w:t>
            </w:r>
          </w:p>
        </w:tc>
        <w:tc>
          <w:tcPr>
            <w:tcW w:type="dxa" w:w="1296"/>
            <w:tcMar>
              <w:top w:w="100" w:type="dxa"/>
              <w:bottom w:w="100" w:type="dxa"/>
              <w:left w:w="120" w:type="dxa"/>
              <w:right w:w="120" w:type="dxa"/>
            </w:tcMar>
            <w:shd w:fill="FFFFFF"/>
          </w:tcPr>
          <w:p>
            <w:pPr>
              <w:spacing w:before="40" w:after="40"/>
            </w:pPr>
            <w:r>
              <w:rPr>
                <w:rFonts w:ascii="Arial" w:hAnsi="Arial"/>
                <w:color w:val="212529"/>
                <w:sz w:val="17"/>
              </w:rPr>
              <w:t>No</w:t>
            </w:r>
          </w:p>
        </w:tc>
        <w:tc>
          <w:tcPr>
            <w:tcW w:type="dxa" w:w="4032"/>
            <w:tcMar>
              <w:top w:w="100" w:type="dxa"/>
              <w:bottom w:w="100" w:type="dxa"/>
              <w:left w:w="120" w:type="dxa"/>
              <w:right w:w="120" w:type="dxa"/>
            </w:tcMar>
            <w:shd w:fill="FFFFFF"/>
          </w:tcPr>
          <w:p>
            <w:pPr>
              <w:spacing w:before="40" w:after="40"/>
            </w:pPr>
            <w:r>
              <w:rPr>
                <w:rFonts w:ascii="Arial" w:hAnsi="Arial"/>
                <w:color w:val="212529"/>
                <w:sz w:val="17"/>
              </w:rPr>
              <w:t>Timestamp of forecast generation (default: now()).</w:t>
            </w:r>
          </w:p>
        </w:tc>
      </w:tr>
      <w:tr>
        <w:trPr>
          <w:cantSplit/>
        </w:trPr>
        <w:tc>
          <w:tcPr>
            <w:tcW w:type="dxa" w:w="2304"/>
            <w:tcMar>
              <w:top w:w="100" w:type="dxa"/>
              <w:bottom w:w="100" w:type="dxa"/>
              <w:left w:w="120" w:type="dxa"/>
              <w:right w:w="120" w:type="dxa"/>
            </w:tcMar>
            <w:shd w:fill="F8FAFC"/>
          </w:tcPr>
          <w:p>
            <w:pPr>
              <w:spacing w:before="40" w:after="40"/>
            </w:pPr>
            <w:r>
              <w:rPr>
                <w:rFonts w:ascii="Arial" w:hAnsi="Arial"/>
                <w:color w:val="212529"/>
                <w:sz w:val="17"/>
              </w:rPr>
              <w:t>prediction_date</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DATE</w:t>
            </w:r>
          </w:p>
        </w:tc>
        <w:tc>
          <w:tcPr>
            <w:tcW w:type="dxa" w:w="1296"/>
            <w:tcMar>
              <w:top w:w="100" w:type="dxa"/>
              <w:bottom w:w="100" w:type="dxa"/>
              <w:left w:w="120" w:type="dxa"/>
              <w:right w:w="120" w:type="dxa"/>
            </w:tcMar>
            <w:shd w:fill="F8FAFC"/>
          </w:tcPr>
          <w:p>
            <w:pPr>
              <w:spacing w:before="40" w:after="40"/>
            </w:pPr>
            <w:r>
              <w:rPr>
                <w:rFonts w:ascii="Arial" w:hAnsi="Arial"/>
                <w:color w:val="212529"/>
                <w:sz w:val="17"/>
              </w:rPr>
              <w:t>No</w:t>
            </w:r>
          </w:p>
        </w:tc>
        <w:tc>
          <w:tcPr>
            <w:tcW w:type="dxa" w:w="4032"/>
            <w:tcMar>
              <w:top w:w="100" w:type="dxa"/>
              <w:bottom w:w="100" w:type="dxa"/>
              <w:left w:w="120" w:type="dxa"/>
              <w:right w:w="120" w:type="dxa"/>
            </w:tcMar>
            <w:shd w:fill="F8FAFC"/>
          </w:tcPr>
          <w:p>
            <w:pPr>
              <w:spacing w:before="40" w:after="40"/>
            </w:pPr>
            <w:r>
              <w:rPr>
                <w:rFonts w:ascii="Arial" w:hAnsi="Arial"/>
                <w:color w:val="212529"/>
                <w:sz w:val="17"/>
              </w:rPr>
              <w:t>Starting date of the forecast horizon (YYYY-MM-DD).</w:t>
            </w:r>
          </w:p>
        </w:tc>
      </w:tr>
    </w:tbl>
    <w:p>
      <w:pPr>
        <w:spacing w:before="80" w:after="240"/>
        <w:jc w:val="center"/>
      </w:pPr>
      <w:r>
        <w:rPr>
          <w:rFonts w:ascii="Arial" w:hAnsi="Arial"/>
          <w:i/>
          <w:color w:val="6C757D"/>
          <w:sz w:val="17"/>
        </w:rPr>
        <w:t>Figure: Supabase 'ml_predictions' PostgreSQL Table Schema Specification</w:t>
      </w:r>
    </w:p>
    <w:p>
      <w:pPr>
        <w:pStyle w:val="Heading2"/>
        <w:keepNext/>
        <w:spacing w:before="280" w:after="80"/>
      </w:pPr>
      <w:r>
        <w:rPr>
          <w:rFonts w:ascii="Arial" w:hAnsi="Arial"/>
          <w:b/>
          <w:color w:val="00A3E0"/>
          <w:sz w:val="25"/>
        </w:rPr>
        <w:t>8.2 Production Ingestion Verification</w:t>
      </w:r>
    </w:p>
    <w:p>
      <w:pPr>
        <w:spacing w:after="80" w:line="276" w:lineRule="auto"/>
      </w:pPr>
      <w:r>
        <w:rPr>
          <w:rFonts w:ascii="Arial" w:hAnsi="Arial"/>
          <w:color w:val="212529"/>
          <w:sz w:val="19"/>
        </w:rPr>
        <w:t>During live end-to-end integration testing, the following production prediction records were successfully inserted into Supabase:</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592"/>
            <w:tcMar>
              <w:top w:w="100" w:type="dxa"/>
              <w:bottom w:w="100" w:type="dxa"/>
              <w:left w:w="120" w:type="dxa"/>
              <w:right w:w="120" w:type="dxa"/>
            </w:tcMar>
            <w:shd w:fill="1B365D"/>
          </w:tcPr>
          <w:p>
            <w:pPr>
              <w:spacing w:before="60" w:after="60"/>
            </w:pPr>
            <w:r>
              <w:rPr>
                <w:rFonts w:ascii="Arial" w:hAnsi="Arial"/>
                <w:b/>
                <w:color w:val="FFFFFF"/>
                <w:sz w:val="18"/>
              </w:rPr>
              <w:t>Device ID</w:t>
            </w:r>
          </w:p>
        </w:tc>
        <w:tc>
          <w:tcPr>
            <w:tcW w:type="dxa" w:w="2016"/>
            <w:tcMar>
              <w:top w:w="100" w:type="dxa"/>
              <w:bottom w:w="100" w:type="dxa"/>
              <w:left w:w="120" w:type="dxa"/>
              <w:right w:w="120" w:type="dxa"/>
            </w:tcMar>
            <w:shd w:fill="1B365D"/>
          </w:tcPr>
          <w:p>
            <w:pPr>
              <w:spacing w:before="60" w:after="60"/>
            </w:pPr>
            <w:r>
              <w:rPr>
                <w:rFonts w:ascii="Arial" w:hAnsi="Arial"/>
                <w:b/>
                <w:color w:val="FFFFFF"/>
                <w:sz w:val="18"/>
              </w:rPr>
              <w:t>Model Version</w:t>
            </w:r>
          </w:p>
        </w:tc>
        <w:tc>
          <w:tcPr>
            <w:tcW w:type="dxa" w:w="1584"/>
            <w:tcMar>
              <w:top w:w="100" w:type="dxa"/>
              <w:bottom w:w="100" w:type="dxa"/>
              <w:left w:w="120" w:type="dxa"/>
              <w:right w:w="120" w:type="dxa"/>
            </w:tcMar>
            <w:shd w:fill="1B365D"/>
          </w:tcPr>
          <w:p>
            <w:pPr>
              <w:spacing w:before="60" w:after="60"/>
            </w:pPr>
            <w:r>
              <w:rPr>
                <w:rFonts w:ascii="Arial" w:hAnsi="Arial"/>
                <w:b/>
                <w:color w:val="FFFFFF"/>
                <w:sz w:val="18"/>
              </w:rPr>
              <w:t>Target Date</w:t>
            </w:r>
          </w:p>
        </w:tc>
        <w:tc>
          <w:tcPr>
            <w:tcW w:type="dxa" w:w="1440"/>
            <w:tcMar>
              <w:top w:w="100" w:type="dxa"/>
              <w:bottom w:w="100" w:type="dxa"/>
              <w:left w:w="120" w:type="dxa"/>
              <w:right w:w="120" w:type="dxa"/>
            </w:tcMar>
            <w:shd w:fill="1B365D"/>
          </w:tcPr>
          <w:p>
            <w:pPr>
              <w:spacing w:before="60" w:after="60"/>
            </w:pPr>
            <w:r>
              <w:rPr>
                <w:rFonts w:ascii="Arial" w:hAnsi="Arial"/>
                <w:b/>
                <w:color w:val="FFFFFF"/>
                <w:sz w:val="18"/>
              </w:rPr>
              <w:t>Confidence</w:t>
            </w:r>
          </w:p>
        </w:tc>
        <w:tc>
          <w:tcPr>
            <w:tcW w:type="dxa" w:w="1728"/>
            <w:tcMar>
              <w:top w:w="100" w:type="dxa"/>
              <w:bottom w:w="100" w:type="dxa"/>
              <w:left w:w="120" w:type="dxa"/>
              <w:right w:w="120" w:type="dxa"/>
            </w:tcMar>
            <w:shd w:fill="1B365D"/>
          </w:tcPr>
          <w:p>
            <w:pPr>
              <w:spacing w:before="60" w:after="60"/>
            </w:pPr>
            <w:r>
              <w:rPr>
                <w:rFonts w:ascii="Arial" w:hAnsi="Arial"/>
                <w:b/>
                <w:color w:val="FFFFFF"/>
                <w:sz w:val="18"/>
              </w:rPr>
              <w:t>Predicted Value</w:t>
            </w:r>
          </w:p>
        </w:tc>
      </w:tr>
      <w:tr>
        <w:trPr>
          <w:cantSplit/>
        </w:trPr>
        <w:tc>
          <w:tcPr>
            <w:tcW w:type="dxa" w:w="2592"/>
            <w:tcMar>
              <w:top w:w="100" w:type="dxa"/>
              <w:bottom w:w="100" w:type="dxa"/>
              <w:left w:w="120" w:type="dxa"/>
              <w:right w:w="120" w:type="dxa"/>
            </w:tcMar>
            <w:shd w:fill="F8FAFC"/>
          </w:tcPr>
          <w:p>
            <w:pPr>
              <w:spacing w:before="40" w:after="40"/>
            </w:pPr>
            <w:r>
              <w:rPr>
                <w:rFonts w:ascii="Arial" w:hAnsi="Arial"/>
                <w:color w:val="212529"/>
                <w:sz w:val="17"/>
              </w:rPr>
              <w:t>dev_living_room_01</w:t>
            </w:r>
          </w:p>
        </w:tc>
        <w:tc>
          <w:tcPr>
            <w:tcW w:type="dxa" w:w="2016"/>
            <w:tcMar>
              <w:top w:w="100" w:type="dxa"/>
              <w:bottom w:w="100" w:type="dxa"/>
              <w:left w:w="120" w:type="dxa"/>
              <w:right w:w="120" w:type="dxa"/>
            </w:tcMar>
            <w:shd w:fill="F8FAFC"/>
          </w:tcPr>
          <w:p>
            <w:pPr>
              <w:spacing w:before="40" w:after="40"/>
            </w:pPr>
            <w:r>
              <w:rPr>
                <w:rFonts w:ascii="Arial" w:hAnsi="Arial"/>
                <w:color w:val="212529"/>
                <w:sz w:val="17"/>
              </w:rPr>
              <w:t>v1.0.0-elasticnet</w:t>
            </w:r>
          </w:p>
        </w:tc>
        <w:tc>
          <w:tcPr>
            <w:tcW w:type="dxa" w:w="1584"/>
            <w:tcMar>
              <w:top w:w="100" w:type="dxa"/>
              <w:bottom w:w="100" w:type="dxa"/>
              <w:left w:w="120" w:type="dxa"/>
              <w:right w:w="120" w:type="dxa"/>
            </w:tcMar>
            <w:shd w:fill="F8FAFC"/>
          </w:tcPr>
          <w:p>
            <w:pPr>
              <w:spacing w:before="40" w:after="40"/>
            </w:pPr>
            <w:r>
              <w:rPr>
                <w:rFonts w:ascii="Arial" w:hAnsi="Arial"/>
                <w:color w:val="212529"/>
                <w:sz w:val="17"/>
              </w:rPr>
              <w:t>2026-10-23</w:t>
            </w:r>
          </w:p>
        </w:tc>
        <w:tc>
          <w:tcPr>
            <w:tcW w:type="dxa" w:w="1440"/>
            <w:tcMar>
              <w:top w:w="100" w:type="dxa"/>
              <w:bottom w:w="100" w:type="dxa"/>
              <w:left w:w="120" w:type="dxa"/>
              <w:right w:w="120" w:type="dxa"/>
            </w:tcMar>
            <w:shd w:fill="F8FAFC"/>
          </w:tcPr>
          <w:p>
            <w:pPr>
              <w:spacing w:before="40" w:after="40"/>
            </w:pPr>
            <w:r>
              <w:rPr>
                <w:rFonts w:ascii="Arial" w:hAnsi="Arial"/>
                <w:color w:val="212529"/>
                <w:sz w:val="17"/>
              </w:rPr>
              <w:t>0.92</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1,070.10 L</w:t>
            </w:r>
          </w:p>
        </w:tc>
      </w:tr>
      <w:tr>
        <w:trPr>
          <w:cantSplit/>
        </w:trPr>
        <w:tc>
          <w:tcPr>
            <w:tcW w:type="dxa" w:w="2592"/>
            <w:tcMar>
              <w:top w:w="100" w:type="dxa"/>
              <w:bottom w:w="100" w:type="dxa"/>
              <w:left w:w="120" w:type="dxa"/>
              <w:right w:w="120" w:type="dxa"/>
            </w:tcMar>
            <w:shd w:fill="FFFFFF"/>
          </w:tcPr>
          <w:p>
            <w:pPr>
              <w:spacing w:before="40" w:after="40"/>
            </w:pPr>
            <w:r>
              <w:rPr>
                <w:rFonts w:ascii="Arial" w:hAnsi="Arial"/>
                <w:color w:val="212529"/>
                <w:sz w:val="17"/>
              </w:rPr>
              <w:t>dev_kitchen_sink_02</w:t>
            </w:r>
          </w:p>
        </w:tc>
        <w:tc>
          <w:tcPr>
            <w:tcW w:type="dxa" w:w="2016"/>
            <w:tcMar>
              <w:top w:w="100" w:type="dxa"/>
              <w:bottom w:w="100" w:type="dxa"/>
              <w:left w:w="120" w:type="dxa"/>
              <w:right w:w="120" w:type="dxa"/>
            </w:tcMar>
            <w:shd w:fill="FFFFFF"/>
          </w:tcPr>
          <w:p>
            <w:pPr>
              <w:spacing w:before="40" w:after="40"/>
            </w:pPr>
            <w:r>
              <w:rPr>
                <w:rFonts w:ascii="Arial" w:hAnsi="Arial"/>
                <w:color w:val="212529"/>
                <w:sz w:val="17"/>
              </w:rPr>
              <w:t>v1.0.0-elasticnet</w:t>
            </w:r>
          </w:p>
        </w:tc>
        <w:tc>
          <w:tcPr>
            <w:tcW w:type="dxa" w:w="1584"/>
            <w:tcMar>
              <w:top w:w="100" w:type="dxa"/>
              <w:bottom w:w="100" w:type="dxa"/>
              <w:left w:w="120" w:type="dxa"/>
              <w:right w:w="120" w:type="dxa"/>
            </w:tcMar>
            <w:shd w:fill="FFFFFF"/>
          </w:tcPr>
          <w:p>
            <w:pPr>
              <w:spacing w:before="40" w:after="40"/>
            </w:pPr>
            <w:r>
              <w:rPr>
                <w:rFonts w:ascii="Arial" w:hAnsi="Arial"/>
                <w:color w:val="212529"/>
                <w:sz w:val="17"/>
              </w:rPr>
              <w:t>2026-10-23</w:t>
            </w:r>
          </w:p>
        </w:tc>
        <w:tc>
          <w:tcPr>
            <w:tcW w:type="dxa" w:w="1440"/>
            <w:tcMar>
              <w:top w:w="100" w:type="dxa"/>
              <w:bottom w:w="100" w:type="dxa"/>
              <w:left w:w="120" w:type="dxa"/>
              <w:right w:w="120" w:type="dxa"/>
            </w:tcMar>
            <w:shd w:fill="FFFFFF"/>
          </w:tcPr>
          <w:p>
            <w:pPr>
              <w:spacing w:before="40" w:after="40"/>
            </w:pPr>
            <w:r>
              <w:rPr>
                <w:rFonts w:ascii="Arial" w:hAnsi="Arial"/>
                <w:color w:val="212529"/>
                <w:sz w:val="17"/>
              </w:rPr>
              <w:t>0.91</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1,030.20 L</w:t>
            </w:r>
          </w:p>
        </w:tc>
      </w:tr>
    </w:tbl>
    <w:p>
      <w:pPr>
        <w:spacing w:before="80" w:after="240"/>
        <w:jc w:val="center"/>
      </w:pPr>
      <w:r>
        <w:rPr>
          <w:rFonts w:ascii="Arial" w:hAnsi="Arial"/>
          <w:i/>
          <w:color w:val="6C757D"/>
          <w:sz w:val="17"/>
        </w:rPr>
        <w:t>Figure: Live Production Forecast Records Written to Supabase ml_predictions Table</w:t>
      </w:r>
    </w:p>
    <w:p>
      <w:pPr>
        <w:pStyle w:val="Heading1"/>
        <w:keepNext/>
        <w:spacing w:before="400" w:after="120"/>
      </w:pPr>
      <w:r>
        <w:rPr>
          <w:rFonts w:ascii="Arial" w:hAnsi="Arial"/>
          <w:b/>
          <w:color w:val="1B365D"/>
          <w:sz w:val="32"/>
        </w:rPr>
        <w:t>9. Software Architecture &amp; Production Microservice ('ml-forecasting')</w:t>
      </w:r>
    </w:p>
    <w:p>
      <w:pPr>
        <w:spacing w:after="80" w:line="276" w:lineRule="auto"/>
      </w:pPr>
      <w:r>
        <w:rPr>
          <w:rFonts w:ascii="Arial" w:hAnsi="Arial"/>
          <w:color w:val="212529"/>
          <w:sz w:val="19"/>
        </w:rPr>
        <w:t>The 'ml-forecasting' module is engineered as a production-grade, enterprise-ready microservice. It follows strict clean architecture, separation of concerns, and robust error-handling standards.</w:t>
      </w:r>
    </w:p>
    <w:p>
      <w:pPr>
        <w:pStyle w:val="Heading2"/>
        <w:keepNext/>
        <w:spacing w:before="280" w:after="80"/>
      </w:pPr>
      <w:r>
        <w:rPr>
          <w:rFonts w:ascii="Arial" w:hAnsi="Arial"/>
          <w:b/>
          <w:color w:val="00A3E0"/>
          <w:sz w:val="25"/>
        </w:rPr>
        <w:t>9.1 Directory Hierarchy &amp; Module Manifest</w:t>
      </w:r>
    </w:p>
    <w:tbl>
      <w:tblPr>
        <w:tblW w:type="auto" w:w="0"/>
        <w:jc w:val="center"/>
        <w:tblLook w:firstColumn="1" w:firstRow="1" w:lastColumn="0" w:lastRow="0" w:noHBand="0" w:noVBand="1" w:val="04A0"/>
      </w:tblPr>
      <w:tblGrid>
        <w:gridCol w:w="3120"/>
        <w:gridCol w:w="3120"/>
        <w:gridCol w:w="3120"/>
      </w:tblGrid>
      <w:tr>
        <w:trPr>
          <w:cantSplit/>
          <w:tblHeader/>
        </w:trPr>
        <w:tc>
          <w:tcPr>
            <w:tcW w:type="dxa" w:w="2880"/>
            <w:tcMar>
              <w:top w:w="100" w:type="dxa"/>
              <w:bottom w:w="100" w:type="dxa"/>
              <w:left w:w="120" w:type="dxa"/>
              <w:right w:w="120" w:type="dxa"/>
            </w:tcMar>
            <w:shd w:fill="1B365D"/>
          </w:tcPr>
          <w:p>
            <w:pPr>
              <w:spacing w:before="60" w:after="60"/>
            </w:pPr>
            <w:r>
              <w:rPr>
                <w:rFonts w:ascii="Arial" w:hAnsi="Arial"/>
                <w:b/>
                <w:color w:val="FFFFFF"/>
                <w:sz w:val="18"/>
              </w:rPr>
              <w:t>Filename</w:t>
            </w:r>
          </w:p>
        </w:tc>
        <w:tc>
          <w:tcPr>
            <w:tcW w:type="dxa" w:w="1728"/>
            <w:tcMar>
              <w:top w:w="100" w:type="dxa"/>
              <w:bottom w:w="100" w:type="dxa"/>
              <w:left w:w="120" w:type="dxa"/>
              <w:right w:w="120" w:type="dxa"/>
            </w:tcMar>
            <w:shd w:fill="1B365D"/>
          </w:tcPr>
          <w:p>
            <w:pPr>
              <w:spacing w:before="60" w:after="60"/>
            </w:pPr>
            <w:r>
              <w:rPr>
                <w:rFonts w:ascii="Arial" w:hAnsi="Arial"/>
                <w:b/>
                <w:color w:val="FFFFFF"/>
                <w:sz w:val="18"/>
              </w:rPr>
              <w:t>Role</w:t>
            </w:r>
          </w:p>
        </w:tc>
        <w:tc>
          <w:tcPr>
            <w:tcW w:type="dxa" w:w="4752"/>
            <w:tcMar>
              <w:top w:w="100" w:type="dxa"/>
              <w:bottom w:w="100" w:type="dxa"/>
              <w:left w:w="120" w:type="dxa"/>
              <w:right w:w="120" w:type="dxa"/>
            </w:tcMar>
            <w:shd w:fill="1B365D"/>
          </w:tcPr>
          <w:p>
            <w:pPr>
              <w:spacing w:before="60" w:after="60"/>
            </w:pPr>
            <w:r>
              <w:rPr>
                <w:rFonts w:ascii="Arial" w:hAnsi="Arial"/>
                <w:b/>
                <w:color w:val="FFFFFF"/>
                <w:sz w:val="18"/>
              </w:rPr>
              <w:t>Technical Functionality</w:t>
            </w:r>
          </w:p>
        </w:tc>
      </w:tr>
      <w:tr>
        <w:trPr>
          <w:cantSplit/>
        </w:trPr>
        <w:tc>
          <w:tcPr>
            <w:tcW w:type="dxa" w:w="2880"/>
            <w:tcMar>
              <w:top w:w="100" w:type="dxa"/>
              <w:bottom w:w="100" w:type="dxa"/>
              <w:left w:w="120" w:type="dxa"/>
              <w:right w:w="120" w:type="dxa"/>
            </w:tcMar>
            <w:shd w:fill="F8FAFC"/>
          </w:tcPr>
          <w:p>
            <w:pPr>
              <w:spacing w:before="40" w:after="40"/>
            </w:pPr>
            <w:r>
              <w:rPr>
                <w:rFonts w:ascii="Arial" w:hAnsi="Arial"/>
                <w:color w:val="212529"/>
                <w:sz w:val="17"/>
              </w:rPr>
              <w:t>config.py</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Configuration</w:t>
            </w:r>
          </w:p>
        </w:tc>
        <w:tc>
          <w:tcPr>
            <w:tcW w:type="dxa" w:w="4752"/>
            <w:tcMar>
              <w:top w:w="100" w:type="dxa"/>
              <w:bottom w:w="100" w:type="dxa"/>
              <w:left w:w="120" w:type="dxa"/>
              <w:right w:w="120" w:type="dxa"/>
            </w:tcMar>
            <w:shd w:fill="F8FAFC"/>
          </w:tcPr>
          <w:p>
            <w:pPr>
              <w:spacing w:before="40" w:after="40"/>
            </w:pPr>
            <w:r>
              <w:rPr>
                <w:rFonts w:ascii="Arial" w:hAnsi="Arial"/>
                <w:color w:val="212529"/>
                <w:sz w:val="17"/>
              </w:rPr>
              <w:t>Centralized environment variables, feature schemas, API URLs, hyperparameter grids.</w:t>
            </w:r>
          </w:p>
        </w:tc>
      </w:tr>
      <w:tr>
        <w:trPr>
          <w:cantSplit/>
        </w:trPr>
        <w:tc>
          <w:tcPr>
            <w:tcW w:type="dxa" w:w="2880"/>
            <w:tcMar>
              <w:top w:w="100" w:type="dxa"/>
              <w:bottom w:w="100" w:type="dxa"/>
              <w:left w:w="120" w:type="dxa"/>
              <w:right w:w="120" w:type="dxa"/>
            </w:tcMar>
            <w:shd w:fill="FFFFFF"/>
          </w:tcPr>
          <w:p>
            <w:pPr>
              <w:spacing w:before="40" w:after="40"/>
            </w:pPr>
            <w:r>
              <w:rPr>
                <w:rFonts w:ascii="Arial" w:hAnsi="Arial"/>
                <w:color w:val="212529"/>
                <w:sz w:val="17"/>
              </w:rPr>
              <w:t>data_loader.py</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Data Ingestion</w:t>
            </w:r>
          </w:p>
        </w:tc>
        <w:tc>
          <w:tcPr>
            <w:tcW w:type="dxa" w:w="4752"/>
            <w:tcMar>
              <w:top w:w="100" w:type="dxa"/>
              <w:bottom w:w="100" w:type="dxa"/>
              <w:left w:w="120" w:type="dxa"/>
              <w:right w:w="120" w:type="dxa"/>
            </w:tcMar>
            <w:shd w:fill="FFFFFF"/>
          </w:tcPr>
          <w:p>
            <w:pPr>
              <w:spacing w:before="40" w:after="40"/>
            </w:pPr>
            <w:r>
              <w:rPr>
                <w:rFonts w:ascii="Arial" w:hAnsi="Arial"/>
                <w:color w:val="212529"/>
                <w:sz w:val="17"/>
              </w:rPr>
              <w:t>Fetches active devices and daily telemetry from ml-gateway / Supabase REST API.</w:t>
            </w:r>
          </w:p>
        </w:tc>
      </w:tr>
      <w:tr>
        <w:trPr>
          <w:cantSplit/>
        </w:trPr>
        <w:tc>
          <w:tcPr>
            <w:tcW w:type="dxa" w:w="2880"/>
            <w:tcMar>
              <w:top w:w="100" w:type="dxa"/>
              <w:bottom w:w="100" w:type="dxa"/>
              <w:left w:w="120" w:type="dxa"/>
              <w:right w:w="120" w:type="dxa"/>
            </w:tcMar>
            <w:shd w:fill="F8FAFC"/>
          </w:tcPr>
          <w:p>
            <w:pPr>
              <w:spacing w:before="40" w:after="40"/>
            </w:pPr>
            <w:r>
              <w:rPr>
                <w:rFonts w:ascii="Arial" w:hAnsi="Arial"/>
                <w:color w:val="212529"/>
                <w:sz w:val="17"/>
              </w:rPr>
              <w:t>feature_pipeline.py</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Data Engineering</w:t>
            </w:r>
          </w:p>
        </w:tc>
        <w:tc>
          <w:tcPr>
            <w:tcW w:type="dxa" w:w="4752"/>
            <w:tcMar>
              <w:top w:w="100" w:type="dxa"/>
              <w:bottom w:w="100" w:type="dxa"/>
              <w:left w:w="120" w:type="dxa"/>
              <w:right w:w="120" w:type="dxa"/>
            </w:tcMar>
            <w:shd w:fill="F8FAFC"/>
          </w:tcPr>
          <w:p>
            <w:pPr>
              <w:spacing w:before="40" w:after="40"/>
            </w:pPr>
            <w:r>
              <w:rPr>
                <w:rFonts w:ascii="Arial" w:hAnsi="Arial"/>
                <w:color w:val="212529"/>
                <w:sz w:val="17"/>
              </w:rPr>
              <w:t>Data cleaning, outlier clipping, 18-feature pipeline, 7-day future sum target generator.</w:t>
            </w:r>
          </w:p>
        </w:tc>
      </w:tr>
      <w:tr>
        <w:trPr>
          <w:cantSplit/>
        </w:trPr>
        <w:tc>
          <w:tcPr>
            <w:tcW w:type="dxa" w:w="2880"/>
            <w:tcMar>
              <w:top w:w="100" w:type="dxa"/>
              <w:bottom w:w="100" w:type="dxa"/>
              <w:left w:w="120" w:type="dxa"/>
              <w:right w:w="120" w:type="dxa"/>
            </w:tcMar>
            <w:shd w:fill="FFFFFF"/>
          </w:tcPr>
          <w:p>
            <w:pPr>
              <w:spacing w:before="40" w:after="40"/>
            </w:pPr>
            <w:r>
              <w:rPr>
                <w:rFonts w:ascii="Arial" w:hAnsi="Arial"/>
                <w:color w:val="212529"/>
                <w:sz w:val="17"/>
              </w:rPr>
              <w:t>model_registry.py</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Model Factory</w:t>
            </w:r>
          </w:p>
        </w:tc>
        <w:tc>
          <w:tcPr>
            <w:tcW w:type="dxa" w:w="4752"/>
            <w:tcMar>
              <w:top w:w="100" w:type="dxa"/>
              <w:bottom w:w="100" w:type="dxa"/>
              <w:left w:w="120" w:type="dxa"/>
              <w:right w:w="120" w:type="dxa"/>
            </w:tcMar>
            <w:shd w:fill="FFFFFF"/>
          </w:tcPr>
          <w:p>
            <w:pPr>
              <w:spacing w:before="40" w:after="40"/>
            </w:pPr>
            <w:r>
              <w:rPr>
                <w:rFonts w:ascii="Arial" w:hAnsi="Arial"/>
                <w:color w:val="212529"/>
                <w:sz w:val="17"/>
              </w:rPr>
              <w:t>Builds, configures, and tunes 7 candidate scikit-learn / XGBoost model pipelines.</w:t>
            </w:r>
          </w:p>
        </w:tc>
      </w:tr>
      <w:tr>
        <w:trPr>
          <w:cantSplit/>
        </w:trPr>
        <w:tc>
          <w:tcPr>
            <w:tcW w:type="dxa" w:w="2880"/>
            <w:tcMar>
              <w:top w:w="100" w:type="dxa"/>
              <w:bottom w:w="100" w:type="dxa"/>
              <w:left w:w="120" w:type="dxa"/>
              <w:right w:w="120" w:type="dxa"/>
            </w:tcMar>
            <w:shd w:fill="F8FAFC"/>
          </w:tcPr>
          <w:p>
            <w:pPr>
              <w:spacing w:before="40" w:after="40"/>
            </w:pPr>
            <w:r>
              <w:rPr>
                <w:rFonts w:ascii="Arial" w:hAnsi="Arial"/>
                <w:color w:val="212529"/>
                <w:sz w:val="17"/>
              </w:rPr>
              <w:t>evaluator.py</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Validation Engine</w:t>
            </w:r>
          </w:p>
        </w:tc>
        <w:tc>
          <w:tcPr>
            <w:tcW w:type="dxa" w:w="4752"/>
            <w:tcMar>
              <w:top w:w="100" w:type="dxa"/>
              <w:bottom w:w="100" w:type="dxa"/>
              <w:left w:w="120" w:type="dxa"/>
              <w:right w:w="120" w:type="dxa"/>
            </w:tcMar>
            <w:shd w:fill="F8FAFC"/>
          </w:tcPr>
          <w:p>
            <w:pPr>
              <w:spacing w:before="40" w:after="40"/>
            </w:pPr>
            <w:r>
              <w:rPr>
                <w:rFonts w:ascii="Arial" w:hAnsi="Arial"/>
                <w:color w:val="212529"/>
                <w:sz w:val="17"/>
              </w:rPr>
              <w:t>Expanding-window 5-fold TimeSeriesSplit cross-validation, holdout testing, metrics reporting.</w:t>
            </w:r>
          </w:p>
        </w:tc>
      </w:tr>
      <w:tr>
        <w:trPr>
          <w:cantSplit/>
        </w:trPr>
        <w:tc>
          <w:tcPr>
            <w:tcW w:type="dxa" w:w="2880"/>
            <w:tcMar>
              <w:top w:w="100" w:type="dxa"/>
              <w:bottom w:w="100" w:type="dxa"/>
              <w:left w:w="120" w:type="dxa"/>
              <w:right w:w="120" w:type="dxa"/>
            </w:tcMar>
            <w:shd w:fill="FFFFFF"/>
          </w:tcPr>
          <w:p>
            <w:pPr>
              <w:spacing w:before="40" w:after="40"/>
            </w:pPr>
            <w:r>
              <w:rPr>
                <w:rFonts w:ascii="Arial" w:hAnsi="Arial"/>
                <w:color w:val="212529"/>
                <w:sz w:val="17"/>
              </w:rPr>
              <w:t>weekly_forecaster.py</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Production Forecaster</w:t>
            </w:r>
          </w:p>
        </w:tc>
        <w:tc>
          <w:tcPr>
            <w:tcW w:type="dxa" w:w="4752"/>
            <w:tcMar>
              <w:top w:w="100" w:type="dxa"/>
              <w:bottom w:w="100" w:type="dxa"/>
              <w:left w:w="120" w:type="dxa"/>
              <w:right w:w="120" w:type="dxa"/>
            </w:tcMar>
            <w:shd w:fill="FFFFFF"/>
          </w:tcPr>
          <w:p>
            <w:pPr>
              <w:spacing w:before="40" w:after="40"/>
            </w:pPr>
            <w:r>
              <w:rPr>
                <w:rFonts w:ascii="Arial" w:hAnsi="Arial"/>
                <w:color w:val="212529"/>
                <w:sz w:val="17"/>
              </w:rPr>
              <w:t>Generates single 1-figure weekly predictions formatted to the Supabase schema.</w:t>
            </w:r>
          </w:p>
        </w:tc>
      </w:tr>
      <w:tr>
        <w:trPr>
          <w:cantSplit/>
        </w:trPr>
        <w:tc>
          <w:tcPr>
            <w:tcW w:type="dxa" w:w="2880"/>
            <w:tcMar>
              <w:top w:w="100" w:type="dxa"/>
              <w:bottom w:w="100" w:type="dxa"/>
              <w:left w:w="120" w:type="dxa"/>
              <w:right w:w="120" w:type="dxa"/>
            </w:tcMar>
            <w:shd w:fill="F8FAFC"/>
          </w:tcPr>
          <w:p>
            <w:pPr>
              <w:spacing w:before="40" w:after="40"/>
            </w:pPr>
            <w:r>
              <w:rPr>
                <w:rFonts w:ascii="Arial" w:hAnsi="Arial"/>
                <w:color w:val="212529"/>
                <w:sz w:val="17"/>
              </w:rPr>
              <w:t>db_publisher.py</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Database Client</w:t>
            </w:r>
          </w:p>
        </w:tc>
        <w:tc>
          <w:tcPr>
            <w:tcW w:type="dxa" w:w="4752"/>
            <w:tcMar>
              <w:top w:w="100" w:type="dxa"/>
              <w:bottom w:w="100" w:type="dxa"/>
              <w:left w:w="120" w:type="dxa"/>
              <w:right w:w="120" w:type="dxa"/>
            </w:tcMar>
            <w:shd w:fill="F8FAFC"/>
          </w:tcPr>
          <w:p>
            <w:pPr>
              <w:spacing w:before="40" w:after="40"/>
            </w:pPr>
            <w:r>
              <w:rPr>
                <w:rFonts w:ascii="Arial" w:hAnsi="Arial"/>
                <w:color w:val="212529"/>
                <w:sz w:val="17"/>
              </w:rPr>
              <w:t>Persists prediction payloads into Supabase 'ml_predictions' with fallback retry logic.</w:t>
            </w:r>
          </w:p>
        </w:tc>
      </w:tr>
      <w:tr>
        <w:trPr>
          <w:cantSplit/>
        </w:trPr>
        <w:tc>
          <w:tcPr>
            <w:tcW w:type="dxa" w:w="2880"/>
            <w:tcMar>
              <w:top w:w="100" w:type="dxa"/>
              <w:bottom w:w="100" w:type="dxa"/>
              <w:left w:w="120" w:type="dxa"/>
              <w:right w:w="120" w:type="dxa"/>
            </w:tcMar>
            <w:shd w:fill="FFFFFF"/>
          </w:tcPr>
          <w:p>
            <w:pPr>
              <w:spacing w:before="40" w:after="40"/>
            </w:pPr>
            <w:r>
              <w:rPr>
                <w:rFonts w:ascii="Arial" w:hAnsi="Arial"/>
                <w:color w:val="212529"/>
                <w:sz w:val="17"/>
              </w:rPr>
              <w:t>shap_analysis.py</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Explainable AI</w:t>
            </w:r>
          </w:p>
        </w:tc>
        <w:tc>
          <w:tcPr>
            <w:tcW w:type="dxa" w:w="4752"/>
            <w:tcMar>
              <w:top w:w="100" w:type="dxa"/>
              <w:bottom w:w="100" w:type="dxa"/>
              <w:left w:w="120" w:type="dxa"/>
              <w:right w:w="120" w:type="dxa"/>
            </w:tcMar>
            <w:shd w:fill="FFFFFF"/>
          </w:tcPr>
          <w:p>
            <w:pPr>
              <w:spacing w:before="40" w:after="40"/>
            </w:pPr>
            <w:r>
              <w:rPr>
                <w:rFonts w:ascii="Arial" w:hAnsi="Arial"/>
                <w:color w:val="212529"/>
                <w:sz w:val="17"/>
              </w:rPr>
              <w:t>Computes TreeSHAP attributions; renders high-DPI bar, beeswarm, and composite plots.</w:t>
            </w:r>
          </w:p>
        </w:tc>
      </w:tr>
      <w:tr>
        <w:trPr>
          <w:cantSplit/>
        </w:trPr>
        <w:tc>
          <w:tcPr>
            <w:tcW w:type="dxa" w:w="2880"/>
            <w:tcMar>
              <w:top w:w="100" w:type="dxa"/>
              <w:bottom w:w="100" w:type="dxa"/>
              <w:left w:w="120" w:type="dxa"/>
              <w:right w:w="120" w:type="dxa"/>
            </w:tcMar>
            <w:shd w:fill="F8FAFC"/>
          </w:tcPr>
          <w:p>
            <w:pPr>
              <w:spacing w:before="40" w:after="40"/>
            </w:pPr>
            <w:r>
              <w:rPr>
                <w:rFonts w:ascii="Arial" w:hAnsi="Arial"/>
                <w:color w:val="212529"/>
                <w:sz w:val="17"/>
              </w:rPr>
              <w:t>main.py</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FastAPI Service</w:t>
            </w:r>
          </w:p>
        </w:tc>
        <w:tc>
          <w:tcPr>
            <w:tcW w:type="dxa" w:w="4752"/>
            <w:tcMar>
              <w:top w:w="100" w:type="dxa"/>
              <w:bottom w:w="100" w:type="dxa"/>
              <w:left w:w="120" w:type="dxa"/>
              <w:right w:w="120" w:type="dxa"/>
            </w:tcMar>
            <w:shd w:fill="F8FAFC"/>
          </w:tcPr>
          <w:p>
            <w:pPr>
              <w:spacing w:before="40" w:after="40"/>
            </w:pPr>
            <w:r>
              <w:rPr>
                <w:rFonts w:ascii="Arial" w:hAnsi="Arial"/>
                <w:color w:val="212529"/>
                <w:sz w:val="17"/>
              </w:rPr>
              <w:t>REST API microservice exposing /predict, /benchmark, /explain, and /health endpoints.</w:t>
            </w:r>
          </w:p>
        </w:tc>
      </w:tr>
      <w:tr>
        <w:trPr>
          <w:cantSplit/>
        </w:trPr>
        <w:tc>
          <w:tcPr>
            <w:tcW w:type="dxa" w:w="2880"/>
            <w:tcMar>
              <w:top w:w="100" w:type="dxa"/>
              <w:bottom w:w="100" w:type="dxa"/>
              <w:left w:w="120" w:type="dxa"/>
              <w:right w:w="120" w:type="dxa"/>
            </w:tcMar>
            <w:shd w:fill="FFFFFF"/>
          </w:tcPr>
          <w:p>
            <w:pPr>
              <w:spacing w:before="40" w:after="40"/>
            </w:pPr>
            <w:r>
              <w:rPr>
                <w:rFonts w:ascii="Arial" w:hAnsi="Arial"/>
                <w:color w:val="212529"/>
                <w:sz w:val="17"/>
              </w:rPr>
              <w:t>run_benchmark.py</w:t>
            </w:r>
          </w:p>
        </w:tc>
        <w:tc>
          <w:tcPr>
            <w:tcW w:type="dxa" w:w="1728"/>
            <w:tcMar>
              <w:top w:w="100" w:type="dxa"/>
              <w:bottom w:w="100" w:type="dxa"/>
              <w:left w:w="120" w:type="dxa"/>
              <w:right w:w="120" w:type="dxa"/>
            </w:tcMar>
            <w:shd w:fill="FFFFFF"/>
          </w:tcPr>
          <w:p>
            <w:pPr>
              <w:spacing w:before="40" w:after="40"/>
            </w:pPr>
            <w:r>
              <w:rPr>
                <w:rFonts w:ascii="Arial" w:hAnsi="Arial"/>
                <w:color w:val="212529"/>
                <w:sz w:val="17"/>
              </w:rPr>
              <w:t>CLI Runner</w:t>
            </w:r>
          </w:p>
        </w:tc>
        <w:tc>
          <w:tcPr>
            <w:tcW w:type="dxa" w:w="4752"/>
            <w:tcMar>
              <w:top w:w="100" w:type="dxa"/>
              <w:bottom w:w="100" w:type="dxa"/>
              <w:left w:w="120" w:type="dxa"/>
              <w:right w:w="120" w:type="dxa"/>
            </w:tcMar>
            <w:shd w:fill="FFFFFF"/>
          </w:tcPr>
          <w:p>
            <w:pPr>
              <w:spacing w:before="40" w:after="40"/>
            </w:pPr>
            <w:r>
              <w:rPr>
                <w:rFonts w:ascii="Arial" w:hAnsi="Arial"/>
                <w:color w:val="212529"/>
                <w:sz w:val="17"/>
              </w:rPr>
              <w:t>Automated benchmarking CLI with Windows UTF-8 stdout configuration and logging.</w:t>
            </w:r>
          </w:p>
        </w:tc>
      </w:tr>
      <w:tr>
        <w:trPr>
          <w:cantSplit/>
        </w:trPr>
        <w:tc>
          <w:tcPr>
            <w:tcW w:type="dxa" w:w="2880"/>
            <w:tcMar>
              <w:top w:w="100" w:type="dxa"/>
              <w:bottom w:w="100" w:type="dxa"/>
              <w:left w:w="120" w:type="dxa"/>
              <w:right w:w="120" w:type="dxa"/>
            </w:tcMar>
            <w:shd w:fill="F8FAFC"/>
          </w:tcPr>
          <w:p>
            <w:pPr>
              <w:spacing w:before="40" w:after="40"/>
            </w:pPr>
            <w:r>
              <w:rPr>
                <w:rFonts w:ascii="Arial" w:hAnsi="Arial"/>
                <w:color w:val="212529"/>
                <w:sz w:val="17"/>
              </w:rPr>
              <w:t>README.md</w:t>
            </w:r>
          </w:p>
        </w:tc>
        <w:tc>
          <w:tcPr>
            <w:tcW w:type="dxa" w:w="1728"/>
            <w:tcMar>
              <w:top w:w="100" w:type="dxa"/>
              <w:bottom w:w="100" w:type="dxa"/>
              <w:left w:w="120" w:type="dxa"/>
              <w:right w:w="120" w:type="dxa"/>
            </w:tcMar>
            <w:shd w:fill="F8FAFC"/>
          </w:tcPr>
          <w:p>
            <w:pPr>
              <w:spacing w:before="40" w:after="40"/>
            </w:pPr>
            <w:r>
              <w:rPr>
                <w:rFonts w:ascii="Arial" w:hAnsi="Arial"/>
                <w:color w:val="212529"/>
                <w:sz w:val="17"/>
              </w:rPr>
              <w:t>Documentation</w:t>
            </w:r>
          </w:p>
        </w:tc>
        <w:tc>
          <w:tcPr>
            <w:tcW w:type="dxa" w:w="4752"/>
            <w:tcMar>
              <w:top w:w="100" w:type="dxa"/>
              <w:bottom w:w="100" w:type="dxa"/>
              <w:left w:w="120" w:type="dxa"/>
              <w:right w:w="120" w:type="dxa"/>
            </w:tcMar>
            <w:shd w:fill="F8FAFC"/>
          </w:tcPr>
          <w:p>
            <w:pPr>
              <w:spacing w:before="40" w:after="40"/>
            </w:pPr>
            <w:r>
              <w:rPr>
                <w:rFonts w:ascii="Arial" w:hAnsi="Arial"/>
                <w:color w:val="212529"/>
                <w:sz w:val="17"/>
              </w:rPr>
              <w:t>Comprehensive developer guide, endpoint schemas, and deployment instructions.</w:t>
            </w:r>
          </w:p>
        </w:tc>
      </w:tr>
    </w:tbl>
    <w:p>
      <w:pPr>
        <w:spacing w:before="80" w:after="240"/>
        <w:jc w:val="center"/>
      </w:pPr>
      <w:r>
        <w:rPr>
          <w:rFonts w:ascii="Arial" w:hAnsi="Arial"/>
          <w:i/>
          <w:color w:val="6C757D"/>
          <w:sz w:val="17"/>
        </w:rPr>
        <w:t>Figure: Codebase Manifest of the ml-forecasting Production Microservice</w:t>
      </w:r>
    </w:p>
    <w:p>
      <w:pPr>
        <w:pStyle w:val="Heading2"/>
        <w:keepNext/>
        <w:spacing w:before="280" w:after="80"/>
      </w:pPr>
      <w:r>
        <w:rPr>
          <w:rFonts w:ascii="Arial" w:hAnsi="Arial"/>
          <w:b/>
          <w:color w:val="00A3E0"/>
          <w:sz w:val="25"/>
        </w:rPr>
        <w:t>9.2 REST API Specification (FastAPI)</w:t>
      </w:r>
    </w:p>
    <w:p>
      <w:pPr>
        <w:spacing w:after="80" w:line="276" w:lineRule="auto"/>
      </w:pPr>
      <w:r>
        <w:rPr>
          <w:rFonts w:ascii="Arial" w:hAnsi="Arial"/>
          <w:color w:val="212529"/>
          <w:sz w:val="19"/>
        </w:rPr>
        <w:t>The microservice exposes high-performance asynchronous REST endpoints:</w:t>
      </w:r>
    </w:p>
    <w:p>
      <w:pPr>
        <w:pStyle w:val="ListBullet"/>
        <w:spacing w:after="60" w:line="276" w:lineRule="auto"/>
      </w:pPr>
      <w:r>
        <w:rPr>
          <w:rFonts w:ascii="Arial" w:hAnsi="Arial"/>
          <w:b/>
          <w:color w:val="1B365D"/>
          <w:sz w:val="19"/>
        </w:rPr>
        <w:t xml:space="preserve">GET /health: </w:t>
      </w:r>
      <w:r>
        <w:rPr>
          <w:rFonts w:ascii="Arial" w:hAnsi="Arial"/>
          <w:color w:val="212529"/>
          <w:sz w:val="19"/>
        </w:rPr>
        <w:t>Returns service status, active model version, and connected database status.</w:t>
      </w:r>
    </w:p>
    <w:p>
      <w:pPr>
        <w:pStyle w:val="ListBullet"/>
        <w:spacing w:after="60" w:line="276" w:lineRule="auto"/>
      </w:pPr>
      <w:r>
        <w:rPr>
          <w:rFonts w:ascii="Arial" w:hAnsi="Arial"/>
          <w:b/>
          <w:color w:val="1B365D"/>
          <w:sz w:val="19"/>
        </w:rPr>
        <w:t xml:space="preserve">POST /predict: </w:t>
      </w:r>
      <w:r>
        <w:rPr>
          <w:rFonts w:ascii="Arial" w:hAnsi="Arial"/>
          <w:color w:val="212529"/>
          <w:sz w:val="19"/>
        </w:rPr>
        <w:t>Accepts device_id and historical telemetry; returns single-figure weekly forecast (Liters), confidence score, and stores record in Supabase.</w:t>
      </w:r>
    </w:p>
    <w:p>
      <w:pPr>
        <w:pStyle w:val="ListBullet"/>
        <w:spacing w:after="60" w:line="276" w:lineRule="auto"/>
      </w:pPr>
      <w:r>
        <w:rPr>
          <w:rFonts w:ascii="Arial" w:hAnsi="Arial"/>
          <w:b/>
          <w:color w:val="1B365D"/>
          <w:sz w:val="19"/>
        </w:rPr>
        <w:t xml:space="preserve">POST /benchmark: </w:t>
      </w:r>
      <w:r>
        <w:rPr>
          <w:rFonts w:ascii="Arial" w:hAnsi="Arial"/>
          <w:color w:val="212529"/>
          <w:sz w:val="19"/>
        </w:rPr>
        <w:t>Executes full 5-fold expanding window cross-validation across all 7 candidate algorithms and returns complete comparative metric tables.</w:t>
      </w:r>
    </w:p>
    <w:p>
      <w:pPr>
        <w:pStyle w:val="ListBullet"/>
        <w:spacing w:after="60" w:line="276" w:lineRule="auto"/>
      </w:pPr>
      <w:r>
        <w:rPr>
          <w:rFonts w:ascii="Arial" w:hAnsi="Arial"/>
          <w:b/>
          <w:color w:val="1B365D"/>
          <w:sz w:val="19"/>
        </w:rPr>
        <w:t xml:space="preserve">GET /explain: </w:t>
      </w:r>
      <w:r>
        <w:rPr>
          <w:rFonts w:ascii="Arial" w:hAnsi="Arial"/>
          <w:color w:val="212529"/>
          <w:sz w:val="19"/>
        </w:rPr>
        <w:t>Generates and returns SHAP attribution scores and feature rankings for the latest prediction.</w:t>
      </w:r>
    </w:p>
    <w:p>
      <w:pPr>
        <w:pStyle w:val="Heading1"/>
        <w:keepNext/>
        <w:spacing w:before="400" w:after="120"/>
      </w:pPr>
      <w:r>
        <w:rPr>
          <w:rFonts w:ascii="Arial" w:hAnsi="Arial"/>
          <w:b/>
          <w:color w:val="1B365D"/>
          <w:sz w:val="32"/>
        </w:rPr>
        <w:t>10. Operational Runbook, Deployment &amp; Maintenance</w:t>
      </w:r>
    </w:p>
    <w:p>
      <w:pPr>
        <w:spacing w:after="80" w:line="276" w:lineRule="auto"/>
      </w:pPr>
      <w:r>
        <w:rPr>
          <w:rFonts w:ascii="Arial" w:hAnsi="Arial"/>
          <w:color w:val="212529"/>
          <w:sz w:val="19"/>
        </w:rPr>
        <w:t>This section outlines standard operating procedures for deploying, executing, and maintaining the 'ml-forecasting' service.</w:t>
      </w:r>
    </w:p>
    <w:p>
      <w:pPr>
        <w:pStyle w:val="Heading2"/>
        <w:keepNext/>
        <w:spacing w:before="280" w:after="80"/>
      </w:pPr>
      <w:r>
        <w:rPr>
          <w:rFonts w:ascii="Arial" w:hAnsi="Arial"/>
          <w:b/>
          <w:color w:val="00A3E0"/>
          <w:sz w:val="25"/>
        </w:rPr>
        <w:t>10.1 Execution Guide</w:t>
      </w:r>
    </w:p>
    <w:p>
      <w:pPr>
        <w:pStyle w:val="ListBullet"/>
        <w:spacing w:after="60" w:line="276" w:lineRule="auto"/>
      </w:pPr>
      <w:r>
        <w:rPr>
          <w:rFonts w:ascii="Arial" w:hAnsi="Arial"/>
          <w:b/>
          <w:color w:val="1B365D"/>
          <w:sz w:val="19"/>
        </w:rPr>
        <w:t xml:space="preserve">Running Benchmark CLI: </w:t>
      </w:r>
      <w:r>
        <w:rPr>
          <w:rFonts w:ascii="Arial" w:hAnsi="Arial"/>
          <w:color w:val="212529"/>
          <w:sz w:val="19"/>
        </w:rPr>
        <w:t>python ml-forecasting/run_benchmark.py</w:t>
      </w:r>
    </w:p>
    <w:p>
      <w:pPr>
        <w:pStyle w:val="ListBullet"/>
        <w:spacing w:after="60" w:line="276" w:lineRule="auto"/>
      </w:pPr>
      <w:r>
        <w:rPr>
          <w:rFonts w:ascii="Arial" w:hAnsi="Arial"/>
          <w:b/>
          <w:color w:val="1B365D"/>
          <w:sz w:val="19"/>
        </w:rPr>
        <w:t xml:space="preserve">Running SHAP Interpretability: </w:t>
      </w:r>
      <w:r>
        <w:rPr>
          <w:rFonts w:ascii="Arial" w:hAnsi="Arial"/>
          <w:color w:val="212529"/>
          <w:sz w:val="19"/>
        </w:rPr>
        <w:t>python ml-forecasting/shap_analysis.py</w:t>
      </w:r>
    </w:p>
    <w:p>
      <w:pPr>
        <w:pStyle w:val="ListBullet"/>
        <w:spacing w:after="60" w:line="276" w:lineRule="auto"/>
      </w:pPr>
      <w:r>
        <w:rPr>
          <w:rFonts w:ascii="Arial" w:hAnsi="Arial"/>
          <w:b/>
          <w:color w:val="1B365D"/>
          <w:sz w:val="19"/>
        </w:rPr>
        <w:t xml:space="preserve">Generating Predictions &amp; Excel File: </w:t>
      </w:r>
      <w:r>
        <w:rPr>
          <w:rFonts w:ascii="Arial" w:hAnsi="Arial"/>
          <w:color w:val="212529"/>
          <w:sz w:val="19"/>
        </w:rPr>
        <w:t>python ml-forecasting/generate_shap_and_excel.py</w:t>
      </w:r>
    </w:p>
    <w:p>
      <w:pPr>
        <w:pStyle w:val="ListBullet"/>
        <w:spacing w:after="60" w:line="276" w:lineRule="auto"/>
      </w:pPr>
      <w:r>
        <w:rPr>
          <w:rFonts w:ascii="Arial" w:hAnsi="Arial"/>
          <w:b/>
          <w:color w:val="1B365D"/>
          <w:sz w:val="19"/>
        </w:rPr>
        <w:t xml:space="preserve">Starting FastAPI Microservice: </w:t>
      </w:r>
      <w:r>
        <w:rPr>
          <w:rFonts w:ascii="Arial" w:hAnsi="Arial"/>
          <w:color w:val="212529"/>
          <w:sz w:val="19"/>
        </w:rPr>
        <w:t>python ml-forecasting/main.py  (Starts Uvicorn server on http://localhost:8001)</w:t>
      </w:r>
    </w:p>
    <w:p>
      <w:pPr>
        <w:pStyle w:val="Heading2"/>
        <w:keepNext/>
        <w:spacing w:before="280" w:after="80"/>
      </w:pPr>
      <w:r>
        <w:rPr>
          <w:rFonts w:ascii="Arial" w:hAnsi="Arial"/>
          <w:b/>
          <w:color w:val="00A3E0"/>
          <w:sz w:val="25"/>
        </w:rPr>
        <w:t>10.2 Model Retraining Cadence &amp; Drift Monitoring</w:t>
      </w:r>
    </w:p>
    <w:p>
      <w:pPr>
        <w:spacing w:after="80" w:line="276" w:lineRule="auto"/>
      </w:pPr>
      <w:r>
        <w:rPr>
          <w:rFonts w:ascii="Arial" w:hAnsi="Arial"/>
          <w:color w:val="212529"/>
          <w:sz w:val="19"/>
        </w:rPr>
        <w:t>To ensure continuous prediction accuracy across changing seasons and occupancy shifts, the following maintenance lifecycle is enforced:</w:t>
      </w:r>
    </w:p>
    <w:p>
      <w:pPr>
        <w:pStyle w:val="ListBullet"/>
        <w:spacing w:after="60" w:line="276" w:lineRule="auto"/>
      </w:pPr>
      <w:r>
        <w:rPr>
          <w:rFonts w:ascii="Arial" w:hAnsi="Arial"/>
          <w:b/>
          <w:color w:val="1B365D"/>
          <w:sz w:val="19"/>
        </w:rPr>
        <w:t xml:space="preserve">Weekly Retraining Cadence: </w:t>
      </w:r>
      <w:r>
        <w:rPr>
          <w:rFonts w:ascii="Arial" w:hAnsi="Arial"/>
          <w:color w:val="212529"/>
          <w:sz w:val="19"/>
        </w:rPr>
        <w:t>Every Sunday at 00:00 UTC, the forecasting model is automatically retrained on the most recent 180 days of sensor readings.</w:t>
      </w:r>
    </w:p>
    <w:p>
      <w:pPr>
        <w:pStyle w:val="ListBullet"/>
        <w:spacing w:after="60" w:line="276" w:lineRule="auto"/>
      </w:pPr>
      <w:r>
        <w:rPr>
          <w:rFonts w:ascii="Arial" w:hAnsi="Arial"/>
          <w:b/>
          <w:color w:val="1B365D"/>
          <w:sz w:val="19"/>
        </w:rPr>
        <w:t xml:space="preserve">Concept Drift Detection: </w:t>
      </w:r>
      <w:r>
        <w:rPr>
          <w:rFonts w:ascii="Arial" w:hAnsi="Arial"/>
          <w:color w:val="212529"/>
          <w:sz w:val="19"/>
        </w:rPr>
        <w:t>If the rolling 7-day MAPE exceeds 15.0% for three consecutive cycles, an automated drift alert is triggered, prompting hyperparameter re-tuning.</w:t>
      </w:r>
    </w:p>
    <w:p>
      <w:pPr>
        <w:pStyle w:val="ListBullet"/>
        <w:spacing w:after="60" w:line="276" w:lineRule="auto"/>
      </w:pPr>
      <w:r>
        <w:rPr>
          <w:rFonts w:ascii="Arial" w:hAnsi="Arial"/>
          <w:b/>
          <w:color w:val="1B365D"/>
          <w:sz w:val="19"/>
        </w:rPr>
        <w:t xml:space="preserve">Missing Telemetry Fallback: </w:t>
      </w:r>
      <w:r>
        <w:rPr>
          <w:rFonts w:ascii="Arial" w:hAnsi="Arial"/>
          <w:color w:val="212529"/>
          <w:sz w:val="19"/>
        </w:rPr>
        <w:t>If a sensor experiences a hardware dropout (&lt; 5 days of data), the system automatically defaults to the household's 30-day baseline average.</w:t>
      </w:r>
    </w:p>
    <w:p>
      <w:pPr>
        <w:pStyle w:val="Heading1"/>
        <w:keepNext/>
        <w:spacing w:before="400" w:after="120"/>
      </w:pPr>
      <w:r>
        <w:rPr>
          <w:rFonts w:ascii="Arial" w:hAnsi="Arial"/>
          <w:b/>
          <w:color w:val="1B365D"/>
          <w:sz w:val="32"/>
        </w:rPr>
        <w:t>11. Companion Multi-Tab Excel Workbook Guide</w:t>
      </w:r>
    </w:p>
    <w:p>
      <w:pPr>
        <w:spacing w:after="80" w:line="276" w:lineRule="auto"/>
      </w:pPr>
      <w:r>
        <w:rPr>
          <w:rFonts w:ascii="Arial" w:hAnsi="Arial"/>
          <w:color w:val="212529"/>
          <w:sz w:val="19"/>
        </w:rPr>
        <w:t>Alongside this technical document, an enterprise-grade multi-tab Microsoft Excel workbook has been generated: 'Water_Angel_ML_Features_and_Predictions.xlsx'. It contains four structured sheets:</w:t>
      </w:r>
    </w:p>
    <w:p>
      <w:pPr>
        <w:pStyle w:val="ListBullet"/>
        <w:spacing w:after="60" w:line="276" w:lineRule="auto"/>
      </w:pPr>
      <w:r>
        <w:rPr>
          <w:rFonts w:ascii="Arial" w:hAnsi="Arial"/>
          <w:b/>
          <w:color w:val="1B365D"/>
          <w:sz w:val="19"/>
        </w:rPr>
        <w:t xml:space="preserve">Tab 1: Feature_Dictionary_SHAP: </w:t>
      </w:r>
      <w:r>
        <w:rPr>
          <w:rFonts w:ascii="Arial" w:hAnsi="Arial"/>
          <w:color w:val="212529"/>
          <w:sz w:val="19"/>
        </w:rPr>
        <w:t>Exhaustive documentation of all 18 engineered features, physical units, calculation formulas, SHAP rank, and directional impact.</w:t>
      </w:r>
    </w:p>
    <w:p>
      <w:pPr>
        <w:pStyle w:val="ListBullet"/>
        <w:spacing w:after="60" w:line="276" w:lineRule="auto"/>
      </w:pPr>
      <w:r>
        <w:rPr>
          <w:rFonts w:ascii="Arial" w:hAnsi="Arial"/>
          <w:b/>
          <w:color w:val="1B365D"/>
          <w:sz w:val="19"/>
        </w:rPr>
        <w:t xml:space="preserve">Tab 2: Model_Benchmark_Metrics: </w:t>
      </w:r>
      <w:r>
        <w:rPr>
          <w:rFonts w:ascii="Arial" w:hAnsi="Arial"/>
          <w:color w:val="212529"/>
          <w:sz w:val="19"/>
        </w:rPr>
        <w:t>Side-by-side benchmark comparison of all 7 algorithms across MAE, RMSE, MAPE, R^2, and cross-validation stability.</w:t>
      </w:r>
    </w:p>
    <w:p>
      <w:pPr>
        <w:pStyle w:val="ListBullet"/>
        <w:spacing w:after="60" w:line="276" w:lineRule="auto"/>
      </w:pPr>
      <w:r>
        <w:rPr>
          <w:rFonts w:ascii="Arial" w:hAnsi="Arial"/>
          <w:b/>
          <w:color w:val="1B365D"/>
          <w:sz w:val="19"/>
        </w:rPr>
        <w:t xml:space="preserve">Tab 3: Engineered_Features_Dataset: </w:t>
      </w:r>
      <w:r>
        <w:rPr>
          <w:rFonts w:ascii="Arial" w:hAnsi="Arial"/>
          <w:color w:val="212529"/>
          <w:sz w:val="19"/>
        </w:rPr>
        <w:t>The full numerical dataset showing raw daily volumes transformed into lags, rolling averages, momentum, and calendar signals.</w:t>
      </w:r>
    </w:p>
    <w:p>
      <w:pPr>
        <w:pStyle w:val="ListBullet"/>
        <w:spacing w:after="60" w:line="276" w:lineRule="auto"/>
      </w:pPr>
      <w:r>
        <w:rPr>
          <w:rFonts w:ascii="Arial" w:hAnsi="Arial"/>
          <w:b/>
          <w:color w:val="1B365D"/>
          <w:sz w:val="19"/>
        </w:rPr>
        <w:t xml:space="preserve">Tab 4: Live_ml_predictions_Table: </w:t>
      </w:r>
      <w:r>
        <w:rPr>
          <w:rFonts w:ascii="Arial" w:hAnsi="Arial"/>
          <w:color w:val="212529"/>
          <w:sz w:val="19"/>
        </w:rPr>
        <w:t>Production prediction records ready for Supabase ingestion, formatted to the official table schema.</w:t>
      </w:r>
    </w:p>
    <w:p>
      <w:pPr>
        <w:pStyle w:val="Heading1"/>
        <w:keepNext/>
        <w:spacing w:before="400" w:after="120"/>
      </w:pPr>
      <w:r>
        <w:rPr>
          <w:rFonts w:ascii="Arial" w:hAnsi="Arial"/>
          <w:b/>
          <w:color w:val="1B365D"/>
          <w:sz w:val="32"/>
        </w:rPr>
        <w:t>12. Conclusion &amp; Summary</w:t>
      </w:r>
    </w:p>
    <w:p>
      <w:pPr>
        <w:spacing w:after="80" w:line="276" w:lineRule="auto"/>
      </w:pPr>
      <w:r>
        <w:rPr>
          <w:rFonts w:ascii="Arial" w:hAnsi="Arial"/>
          <w:color w:val="212529"/>
          <w:sz w:val="19"/>
        </w:rPr>
        <w:t>The Water Angel Machine Learning subsystem has been successfully elevated from a prototype concept to an enterprise-grade, scientifically validated forecasting microservice. By transitioning to a single-figure weekly water prediction target (xxx Liters), eliminating legacy autoregressive compounding errors, identifying the superior performance of regularized linear estimators over tree models on household time-series data, and establishing full SHAP explainability, the Water Angel platform provides unmatched predictive precision, leak prevention intelligence, and consumer trust.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C757D"/>
        <w:sz w:val="16"/>
      </w:rPr>
      <w:t>Confidential &amp; Proprietary - Water Angel IoT Guardian Platform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C757D"/>
        <w:sz w:val="16"/>
      </w:rPr>
      <w:t>Water Angel Platform | Machine Learning Architecture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