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02" w:rsidRPr="00514EE4" w:rsidRDefault="002C5A02" w:rsidP="00514EE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ab/>
        <w:t>: Salma Zulfatul Latifah</w:t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Teosofi</w:t>
      </w:r>
      <w:proofErr w:type="spellEnd"/>
    </w:p>
    <w:p w:rsidR="002C5A02" w:rsidRPr="00514EE4" w:rsidRDefault="002C5A02" w:rsidP="00514EE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514EE4">
        <w:rPr>
          <w:rFonts w:asciiTheme="majorBidi" w:hAnsiTheme="majorBidi" w:cstheme="majorBidi"/>
          <w:sz w:val="24"/>
          <w:szCs w:val="24"/>
        </w:rPr>
        <w:t>NIM</w:t>
      </w:r>
      <w:r w:rsidRPr="00514EE4">
        <w:rPr>
          <w:rFonts w:asciiTheme="majorBidi" w:hAnsiTheme="majorBidi" w:cstheme="majorBidi"/>
          <w:sz w:val="24"/>
          <w:szCs w:val="24"/>
        </w:rPr>
        <w:tab/>
        <w:t>: 19650038</w:t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</w:r>
      <w:r w:rsidR="00514EE4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ab/>
      </w:r>
      <w:r w:rsidRPr="00514EE4">
        <w:rPr>
          <w:rFonts w:asciiTheme="majorBidi" w:hAnsiTheme="majorBidi" w:cstheme="majorBidi"/>
          <w:sz w:val="24"/>
          <w:szCs w:val="24"/>
        </w:rPr>
        <w:tab/>
        <w:t>: J</w:t>
      </w:r>
    </w:p>
    <w:p w:rsidR="002C5A02" w:rsidRPr="00514EE4" w:rsidRDefault="002C5A02" w:rsidP="00514EE4">
      <w:pPr>
        <w:spacing w:after="1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14EE4">
        <w:rPr>
          <w:rFonts w:asciiTheme="majorBidi" w:hAnsiTheme="majorBidi" w:cstheme="majorBidi"/>
          <w:b/>
          <w:bCs/>
          <w:sz w:val="32"/>
          <w:szCs w:val="32"/>
        </w:rPr>
        <w:t>ILMU KALAM</w:t>
      </w:r>
    </w:p>
    <w:p w:rsidR="00514EE4" w:rsidRDefault="00514EE4" w:rsidP="00514EE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2C5A02" w:rsidRPr="00514EE4" w:rsidRDefault="002C5A02" w:rsidP="00514EE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Hakikat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Pengertian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Kalam</w:t>
      </w:r>
      <w:proofErr w:type="spellEnd"/>
    </w:p>
    <w:p w:rsidR="002C5A02" w:rsidRPr="00514EE4" w:rsidRDefault="002C5A02" w:rsidP="00514EE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teosofi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keduanya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kesamaan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sama-sama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tengtang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historinya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teosofi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kristiani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menamakan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Tuhannya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rasanya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pantas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teologi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menamai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Tuhannya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(Allah),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objeknya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para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pemikir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mengembangkannya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teologi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teologi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teologi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kritiani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2C5A02" w:rsidRPr="00514EE4" w:rsidRDefault="002C5A02" w:rsidP="00514EE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penamaan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2C5A02" w:rsidRPr="00514EE4" w:rsidRDefault="002C5A02" w:rsidP="00514EE4">
      <w:pPr>
        <w:jc w:val="both"/>
        <w:rPr>
          <w:rFonts w:asciiTheme="majorBidi" w:hAnsiTheme="majorBidi" w:cstheme="majorBidi"/>
          <w:sz w:val="24"/>
          <w:szCs w:val="24"/>
        </w:rPr>
      </w:pPr>
      <w:r w:rsidRPr="00514EE4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Persoalan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dibicarakan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permulaan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abad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Hijriyah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firman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Allah (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kalamullah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dinamai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persoalan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pembicaraan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permulaan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abad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Hijriyah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2C5A02" w:rsidRPr="00514EE4" w:rsidRDefault="002C5A02" w:rsidP="00514EE4">
      <w:pPr>
        <w:jc w:val="both"/>
        <w:rPr>
          <w:rFonts w:asciiTheme="majorBidi" w:hAnsiTheme="majorBidi" w:cstheme="majorBidi"/>
          <w:sz w:val="24"/>
          <w:szCs w:val="24"/>
        </w:rPr>
      </w:pPr>
      <w:r w:rsidRPr="00514EE4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dalil-dalil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pikiran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pembicaraanpembicaraan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Mutakallimin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Para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Mutakallimin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dalil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naqli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(Qur’an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Hadits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kecuali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sesudah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menetapkan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benarnya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pokok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persoalan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2C5A02" w:rsidRPr="00514EE4" w:rsidRDefault="002C5A02" w:rsidP="00514EE4">
      <w:pPr>
        <w:jc w:val="both"/>
        <w:rPr>
          <w:rFonts w:asciiTheme="majorBidi" w:hAnsiTheme="majorBidi" w:cstheme="majorBidi"/>
          <w:sz w:val="24"/>
          <w:szCs w:val="24"/>
        </w:rPr>
      </w:pPr>
      <w:r w:rsidRPr="00514EE4">
        <w:rPr>
          <w:rFonts w:asciiTheme="majorBidi" w:hAnsiTheme="majorBidi" w:cstheme="majorBidi"/>
          <w:sz w:val="24"/>
          <w:szCs w:val="24"/>
        </w:rPr>
        <w:t xml:space="preserve">- Cara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pembuktian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kepercayaan-kepercayaan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menyerupai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logika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filsafat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pembuktian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soal-soal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agama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dinamai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membedakan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logika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filsafat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2C5A02" w:rsidRDefault="002C5A02" w:rsidP="00514EE4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kata,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disini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kutip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milik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Allah”.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dipadukan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milik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Allah,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diluaskan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Maha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Berbicara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pendapat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mengemukakan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menekankan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ontologis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metodologis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aksiologi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Tokoh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berpendapat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ontologis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Muhammad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Abduh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metodologis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Adhud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ad-Din al-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Iji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aksiologi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Ibnu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BCB" w:rsidRPr="00514EE4">
        <w:rPr>
          <w:rFonts w:asciiTheme="majorBidi" w:hAnsiTheme="majorBidi" w:cstheme="majorBidi"/>
          <w:sz w:val="24"/>
          <w:szCs w:val="24"/>
        </w:rPr>
        <w:t>Khaldun</w:t>
      </w:r>
      <w:proofErr w:type="spellEnd"/>
      <w:r w:rsidR="00072BCB"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514EE4" w:rsidRPr="00514EE4" w:rsidRDefault="00514EE4" w:rsidP="00514EE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72BCB" w:rsidRPr="00514EE4" w:rsidRDefault="00072BCB" w:rsidP="00514EE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Sejarah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Munculnya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dari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Masa</w:t>
      </w:r>
      <w:proofErr w:type="spellEnd"/>
    </w:p>
    <w:p w:rsidR="00072BCB" w:rsidRPr="00514EE4" w:rsidRDefault="00072BCB" w:rsidP="00514EE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Radulullah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agama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Madinah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akidah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menjunjung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akhlak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damai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berdampingan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lain.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wafat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Abu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bakar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ditunjuk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khalifah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pengganti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Abu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Bakar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wafat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digantikan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Umar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Khattab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dipegang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Abu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Bakar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Umar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Khattab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aqidah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menjunjung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akhlak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perselisihan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pendapat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Ustman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Affan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gejolak-gejolak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mendasari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munculnya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072BCB" w:rsidRPr="00514EE4" w:rsidRDefault="00072BCB" w:rsidP="00514EE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Utsman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kerabat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beliau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diangkat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pejabat-pejabat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pemerintahannya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kedaulatan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justru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gejolak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hati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Utsman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pergantian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kedudukan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pejabat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besar-besaran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beliau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menggugurkan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gubernur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menjabat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sejak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zaman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Umar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Khattab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Dari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timbul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perselisihan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saling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bertolak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Ketidakstabilan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berujung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terbunuhnya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Utsman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Affan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beliau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dilanjutkan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digantikan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kepemimpinannya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Ali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Abi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Thalib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072BCB" w:rsidRPr="00514EE4" w:rsidRDefault="006F2FB5" w:rsidP="00514EE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Ali,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perpecahan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memanas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ditandai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munculnya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golongan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golongan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Syi’ah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kepemimpinan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Ali,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golongan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Khawarij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r w:rsidRPr="00514EE4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menentang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Ali</w:t>
      </w:r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golongan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ikut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memperkeruh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suasana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pengikut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Muawiyah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mencatat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jamal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Aisyah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Siffin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Muawiyyah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Siffien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paham-paham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ketuhanan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akidah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perpecahan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terbentuk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Siffien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syi’ah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khawarij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murji’ah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jabariyah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mu’tazilah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Aliran-aliran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tersebutlah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Teologi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r w:rsidRPr="00514EE4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Siffin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berakhir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damai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kerugian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golongan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Ali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Abi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Thalib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6F2FB5" w:rsidRPr="00514EE4" w:rsidRDefault="006F2FB5" w:rsidP="00514EE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lastRenderedPageBreak/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Umayyah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661-750 M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teologi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Qodariyah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, 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Jabariyah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, 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Mujri’ah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Mu’tazilah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umayyah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Ahlusunnah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waljama’ah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tokoh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Abu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Hasan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Asy’ari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Abu Mansur 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Maturidi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Abbasiyah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di Iraq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Basrah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agama. Di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perselisihan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melahirkan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teologi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aliran-aliran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Ali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Abi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Thalib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Dinasti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Abbasiyah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F2FB5" w:rsidRPr="00514EE4" w:rsidRDefault="006F2FB5" w:rsidP="00514EE4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Khawarij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beranggapan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kafir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berdosa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wajib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dibunuh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murtad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6F2FB5" w:rsidRPr="00514EE4" w:rsidRDefault="006F2FB5" w:rsidP="00514EE4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Murjiah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beranggapan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berdosa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mukmin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dosa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terserah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mengampuni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6F2FB5" w:rsidRPr="00514EE4" w:rsidRDefault="006F2FB5" w:rsidP="00514EE4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Mu’tazilah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beranggapan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berdosa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kafir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mukmin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antaranya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6F2FB5" w:rsidRPr="00514EE4" w:rsidRDefault="006F2FB5" w:rsidP="00514EE4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Qodariyah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beranggapan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kemerdekaan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berkehendak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6F2FB5" w:rsidRPr="00514EE4" w:rsidRDefault="006F2FB5" w:rsidP="00514EE4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Jabariyah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beranggapan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kemerdekaan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kehendak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melainkan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paksaan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6F2FB5" w:rsidRPr="00514EE4" w:rsidRDefault="006F2FB5" w:rsidP="00514EE4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Asyriyah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berdekatan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ajaran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jabariyah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teologi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liberal. </w:t>
      </w:r>
    </w:p>
    <w:p w:rsidR="006F2FB5" w:rsidRDefault="006F2FB5" w:rsidP="00514EE4">
      <w:pPr>
        <w:pStyle w:val="ListParagraph"/>
        <w:numPr>
          <w:ilvl w:val="0"/>
          <w:numId w:val="2"/>
        </w:numPr>
        <w:spacing w:after="12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Maturidiyah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menentang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Mu’tazilah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514EE4" w:rsidRPr="00514EE4" w:rsidRDefault="00514EE4" w:rsidP="00514EE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6F2FB5" w:rsidRPr="00514EE4" w:rsidRDefault="00514EE4" w:rsidP="00514EE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Ruang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b/>
          <w:bCs/>
          <w:sz w:val="24"/>
          <w:szCs w:val="24"/>
        </w:rPr>
        <w:t>Lingkup</w:t>
      </w:r>
      <w:proofErr w:type="spellEnd"/>
      <w:r w:rsidR="006F2FB5"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b/>
          <w:bCs/>
          <w:sz w:val="24"/>
          <w:szCs w:val="24"/>
        </w:rPr>
        <w:t>Ilmu</w:t>
      </w:r>
      <w:proofErr w:type="spellEnd"/>
      <w:r w:rsidR="006F2FB5"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b/>
          <w:bCs/>
          <w:sz w:val="24"/>
          <w:szCs w:val="24"/>
        </w:rPr>
        <w:t>Kalam</w:t>
      </w:r>
      <w:proofErr w:type="spellEnd"/>
      <w:r w:rsidR="006F2FB5" w:rsidRPr="00514EE4">
        <w:rPr>
          <w:rFonts w:asciiTheme="majorBidi" w:hAnsiTheme="majorBidi" w:cstheme="majorBidi"/>
          <w:b/>
          <w:bCs/>
          <w:sz w:val="24"/>
          <w:szCs w:val="24"/>
        </w:rPr>
        <w:br/>
      </w:r>
      <w:proofErr w:type="spellStart"/>
      <w:r w:rsidR="00D91C3A" w:rsidRPr="00514EE4">
        <w:rPr>
          <w:rFonts w:asciiTheme="majorBidi" w:hAnsiTheme="majorBidi" w:cstheme="majorBidi"/>
          <w:sz w:val="24"/>
          <w:szCs w:val="24"/>
        </w:rPr>
        <w:t>Pokok</w:t>
      </w:r>
      <w:proofErr w:type="spellEnd"/>
      <w:r w:rsidR="00D91C3A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="006F2FB5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6F2FB5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sz w:val="24"/>
          <w:szCs w:val="24"/>
        </w:rPr>
        <w:t>kalam</w:t>
      </w:r>
      <w:proofErr w:type="spellEnd"/>
      <w:r w:rsidR="006F2FB5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="006F2FB5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6F2FB5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6F2FB5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FB5" w:rsidRPr="00514EE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6F2FB5"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F2FB5" w:rsidRPr="00514EE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6F2FB5" w:rsidRPr="00514EE4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F2FB5" w:rsidRPr="00514EE4" w:rsidRDefault="006F2FB5" w:rsidP="00514EE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Qismul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ilahiyat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esensi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sifat-sifat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melekat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-Nya.</w:t>
      </w:r>
    </w:p>
    <w:p w:rsidR="006F2FB5" w:rsidRPr="00514EE4" w:rsidRDefault="006F2FB5" w:rsidP="00514EE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Sifat-sifat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perdebatkan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teologi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Mu’tazilah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Asy’ariyah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6F2FB5" w:rsidRPr="00514EE4" w:rsidRDefault="006F2FB5" w:rsidP="00514EE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Qudrat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Iradat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Persoalan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Qadariyah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Jabbariyah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dsb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6F2FB5" w:rsidRPr="00514EE4" w:rsidRDefault="006F2FB5" w:rsidP="00514EE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Qismul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Nububiyah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memperhatik</w:t>
      </w:r>
      <w:r w:rsidRPr="00514EE4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Kholik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makhluk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6F2FB5" w:rsidRPr="00514EE4" w:rsidRDefault="006F2FB5" w:rsidP="00514EE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Kebangkit</w:t>
      </w:r>
      <w:r w:rsidRPr="00514EE4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akhirat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</w:p>
    <w:p w:rsidR="006F2FB5" w:rsidRPr="00514EE4" w:rsidRDefault="006F2FB5" w:rsidP="00514EE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dsb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6F2FB5" w:rsidRPr="00514EE4" w:rsidRDefault="006F2FB5" w:rsidP="00514EE4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Qismul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Sam’iyat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persoalan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berkenaan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sesudah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6F2FB5" w:rsidRPr="00514EE4" w:rsidRDefault="006F2FB5" w:rsidP="00514EE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Kebangkitan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akhirat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</w:p>
    <w:p w:rsidR="006F2FB5" w:rsidRPr="00514EE4" w:rsidRDefault="006F2FB5" w:rsidP="00514EE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dsb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p w:rsidR="006F2FB5" w:rsidRPr="00514EE4" w:rsidRDefault="006F2FB5" w:rsidP="00514EE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Faktor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Pertumbuhan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Perkembangan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b/>
          <w:bCs/>
          <w:sz w:val="24"/>
          <w:szCs w:val="24"/>
        </w:rPr>
        <w:t>Kalam</w:t>
      </w:r>
      <w:proofErr w:type="spellEnd"/>
    </w:p>
    <w:p w:rsidR="00D91C3A" w:rsidRPr="00514EE4" w:rsidRDefault="00D91C3A" w:rsidP="00514EE4">
      <w:pPr>
        <w:pStyle w:val="ListParagraph"/>
        <w:numPr>
          <w:ilvl w:val="0"/>
          <w:numId w:val="8"/>
        </w:numPr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Internal </w:t>
      </w:r>
    </w:p>
    <w:p w:rsidR="006F2FB5" w:rsidRPr="00514EE4" w:rsidRDefault="00D91C3A" w:rsidP="00514EE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14EE4">
        <w:rPr>
          <w:rFonts w:asciiTheme="majorBidi" w:hAnsiTheme="majorBidi" w:cstheme="majorBidi"/>
          <w:sz w:val="24"/>
          <w:szCs w:val="24"/>
        </w:rPr>
        <w:t>Al-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qur’an</w:t>
      </w:r>
      <w:proofErr w:type="spellEnd"/>
    </w:p>
    <w:p w:rsidR="00D91C3A" w:rsidRPr="00514EE4" w:rsidRDefault="00D91C3A" w:rsidP="00514EE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Sunnah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Nabi</w:t>
      </w:r>
      <w:proofErr w:type="spellEnd"/>
    </w:p>
    <w:p w:rsidR="00D91C3A" w:rsidRPr="00514EE4" w:rsidRDefault="00D91C3A" w:rsidP="00514EE4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Ucapan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Ahlul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Bait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a.s</w:t>
      </w:r>
      <w:proofErr w:type="spellEnd"/>
    </w:p>
    <w:p w:rsidR="00D91C3A" w:rsidRPr="00514EE4" w:rsidRDefault="00D91C3A" w:rsidP="00514EE4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Ahlul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bait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r w:rsidRPr="00514EE4">
        <w:rPr>
          <w:rFonts w:asciiTheme="majorBidi" w:hAnsiTheme="majorBidi" w:cstheme="majorBidi"/>
          <w:sz w:val="24"/>
          <w:szCs w:val="24"/>
        </w:rPr>
        <w:t xml:space="preserve">orang-orang yang paling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ilmu-ilmu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saw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rinci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Ali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Abi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Thalib</w:t>
      </w:r>
      <w:proofErr w:type="spellEnd"/>
    </w:p>
    <w:p w:rsidR="006F2FB5" w:rsidRPr="00514EE4" w:rsidRDefault="00D91C3A" w:rsidP="00514EE4">
      <w:pPr>
        <w:pStyle w:val="ListParagraph"/>
        <w:numPr>
          <w:ilvl w:val="0"/>
          <w:numId w:val="8"/>
        </w:numPr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Eksternal</w:t>
      </w:r>
      <w:proofErr w:type="spellEnd"/>
    </w:p>
    <w:p w:rsidR="00D91C3A" w:rsidRPr="00514EE4" w:rsidRDefault="00D91C3A" w:rsidP="00514EE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Akulturasi</w:t>
      </w:r>
      <w:proofErr w:type="spellEnd"/>
    </w:p>
    <w:p w:rsidR="00D91C3A" w:rsidRPr="00514EE4" w:rsidRDefault="00D91C3A" w:rsidP="00514EE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pembebabasan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wilayah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diluar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Jazirah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Arabia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wilayah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Persia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akulturasi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bangsa-bangsa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peradaban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</w:t>
      </w:r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tidak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ajaran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pro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kontra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pandangan-pandangan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menyangkut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ketuhanan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Pandangan-pandangan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perdebatan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</w:t>
      </w:r>
      <w:r w:rsidRPr="00514EE4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majlis-majlis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ulama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</w:t>
      </w:r>
    </w:p>
    <w:p w:rsidR="00D91C3A" w:rsidRPr="00514EE4" w:rsidRDefault="00D91C3A" w:rsidP="00514EE4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14EE4">
        <w:rPr>
          <w:rFonts w:asciiTheme="majorBidi" w:hAnsiTheme="majorBidi" w:cstheme="majorBidi"/>
          <w:sz w:val="24"/>
          <w:szCs w:val="24"/>
        </w:rPr>
        <w:t>Transliterasi</w:t>
      </w:r>
      <w:proofErr w:type="spellEnd"/>
    </w:p>
    <w:p w:rsidR="00D91C3A" w:rsidRPr="00514EE4" w:rsidRDefault="00D91C3A" w:rsidP="00514EE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Umayyah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kepemimpinan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Khalid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Yazid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bin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Muawiyah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buku-buku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cendekiawan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non muslim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arab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pandangan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mengganggu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keyakinan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kaum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14EE4"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 w:rsidRPr="00514E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munculnya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respon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penerjemahan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buku-buku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4EE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14EE4">
        <w:rPr>
          <w:rFonts w:asciiTheme="majorBidi" w:hAnsiTheme="majorBidi" w:cstheme="majorBidi"/>
          <w:sz w:val="24"/>
          <w:szCs w:val="24"/>
        </w:rPr>
        <w:t>.</w:t>
      </w:r>
    </w:p>
    <w:sectPr w:rsidR="00D91C3A" w:rsidRPr="00514EE4" w:rsidSect="00B43A7B">
      <w:type w:val="continuous"/>
      <w:pgSz w:w="12200" w:h="18720"/>
      <w:pgMar w:top="480" w:right="780" w:bottom="28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D45"/>
    <w:multiLevelType w:val="hybridMultilevel"/>
    <w:tmpl w:val="AA32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87E18"/>
    <w:multiLevelType w:val="hybridMultilevel"/>
    <w:tmpl w:val="6A56F724"/>
    <w:lvl w:ilvl="0" w:tplc="87647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04675C"/>
    <w:multiLevelType w:val="hybridMultilevel"/>
    <w:tmpl w:val="1E66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112C7"/>
    <w:multiLevelType w:val="hybridMultilevel"/>
    <w:tmpl w:val="32FC5824"/>
    <w:lvl w:ilvl="0" w:tplc="1726908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C30A81"/>
    <w:multiLevelType w:val="hybridMultilevel"/>
    <w:tmpl w:val="FFCE3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16F4E"/>
    <w:multiLevelType w:val="hybridMultilevel"/>
    <w:tmpl w:val="C7BA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2227E"/>
    <w:multiLevelType w:val="hybridMultilevel"/>
    <w:tmpl w:val="9618C5FA"/>
    <w:lvl w:ilvl="0" w:tplc="70E22AC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C3439"/>
    <w:multiLevelType w:val="hybridMultilevel"/>
    <w:tmpl w:val="80A47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02"/>
    <w:rsid w:val="00072BCB"/>
    <w:rsid w:val="002C5A02"/>
    <w:rsid w:val="003B1A46"/>
    <w:rsid w:val="00514EE4"/>
    <w:rsid w:val="006F2FB5"/>
    <w:rsid w:val="00B43A7B"/>
    <w:rsid w:val="00D9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5E966-E826-45B7-BFEE-44497A56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2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zulfatul latifah</dc:creator>
  <cp:keywords/>
  <dc:description/>
  <cp:lastModifiedBy>salma zulfatul latifah</cp:lastModifiedBy>
  <cp:revision>2</cp:revision>
  <dcterms:created xsi:type="dcterms:W3CDTF">2021-02-15T13:25:00Z</dcterms:created>
  <dcterms:modified xsi:type="dcterms:W3CDTF">2021-02-15T14:07:00Z</dcterms:modified>
</cp:coreProperties>
</file>