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E7" w:rsidRPr="00964844" w:rsidRDefault="00FD56E7" w:rsidP="00FD249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64844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964844">
        <w:rPr>
          <w:rFonts w:asciiTheme="majorBidi" w:hAnsiTheme="majorBidi" w:cstheme="majorBidi"/>
          <w:sz w:val="24"/>
          <w:szCs w:val="24"/>
        </w:rPr>
        <w:tab/>
        <w:t>: Salma Zulfatul Latifah</w:t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r w:rsidRPr="00964844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964844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964844">
        <w:rPr>
          <w:rFonts w:asciiTheme="majorBidi" w:hAnsiTheme="majorBidi" w:cstheme="majorBidi"/>
          <w:sz w:val="24"/>
          <w:szCs w:val="24"/>
        </w:rPr>
        <w:t>Teosofi</w:t>
      </w:r>
      <w:proofErr w:type="spellEnd"/>
    </w:p>
    <w:p w:rsidR="00FD56E7" w:rsidRPr="00964844" w:rsidRDefault="00FD56E7" w:rsidP="00FD249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64844">
        <w:rPr>
          <w:rFonts w:asciiTheme="majorBidi" w:hAnsiTheme="majorBidi" w:cstheme="majorBidi"/>
          <w:sz w:val="24"/>
          <w:szCs w:val="24"/>
        </w:rPr>
        <w:t>NIM</w:t>
      </w:r>
      <w:r w:rsidRPr="00964844">
        <w:rPr>
          <w:rFonts w:asciiTheme="majorBidi" w:hAnsiTheme="majorBidi" w:cstheme="majorBidi"/>
          <w:sz w:val="24"/>
          <w:szCs w:val="24"/>
        </w:rPr>
        <w:tab/>
        <w:t>: 19650038</w:t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64844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964844">
        <w:rPr>
          <w:rFonts w:asciiTheme="majorBidi" w:hAnsiTheme="majorBidi" w:cstheme="majorBidi"/>
          <w:sz w:val="24"/>
          <w:szCs w:val="24"/>
        </w:rPr>
        <w:tab/>
      </w:r>
      <w:r w:rsidRPr="00964844">
        <w:rPr>
          <w:rFonts w:asciiTheme="majorBidi" w:hAnsiTheme="majorBidi" w:cstheme="majorBidi"/>
          <w:sz w:val="24"/>
          <w:szCs w:val="24"/>
        </w:rPr>
        <w:tab/>
        <w:t>: J</w:t>
      </w:r>
    </w:p>
    <w:p w:rsidR="00FD56E7" w:rsidRPr="00964844" w:rsidRDefault="00FD56E7" w:rsidP="00FD56E7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D56E7" w:rsidRDefault="00FD56E7" w:rsidP="00FD56E7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Tasawuf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Modern</w:t>
      </w:r>
    </w:p>
    <w:p w:rsidR="00FD56E7" w:rsidRDefault="00FD56E7" w:rsidP="00FD56E7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FD56E7" w:rsidRPr="008451E4" w:rsidRDefault="00FD56E7" w:rsidP="00AA06E7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451E4">
        <w:rPr>
          <w:rFonts w:asciiTheme="majorBidi" w:hAnsiTheme="majorBidi" w:cstheme="majorBidi"/>
          <w:b/>
          <w:bCs/>
          <w:sz w:val="24"/>
          <w:szCs w:val="24"/>
        </w:rPr>
        <w:t>Pengertian</w:t>
      </w:r>
      <w:proofErr w:type="spellEnd"/>
      <w:r w:rsidRPr="008451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51E4">
        <w:rPr>
          <w:rFonts w:asciiTheme="majorBidi" w:hAnsiTheme="majorBidi" w:cstheme="majorBidi"/>
          <w:b/>
          <w:bCs/>
          <w:sz w:val="24"/>
          <w:szCs w:val="24"/>
        </w:rPr>
        <w:t>Tasawuf</w:t>
      </w:r>
      <w:proofErr w:type="spellEnd"/>
      <w:r w:rsidRPr="008451E4">
        <w:rPr>
          <w:rFonts w:asciiTheme="majorBidi" w:hAnsiTheme="majorBidi" w:cstheme="majorBidi"/>
          <w:b/>
          <w:bCs/>
          <w:sz w:val="24"/>
          <w:szCs w:val="24"/>
        </w:rPr>
        <w:t xml:space="preserve"> Modern</w:t>
      </w:r>
    </w:p>
    <w:p w:rsidR="00AA06E7" w:rsidRDefault="008451E4" w:rsidP="00AA06E7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pembersihan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akhlak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SWT.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diartikan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estimologi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mutakhir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tingkah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zaman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Hamka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dipermodern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relevan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modern.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Nasruddin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Umar yang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tokoh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modern, </w:t>
      </w:r>
      <w:proofErr w:type="spellStart"/>
      <w:r>
        <w:rPr>
          <w:rFonts w:asciiTheme="majorBidi" w:hAnsiTheme="majorBidi" w:cstheme="majorBidi"/>
          <w:sz w:val="24"/>
          <w:szCs w:val="24"/>
        </w:rPr>
        <w:t>mengartikan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lama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diaplikasikan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 (</w:t>
      </w:r>
      <w:proofErr w:type="spellStart"/>
      <w:r>
        <w:rPr>
          <w:rFonts w:asciiTheme="majorBidi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zaman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). Dari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 </w:t>
      </w:r>
      <w:proofErr w:type="spellStart"/>
      <w:r>
        <w:rPr>
          <w:rFonts w:asciiTheme="majorBidi" w:hAnsiTheme="majorBidi" w:cstheme="majorBidi"/>
          <w:sz w:val="24"/>
          <w:szCs w:val="24"/>
        </w:rPr>
        <w:t>mengganti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memisahkan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 yang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kebahagiaan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AA06E7">
        <w:rPr>
          <w:rFonts w:asciiTheme="majorBidi" w:hAnsiTheme="majorBidi" w:cstheme="majorBidi"/>
          <w:sz w:val="24"/>
          <w:szCs w:val="24"/>
        </w:rPr>
        <w:t xml:space="preserve"> </w:t>
      </w:r>
    </w:p>
    <w:p w:rsidR="008451E4" w:rsidRDefault="008451E4" w:rsidP="00AA06E7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Perbedaan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klasik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 </w:t>
      </w:r>
      <w:r w:rsidR="006D6247">
        <w:rPr>
          <w:rFonts w:asciiTheme="majorBidi" w:hAnsiTheme="majorBidi" w:cstheme="majorBidi"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10736" w:type="dxa"/>
        <w:tblLook w:val="04A0" w:firstRow="1" w:lastRow="0" w:firstColumn="1" w:lastColumn="0" w:noHBand="0" w:noVBand="1"/>
      </w:tblPr>
      <w:tblGrid>
        <w:gridCol w:w="5368"/>
        <w:gridCol w:w="5368"/>
      </w:tblGrid>
      <w:tr w:rsidR="002807C6" w:rsidTr="002807C6">
        <w:trPr>
          <w:trHeight w:val="571"/>
        </w:trPr>
        <w:tc>
          <w:tcPr>
            <w:tcW w:w="5368" w:type="dxa"/>
          </w:tcPr>
          <w:p w:rsidR="002807C6" w:rsidRDefault="002807C6" w:rsidP="002807C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Tasawuf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Klasik</w:t>
            </w:r>
            <w:proofErr w:type="spellEnd"/>
          </w:p>
        </w:tc>
        <w:tc>
          <w:tcPr>
            <w:tcW w:w="5368" w:type="dxa"/>
          </w:tcPr>
          <w:p w:rsidR="002807C6" w:rsidRDefault="002807C6" w:rsidP="002807C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Tasawuf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Modern</w:t>
            </w:r>
          </w:p>
        </w:tc>
      </w:tr>
      <w:tr w:rsidR="002807C6" w:rsidTr="002807C6">
        <w:trPr>
          <w:trHeight w:val="593"/>
        </w:trPr>
        <w:tc>
          <w:tcPr>
            <w:tcW w:w="5368" w:type="dxa"/>
          </w:tcPr>
          <w:p w:rsidR="002807C6" w:rsidRDefault="002807C6" w:rsidP="008451E4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Menekankan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Ketuhanan</w:t>
            </w:r>
            <w:proofErr w:type="spellEnd"/>
          </w:p>
        </w:tc>
        <w:tc>
          <w:tcPr>
            <w:tcW w:w="5368" w:type="dxa"/>
          </w:tcPr>
          <w:p w:rsidR="002807C6" w:rsidRDefault="002807C6" w:rsidP="002807C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menekankan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pembahasan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humanistik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empirik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fungsional</w:t>
            </w:r>
            <w:proofErr w:type="spellEnd"/>
          </w:p>
        </w:tc>
      </w:tr>
      <w:tr w:rsidR="002807C6" w:rsidTr="002807C6">
        <w:trPr>
          <w:trHeight w:val="571"/>
        </w:trPr>
        <w:tc>
          <w:tcPr>
            <w:tcW w:w="5368" w:type="dxa"/>
          </w:tcPr>
          <w:p w:rsidR="002807C6" w:rsidRDefault="002807C6" w:rsidP="002807C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mementingkan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ihsan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Allah</w:t>
            </w:r>
          </w:p>
        </w:tc>
        <w:tc>
          <w:tcPr>
            <w:tcW w:w="5368" w:type="dxa"/>
          </w:tcPr>
          <w:p w:rsidR="002807C6" w:rsidRDefault="002807C6" w:rsidP="002807C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Menjaga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keseimbangan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ihsan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Allah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manusia</w:t>
            </w:r>
            <w:proofErr w:type="spellEnd"/>
          </w:p>
        </w:tc>
      </w:tr>
      <w:tr w:rsidR="002807C6" w:rsidTr="002807C6">
        <w:trPr>
          <w:trHeight w:val="571"/>
        </w:trPr>
        <w:tc>
          <w:tcPr>
            <w:tcW w:w="5368" w:type="dxa"/>
          </w:tcPr>
          <w:p w:rsidR="002807C6" w:rsidRDefault="002807C6" w:rsidP="002807C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Pengaplikasiannya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menjauhkan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diri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kontak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sosial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5368" w:type="dxa"/>
          </w:tcPr>
          <w:p w:rsidR="002807C6" w:rsidRDefault="002807C6" w:rsidP="002807C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keinginan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807C6">
              <w:rPr>
                <w:rFonts w:asciiTheme="majorBidi" w:hAnsiTheme="majorBidi" w:cstheme="majorBidi"/>
                <w:sz w:val="24"/>
                <w:szCs w:val="24"/>
              </w:rPr>
              <w:t>mengasingkan</w:t>
            </w:r>
            <w:proofErr w:type="spellEnd"/>
            <w:r w:rsidRPr="002807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bersikap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eksklusif</w:t>
            </w:r>
            <w:proofErr w:type="spellEnd"/>
          </w:p>
        </w:tc>
      </w:tr>
    </w:tbl>
    <w:p w:rsidR="008451E4" w:rsidRDefault="008451E4" w:rsidP="008451E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451E4" w:rsidRDefault="008451E4" w:rsidP="008451E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Tokoh-Tokoh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Modern</w:t>
      </w:r>
    </w:p>
    <w:p w:rsidR="001D4E66" w:rsidRPr="00B60AEC" w:rsidRDefault="001D4E66" w:rsidP="00AA06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Haji Abdul Malik Karim </w:t>
      </w:r>
      <w:proofErr w:type="spellStart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Amrullah</w:t>
      </w:r>
      <w:proofErr w:type="spellEnd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(HAMKA) </w:t>
      </w:r>
    </w:p>
    <w:p w:rsidR="00B60AEC" w:rsidRPr="00B60AEC" w:rsidRDefault="00B60AEC" w:rsidP="00E8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426" w:right="-4" w:hanging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Hamka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intelektual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ulama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tafsir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sastrawan</w:t>
      </w:r>
      <w:proofErr w:type="spellEnd"/>
      <w:proofErr w:type="gram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sejarawan</w:t>
      </w:r>
      <w:proofErr w:type="spellEnd"/>
      <w:proofErr w:type="gram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politikus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Hamka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pembaharu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keislaman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Indonesia.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pembaharuannya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tafsir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al-Quran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hidupnya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para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Tjokroaminoto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Syarikat Islam,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Modern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Hamka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sastra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kesusasteraan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Melayu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kesusasteraan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Arab.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mendasarkan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agama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pondasi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aqidah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praktik-praktik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kesyirikan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amalan-amalan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bertenangan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buku-buku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membicarakan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Akhlakul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Karimah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Falsafah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Islam,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Tafsir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D4E66" w:rsidRPr="00B60AEC" w:rsidRDefault="001D4E66" w:rsidP="00AA06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Nasaruddin</w:t>
      </w:r>
      <w:proofErr w:type="spellEnd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Umar </w:t>
      </w:r>
    </w:p>
    <w:p w:rsidR="00B60AEC" w:rsidRDefault="00B60AEC" w:rsidP="00AA0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360" w:lineRule="auto"/>
        <w:ind w:left="426"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Nasaruddin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Umar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bercorak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neosufisme</w:t>
      </w:r>
      <w:proofErr w:type="spellEnd"/>
      <w:proofErr w:type="gram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Menurutnya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logika</w:t>
      </w:r>
      <w:proofErr w:type="spellEnd"/>
      <w:proofErr w:type="gram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heran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mengedepankan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logika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kesusahan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Nasaruddin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tarekat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</w:p>
    <w:p w:rsidR="00B60AEC" w:rsidRPr="00E854D0" w:rsidRDefault="00B60AEC" w:rsidP="00AA06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97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Deasa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hukum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hukum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Islam" (</w:t>
      </w:r>
      <w:proofErr w:type="spellStart"/>
      <w:proofErr w:type="gram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Risalah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Sarjana</w:t>
      </w:r>
      <w:proofErr w:type="spellEnd"/>
      <w:proofErr w:type="gram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1980. </w:t>
      </w:r>
    </w:p>
    <w:p w:rsidR="00B60AEC" w:rsidRPr="00E854D0" w:rsidRDefault="00B60AEC" w:rsidP="00AA06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"Islam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Nasionalisme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Indonesia,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Analaisa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Integrasi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Syari'ah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Islam</w:t>
      </w:r>
      <w:proofErr w:type="gram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Pembinaan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Hukum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", (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1984. </w:t>
      </w:r>
    </w:p>
    <w:p w:rsidR="00B60AEC" w:rsidRPr="00E854D0" w:rsidRDefault="00B60AEC" w:rsidP="00AA06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Perspektif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Jender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Islam", (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Disertasi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1998. </w:t>
      </w:r>
    </w:p>
    <w:p w:rsidR="00B60AEC" w:rsidRPr="00E854D0" w:rsidRDefault="00B60AEC" w:rsidP="00AA06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2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Fiqh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(Diktat),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Syari'ah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IAIN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Alauddin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Ujung  Pandang</w:t>
      </w:r>
      <w:proofErr w:type="gram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Sulawasi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Selatan, 1987. </w:t>
      </w:r>
    </w:p>
    <w:p w:rsidR="00B60AEC" w:rsidRPr="00E854D0" w:rsidRDefault="00B60AEC" w:rsidP="00AA06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2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dan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54D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</w:p>
    <w:p w:rsidR="00B60AEC" w:rsidRPr="00B60AEC" w:rsidRDefault="00B60AEC" w:rsidP="00E854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345" w:lineRule="auto"/>
        <w:ind w:left="426" w:right="-1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0AEC" w:rsidRPr="00B60AEC" w:rsidRDefault="00B60AEC" w:rsidP="00E854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426" w:hanging="42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D4E66" w:rsidRPr="00B60AEC" w:rsidRDefault="001D4E66" w:rsidP="00E854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Fazlur</w:t>
      </w:r>
      <w:proofErr w:type="spellEnd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Rahman </w:t>
      </w:r>
    </w:p>
    <w:p w:rsidR="00B60AEC" w:rsidRPr="00B60AEC" w:rsidRDefault="00B60AEC" w:rsidP="00E8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left="426"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Neo-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Sufisme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Fazlur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Rahman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anomali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problemeatika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dipraktekkan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puncaknya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padaabad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 H.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Anomali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E854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anomali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teologis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ekstasik-fana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ucapan-ucapan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syatahat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pemikiran-pemikiran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spekulatifmetafisis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854D0" w:rsidRPr="00E854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anomali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non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formalistik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praktek-aplikatif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al- Quran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54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anomali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holistika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aspekaksiologis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Neo-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Sufisme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Fazlur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Rahman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back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Qur'an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melahirkan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alternative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sufistik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Neo-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Sufisme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dikonstruk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Rahman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dikategorikan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salafi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1D4E66" w:rsidRPr="00B60AEC" w:rsidRDefault="001D4E66" w:rsidP="00E854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Ibnu</w:t>
      </w:r>
      <w:proofErr w:type="spellEnd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Timiyah</w:t>
      </w:r>
      <w:proofErr w:type="spellEnd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AA06E7" w:rsidRDefault="00B60AEC" w:rsidP="00AA06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after="0" w:line="344" w:lineRule="auto"/>
        <w:ind w:left="426"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eabsahan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menempuh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Sufisme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praktek-praktek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tarekat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keabsahan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menempuh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Tarekat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mengakui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ma'shum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syari'ah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afdhal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istiqomah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meminta-minta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kubur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pertolongan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berdo'a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perantaraan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ziarah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kubur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taqarrub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Allah. </w:t>
      </w:r>
    </w:p>
    <w:p w:rsidR="00AA06E7" w:rsidRPr="00AA06E7" w:rsidRDefault="00AA06E7" w:rsidP="00AA06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4" w:lineRule="auto"/>
        <w:ind w:left="426"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51E4" w:rsidRDefault="008451E4" w:rsidP="008451E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Impilkasi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Tasawuf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Modern</w:t>
      </w:r>
    </w:p>
    <w:p w:rsidR="00B60AEC" w:rsidRPr="00AA06E7" w:rsidRDefault="00B60AEC" w:rsidP="00AA06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45" w:lineRule="auto"/>
        <w:ind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mensucikan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materealistis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focus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spiritual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D4E66" w:rsidRPr="00B60AEC" w:rsidRDefault="001D4E66" w:rsidP="00AA06E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Ekonomi</w:t>
      </w:r>
      <w:proofErr w:type="spellEnd"/>
      <w:r w:rsidRPr="00B60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60AEC" w:rsidRPr="00AA06E7" w:rsidRDefault="00B60AEC" w:rsidP="00AA0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" w:after="240" w:line="345" w:lineRule="auto"/>
        <w:ind w:left="426"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lepas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proofErr w:type="gram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amal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proofErr w:type="gram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lepas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percaya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nabi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Adam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a.s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diturunkan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pemunuhan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kebutuhannya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proofErr w:type="gram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tercipta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pemenuhan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selaras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menganggu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6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</w:t>
      </w:r>
    </w:p>
    <w:p w:rsidR="001D4E66" w:rsidRPr="001B7C0E" w:rsidRDefault="001D4E66" w:rsidP="00AA06E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B7C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Aspek</w:t>
      </w:r>
      <w:proofErr w:type="spellEnd"/>
      <w:r w:rsidRPr="001B7C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Politik</w:t>
      </w:r>
      <w:proofErr w:type="spellEnd"/>
      <w:r w:rsidRPr="001B7C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7C0E" w:rsidRPr="001B7C0E" w:rsidRDefault="001B7C0E" w:rsidP="00AA0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60" w:lineRule="auto"/>
        <w:ind w:left="42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mental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spiritual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sebenernya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senantiasa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diawasi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diawasi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sufistik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D4E66" w:rsidRPr="001B7C0E" w:rsidRDefault="001D4E66" w:rsidP="00AA06E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8" w:after="100" w:afterAutospacing="1" w:line="36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B7C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Aspek</w:t>
      </w:r>
      <w:proofErr w:type="spellEnd"/>
      <w:r w:rsidRPr="001B7C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Sosial</w:t>
      </w:r>
      <w:proofErr w:type="spellEnd"/>
      <w:r w:rsidRPr="001B7C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7C0E" w:rsidRPr="001B7C0E" w:rsidRDefault="001B7C0E" w:rsidP="00AA0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60" w:lineRule="auto"/>
        <w:ind w:left="426"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moral (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kritik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ketimpangan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proofErr w:type="gram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moral,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yang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umat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Islam,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kalangan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penguasa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tampillah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proofErr w:type="gram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tokoh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Tasawufnya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Tasawuf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formalisme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spiritualisasi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ritual, </w:t>
      </w:r>
      <w:proofErr w:type="spellStart"/>
      <w:proofErr w:type="gram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pembenahan</w:t>
      </w:r>
      <w:proofErr w:type="spellEnd"/>
      <w:proofErr w:type="gram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elaborasi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>batin</w:t>
      </w:r>
      <w:proofErr w:type="spellEnd"/>
      <w:r w:rsidRPr="001B7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B7C0E" w:rsidRPr="001B7C0E" w:rsidRDefault="001B7C0E" w:rsidP="001B7C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73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451E4" w:rsidRPr="008451E4" w:rsidRDefault="008451E4" w:rsidP="008451E4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8451E4" w:rsidRPr="008451E4" w:rsidSect="00B43A7B">
      <w:type w:val="continuous"/>
      <w:pgSz w:w="12200" w:h="18720"/>
      <w:pgMar w:top="480" w:right="780" w:bottom="28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5170"/>
    <w:multiLevelType w:val="hybridMultilevel"/>
    <w:tmpl w:val="B4B0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E6BB0"/>
    <w:multiLevelType w:val="hybridMultilevel"/>
    <w:tmpl w:val="9A52C464"/>
    <w:lvl w:ilvl="0" w:tplc="4C48BCCE">
      <w:start w:val="1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>
    <w:nsid w:val="72420C18"/>
    <w:multiLevelType w:val="hybridMultilevel"/>
    <w:tmpl w:val="CF6E4F42"/>
    <w:lvl w:ilvl="0" w:tplc="30664A54">
      <w:start w:val="1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>
    <w:nsid w:val="7BFC3C8F"/>
    <w:multiLevelType w:val="hybridMultilevel"/>
    <w:tmpl w:val="0082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E7"/>
    <w:rsid w:val="001B7C0E"/>
    <w:rsid w:val="001D4E66"/>
    <w:rsid w:val="002807C6"/>
    <w:rsid w:val="003B1A46"/>
    <w:rsid w:val="006D6247"/>
    <w:rsid w:val="008451E4"/>
    <w:rsid w:val="00AA06E7"/>
    <w:rsid w:val="00B43A7B"/>
    <w:rsid w:val="00B60AEC"/>
    <w:rsid w:val="00E854D0"/>
    <w:rsid w:val="00FD249E"/>
    <w:rsid w:val="00FD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E6461-8049-4934-BAD9-AE09C01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zulfatul latifah</dc:creator>
  <cp:keywords/>
  <dc:description/>
  <cp:lastModifiedBy>salma zulfatul latifah</cp:lastModifiedBy>
  <cp:revision>7</cp:revision>
  <dcterms:created xsi:type="dcterms:W3CDTF">2021-03-17T04:03:00Z</dcterms:created>
  <dcterms:modified xsi:type="dcterms:W3CDTF">2021-03-18T04:24:00Z</dcterms:modified>
</cp:coreProperties>
</file>