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comments.xml" ContentType="application/vnd.openxmlformats-officedocument.wordprocessingml.comments+xml"/>
  <Override PartName="/word/footer1.xml" ContentType="application/vnd.openxmlformats-officedocument.wordprocessingml.footer+xml"/>
  <Override PartName="/word/numbering.xml" ContentType="application/vnd.openxmlformats-officedocument.wordprocessingml.numbering+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pPr>
        <w:jc w:val="center"/>
        <w:rPr>
          <w:rFonts w:ascii="맑은 고딕" w:eastAsia="맑은 고딕" w:hAnsi="맑은 고딕" w:cs="맑은 고딕"/>
          <w:b/>
          <w:sz w:val="40"/>
          <w:szCs w:val="40"/>
        </w:rPr>
      </w:pPr>
    </w:p>
    <w:p>
      <w:pPr>
        <w:jc w:val="center"/>
        <w:rPr>
          <w:rFonts w:ascii="맑은 고딕" w:eastAsia="맑은 고딕" w:hAnsi="맑은 고딕" w:cs="맑은 고딕"/>
          <w:b/>
          <w:sz w:val="40"/>
          <w:szCs w:val="40"/>
        </w:rPr>
      </w:pPr>
    </w:p>
    <w:p>
      <w:pPr>
        <w:jc w:val="center"/>
        <w:rPr>
          <w:rFonts w:ascii="맑은 고딕" w:eastAsia="맑은 고딕" w:hAnsi="맑은 고딕" w:cs="맑은 고딕"/>
          <w:b/>
          <w:sz w:val="40"/>
          <w:szCs w:val="40"/>
        </w:rPr>
      </w:pPr>
    </w:p>
    <w:p>
      <w:pPr>
        <w:widowControl w:val="off"/>
        <w:jc w:val="center"/>
        <w:spacing w:line="240" w:lineRule="auto"/>
        <w:rPr>
          <w:rFonts w:ascii="맑은 고딕" w:eastAsia="맑은 고딕" w:hAnsi="맑은 고딕" w:cs="맑은 고딕"/>
          <w:b/>
          <w:sz w:val="40"/>
          <w:szCs w:val="40"/>
        </w:rPr>
      </w:pPr>
      <w:r>
        <w:rPr>
          <w:rFonts w:ascii="맑은 고딕" w:eastAsia="맑은 고딕" w:hAnsi="맑은 고딕" w:cs="맑은 고딕"/>
          <w:b/>
          <w:color w:val="212121"/>
          <w:sz w:val="40"/>
          <w:szCs w:val="40"/>
          <w:rtl w:val="off"/>
        </w:rPr>
        <w:t xml:space="preserve">코로나19 전후 1인가구의 온라인 가공식품 소비 데이터 분석 </w:t>
      </w:r>
      <w:r>
        <w:rPr>
          <w:rFonts w:ascii="맑은 고딕" w:eastAsia="맑은 고딕" w:hAnsi="맑은 고딕" w:cs="맑은 고딕"/>
          <w:b/>
          <w:sz w:val="40"/>
          <w:szCs w:val="40"/>
          <w:rtl w:val="off"/>
        </w:rPr>
        <w:t>결과 보고서</w:t>
      </w:r>
    </w:p>
    <w:p>
      <w:pPr>
        <w:jc w:val="left"/>
        <w:rPr>
          <w:rFonts w:ascii="맑은 고딕" w:eastAsia="맑은 고딕" w:hAnsi="맑은 고딕" w:cs="맑은 고딕"/>
          <w:b/>
          <w:sz w:val="40"/>
          <w:szCs w:val="40"/>
        </w:rPr>
      </w:pPr>
    </w:p>
    <w:p>
      <w:pPr>
        <w:jc w:val="left"/>
        <w:rPr>
          <w:rFonts w:ascii="맑은 고딕" w:eastAsia="맑은 고딕" w:hAnsi="맑은 고딕" w:cs="맑은 고딕"/>
          <w:b/>
          <w:sz w:val="20"/>
          <w:szCs w:val="20"/>
        </w:rPr>
      </w:pPr>
    </w:p>
    <w:p>
      <w:pPr>
        <w:ind w:left="0" w:right="-1440" w:firstLine="0"/>
        <w:jc w:val="center"/>
        <w:rPr>
          <w:rFonts w:ascii="맑은 고딕" w:eastAsia="맑은 고딕" w:hAnsi="맑은 고딕" w:cs="맑은 고딕"/>
          <w:b/>
          <w:sz w:val="40"/>
          <w:szCs w:val="40"/>
        </w:rPr>
      </w:pPr>
    </w:p>
    <w:p>
      <w:pPr>
        <w:jc w:val="left"/>
        <w:rPr>
          <w:rFonts w:ascii="맑은 고딕" w:eastAsia="맑은 고딕" w:hAnsi="맑은 고딕" w:cs="맑은 고딕"/>
          <w:b/>
          <w:sz w:val="40"/>
          <w:szCs w:val="40"/>
        </w:rPr>
      </w:pPr>
    </w:p>
    <w:p>
      <w:pPr>
        <w:jc w:val="center"/>
        <w:rPr>
          <w:rFonts w:ascii="맑은 고딕" w:eastAsia="맑은 고딕" w:hAnsi="맑은 고딕" w:cs="맑은 고딕"/>
          <w:b/>
          <w:sz w:val="40"/>
          <w:szCs w:val="40"/>
        </w:rPr>
      </w:pPr>
    </w:p>
    <w:p>
      <w:pPr>
        <w:jc w:val="center"/>
        <w:rPr>
          <w:rFonts w:ascii="맑은 고딕" w:eastAsia="맑은 고딕" w:hAnsi="맑은 고딕" w:cs="맑은 고딕"/>
          <w:b/>
          <w:sz w:val="40"/>
          <w:szCs w:val="40"/>
        </w:rPr>
      </w:pPr>
    </w:p>
    <w:p>
      <w:pPr>
        <w:jc w:val="center"/>
        <w:rPr>
          <w:rFonts w:ascii="맑은 고딕" w:eastAsia="맑은 고딕" w:hAnsi="맑은 고딕" w:cs="맑은 고딕"/>
          <w:b/>
          <w:sz w:val="40"/>
          <w:szCs w:val="40"/>
        </w:rPr>
      </w:pPr>
    </w:p>
    <w:p>
      <w:pPr>
        <w:jc w:val="center"/>
        <w:rPr>
          <w:rFonts w:ascii="맑은 고딕" w:eastAsia="맑은 고딕" w:hAnsi="맑은 고딕" w:cs="맑은 고딕"/>
          <w:b/>
          <w:sz w:val="40"/>
          <w:szCs w:val="40"/>
        </w:rPr>
      </w:pPr>
    </w:p>
    <w:p>
      <w:pPr>
        <w:jc w:val="center"/>
        <w:rPr>
          <w:rFonts w:ascii="맑은 고딕" w:eastAsia="맑은 고딕" w:hAnsi="맑은 고딕" w:cs="맑은 고딕"/>
          <w:b/>
          <w:sz w:val="40"/>
          <w:szCs w:val="40"/>
        </w:rPr>
      </w:pPr>
    </w:p>
    <w:p>
      <w:pPr>
        <w:jc w:val="center"/>
        <w:rPr>
          <w:rFonts w:ascii="맑은 고딕" w:eastAsia="맑은 고딕" w:hAnsi="맑은 고딕" w:cs="맑은 고딕"/>
          <w:b/>
          <w:sz w:val="40"/>
          <w:szCs w:val="40"/>
        </w:rPr>
      </w:pPr>
    </w:p>
    <w:p>
      <w:pPr>
        <w:jc w:val="right"/>
        <w:rPr>
          <w:rFonts w:ascii="맑은 고딕" w:eastAsia="맑은 고딕" w:hAnsi="맑은 고딕" w:cs="맑은 고딕"/>
          <w:b/>
          <w:sz w:val="28"/>
          <w:szCs w:val="28"/>
        </w:rPr>
      </w:pPr>
      <w:r>
        <w:rPr>
          <w:rFonts w:ascii="맑은 고딕" w:eastAsia="맑은 고딕" w:hAnsi="맑은 고딕" w:cs="맑은 고딕"/>
          <w:b/>
          <w:sz w:val="28"/>
          <w:szCs w:val="28"/>
          <w:rtl w:val="off"/>
        </w:rPr>
        <w:t xml:space="preserve">작성일 : 2022.01.01 </w:t>
      </w:r>
    </w:p>
    <w:p>
      <w:pPr>
        <w:jc w:val="right"/>
        <w:rPr>
          <w:rFonts w:ascii="맑은 고딕" w:eastAsia="맑은 고딕" w:hAnsi="맑은 고딕" w:cs="맑은 고딕"/>
          <w:b/>
          <w:sz w:val="28"/>
          <w:szCs w:val="28"/>
        </w:rPr>
      </w:pPr>
      <w:r>
        <w:rPr>
          <w:rFonts w:ascii="맑은 고딕" w:eastAsia="맑은 고딕" w:hAnsi="맑은 고딕" w:cs="맑은 고딕"/>
          <w:b/>
          <w:sz w:val="28"/>
          <w:szCs w:val="28"/>
          <w:rtl w:val="off"/>
        </w:rPr>
        <w:t>작성자 : 허 진, 김혜리</w:t>
      </w:r>
    </w:p>
    <w:p>
      <w:pPr>
        <w:jc w:val="right"/>
        <w:rPr>
          <w:rFonts w:ascii="맑은 고딕" w:eastAsia="맑은 고딕" w:hAnsi="맑은 고딕" w:cs="맑은 고딕"/>
          <w:b/>
          <w:sz w:val="40"/>
          <w:szCs w:val="40"/>
        </w:rPr>
      </w:pPr>
    </w:p>
    <w:p>
      <w:pPr>
        <w:jc w:val="both"/>
        <w:rPr>
          <w:rFonts w:ascii="맑은 고딕" w:eastAsia="맑은 고딕" w:hAnsi="맑은 고딕" w:cs="맑은 고딕"/>
          <w:b/>
          <w:sz w:val="40"/>
          <w:szCs w:val="40"/>
        </w:rPr>
      </w:pPr>
    </w:p>
    <w:p>
      <w:pPr>
        <w:jc w:val="center"/>
        <w:rPr>
          <w:rFonts w:ascii="맑은 고딕" w:eastAsia="맑은 고딕" w:hAnsi="맑은 고딕" w:cs="맑은 고딕"/>
          <w:b/>
          <w:sz w:val="40"/>
          <w:szCs w:val="40"/>
        </w:rPr>
      </w:pPr>
      <w:r>
        <w:rPr>
          <w:rFonts w:ascii="맑은 고딕" w:eastAsia="맑은 고딕" w:hAnsi="맑은 고딕" w:cs="맑은 고딕"/>
          <w:b/>
          <w:sz w:val="40"/>
          <w:szCs w:val="40"/>
          <w:rtl w:val="off"/>
        </w:rPr>
        <w:t>&lt;목차&gt;</w:t>
      </w:r>
    </w:p>
    <w:p>
      <w:pPr>
        <w:jc w:val="center"/>
        <w:rPr>
          <w:rFonts w:ascii="맑은 고딕" w:eastAsia="맑은 고딕" w:hAnsi="맑은 고딕" w:cs="맑은 고딕"/>
          <w:b/>
          <w:sz w:val="40"/>
          <w:szCs w:val="40"/>
        </w:rPr>
      </w:pPr>
    </w:p>
    <w:p>
      <w:pPr>
        <w:jc w:val="center"/>
        <w:rPr>
          <w:rFonts w:ascii="맑은 고딕" w:eastAsia="맑은 고딕" w:hAnsi="맑은 고딕" w:cs="맑은 고딕"/>
          <w:b/>
          <w:sz w:val="40"/>
          <w:szCs w:val="40"/>
        </w:rPr>
      </w:pPr>
    </w:p>
    <w:p>
      <w:pPr>
        <w:ind w:left="720" w:hanging="360"/>
        <w:numPr>
          <w:ilvl w:val="0"/>
          <w:numId w:val="1"/>
        </w:numPr>
        <w:rPr>
          <w:rFonts w:ascii="맑은 고딕" w:eastAsia="맑은 고딕" w:hAnsi="맑은 고딕" w:cs="맑은 고딕"/>
          <w:b/>
          <w:sz w:val="24"/>
          <w:szCs w:val="24"/>
        </w:rPr>
      </w:pPr>
      <w:r>
        <w:rPr>
          <w:rFonts w:ascii="맑은 고딕" w:eastAsia="맑은 고딕" w:hAnsi="맑은 고딕" w:cs="맑은 고딕"/>
          <w:b/>
          <w:sz w:val="24"/>
          <w:szCs w:val="24"/>
          <w:rtl w:val="off"/>
        </w:rPr>
        <w:t>분석 배경 및 기획의도…………………………………………………………………...p.2</w:t>
      </w:r>
    </w:p>
    <w:p>
      <w:pPr>
        <w:ind w:left="720" w:firstLine="0"/>
        <w:rPr>
          <w:rFonts w:ascii="맑은 고딕" w:eastAsia="맑은 고딕" w:hAnsi="맑은 고딕" w:cs="맑은 고딕"/>
          <w:b/>
          <w:sz w:val="24"/>
          <w:szCs w:val="24"/>
        </w:rPr>
      </w:pPr>
      <w:r>
        <w:rPr>
          <w:rFonts w:ascii="맑은 고딕" w:eastAsia="맑은 고딕" w:hAnsi="맑은 고딕" w:cs="맑은 고딕"/>
          <w:b/>
          <w:sz w:val="24"/>
          <w:szCs w:val="24"/>
          <w:rtl w:val="off"/>
        </w:rPr>
        <w:t>1.1 분석배경</w:t>
      </w:r>
    </w:p>
    <w:p>
      <w:pPr>
        <w:ind w:left="720" w:firstLine="0"/>
        <w:rPr>
          <w:rFonts w:ascii="맑은 고딕" w:eastAsia="맑은 고딕" w:hAnsi="맑은 고딕" w:cs="맑은 고딕"/>
          <w:b/>
          <w:sz w:val="24"/>
          <w:szCs w:val="24"/>
        </w:rPr>
      </w:pPr>
      <w:r>
        <w:rPr>
          <w:rFonts w:ascii="맑은 고딕" w:eastAsia="맑은 고딕" w:hAnsi="맑은 고딕" w:cs="맑은 고딕"/>
          <w:b/>
          <w:sz w:val="24"/>
          <w:szCs w:val="24"/>
          <w:rtl w:val="off"/>
        </w:rPr>
        <w:t>1.2 기획의도</w:t>
      </w:r>
    </w:p>
    <w:p>
      <w:pPr>
        <w:ind w:left="720" w:hanging="360"/>
        <w:numPr>
          <w:ilvl w:val="0"/>
          <w:numId w:val="1"/>
        </w:numPr>
        <w:rPr>
          <w:rFonts w:ascii="맑은 고딕" w:eastAsia="맑은 고딕" w:hAnsi="맑은 고딕" w:cs="맑은 고딕"/>
          <w:b/>
          <w:sz w:val="24"/>
          <w:szCs w:val="24"/>
        </w:rPr>
      </w:pPr>
      <w:r>
        <w:rPr>
          <w:rFonts w:ascii="맑은 고딕" w:eastAsia="맑은 고딕" w:hAnsi="맑은 고딕" w:cs="맑은 고딕"/>
          <w:b/>
          <w:sz w:val="24"/>
          <w:szCs w:val="24"/>
          <w:rtl w:val="off"/>
        </w:rPr>
        <w:t>분석 목표……………………………………………………………………………………..p.4</w:t>
      </w:r>
    </w:p>
    <w:p>
      <w:pPr>
        <w:ind w:left="720" w:hanging="360"/>
        <w:numPr>
          <w:ilvl w:val="0"/>
          <w:numId w:val="1"/>
        </w:numPr>
        <w:rPr>
          <w:rFonts w:ascii="맑은 고딕" w:eastAsia="맑은 고딕" w:hAnsi="맑은 고딕" w:cs="맑은 고딕"/>
          <w:b/>
          <w:sz w:val="24"/>
          <w:szCs w:val="24"/>
        </w:rPr>
      </w:pPr>
      <w:r>
        <w:rPr>
          <w:rFonts w:ascii="맑은 고딕" w:eastAsia="맑은 고딕" w:hAnsi="맑은 고딕" w:cs="맑은 고딕"/>
          <w:b/>
          <w:sz w:val="24"/>
          <w:szCs w:val="24"/>
          <w:rtl w:val="off"/>
        </w:rPr>
        <w:t>분석 데이터………………………………………………………………………………….p.5</w:t>
      </w:r>
    </w:p>
    <w:p>
      <w:pPr>
        <w:ind w:left="720" w:firstLine="0"/>
        <w:rPr>
          <w:rFonts w:ascii="맑은 고딕" w:eastAsia="맑은 고딕" w:hAnsi="맑은 고딕" w:cs="맑은 고딕"/>
          <w:b/>
          <w:sz w:val="24"/>
          <w:szCs w:val="24"/>
        </w:rPr>
      </w:pPr>
      <w:r>
        <w:rPr>
          <w:rFonts w:ascii="맑은 고딕" w:eastAsia="맑은 고딕" w:hAnsi="맑은 고딕" w:cs="맑은 고딕"/>
          <w:b/>
          <w:sz w:val="24"/>
          <w:szCs w:val="24"/>
          <w:rtl w:val="off"/>
        </w:rPr>
        <w:t>3.1. 데이터 수집</w:t>
      </w:r>
    </w:p>
    <w:p>
      <w:pPr>
        <w:ind w:left="720" w:firstLine="0"/>
        <w:rPr>
          <w:rFonts w:ascii="맑은 고딕" w:eastAsia="맑은 고딕" w:hAnsi="맑은 고딕" w:cs="맑은 고딕"/>
          <w:b/>
          <w:sz w:val="24"/>
          <w:szCs w:val="24"/>
        </w:rPr>
      </w:pPr>
      <w:r>
        <w:rPr>
          <w:rFonts w:ascii="맑은 고딕" w:eastAsia="맑은 고딕" w:hAnsi="맑은 고딕" w:cs="맑은 고딕"/>
          <w:b/>
          <w:sz w:val="24"/>
          <w:szCs w:val="24"/>
          <w:rtl w:val="off"/>
        </w:rPr>
        <w:t>3.2. 데이터 정합성 검정</w:t>
      </w:r>
    </w:p>
    <w:p>
      <w:pPr>
        <w:ind w:left="720" w:hanging="360"/>
        <w:numPr>
          <w:ilvl w:val="0"/>
          <w:numId w:val="1"/>
        </w:numPr>
        <w:rPr>
          <w:rFonts w:ascii="맑은 고딕" w:eastAsia="맑은 고딕" w:hAnsi="맑은 고딕" w:cs="맑은 고딕"/>
          <w:b/>
          <w:sz w:val="24"/>
          <w:szCs w:val="24"/>
        </w:rPr>
      </w:pPr>
      <w:r>
        <w:rPr>
          <w:rFonts w:ascii="맑은 고딕" w:eastAsia="맑은 고딕" w:hAnsi="맑은 고딕" w:cs="맑은 고딕"/>
          <w:b/>
          <w:sz w:val="24"/>
          <w:szCs w:val="24"/>
          <w:rtl w:val="off"/>
        </w:rPr>
        <w:t>분석 과정……………………………………………………………………………………..p.7</w:t>
      </w:r>
    </w:p>
    <w:p>
      <w:pPr>
        <w:ind w:left="720" w:firstLine="0"/>
        <w:rPr>
          <w:rFonts w:ascii="맑은 고딕" w:eastAsia="맑은 고딕" w:hAnsi="맑은 고딕" w:cs="맑은 고딕"/>
          <w:b/>
          <w:sz w:val="24"/>
          <w:szCs w:val="24"/>
        </w:rPr>
      </w:pPr>
      <w:r>
        <w:rPr>
          <w:rFonts w:ascii="맑은 고딕" w:eastAsia="맑은 고딕" w:hAnsi="맑은 고딕" w:cs="맑은 고딕"/>
          <w:b/>
          <w:sz w:val="24"/>
          <w:szCs w:val="24"/>
          <w:rtl w:val="off"/>
        </w:rPr>
        <w:t>4.1. 데이터 전처리</w:t>
      </w:r>
    </w:p>
    <w:p>
      <w:pPr>
        <w:ind w:left="720" w:firstLine="0"/>
        <w:rPr>
          <w:rFonts w:ascii="맑은 고딕" w:eastAsia="맑은 고딕" w:hAnsi="맑은 고딕" w:cs="맑은 고딕"/>
          <w:b/>
          <w:sz w:val="24"/>
          <w:szCs w:val="24"/>
        </w:rPr>
      </w:pPr>
      <w:r>
        <w:rPr>
          <w:rFonts w:ascii="맑은 고딕" w:eastAsia="맑은 고딕" w:hAnsi="맑은 고딕" w:cs="맑은 고딕"/>
          <w:b/>
          <w:rtl w:val="off"/>
        </w:rPr>
        <w:t>4.2. 시계열분석 과정</w:t>
      </w:r>
    </w:p>
    <w:p>
      <w:pPr>
        <w:ind w:left="720" w:firstLine="0"/>
        <w:rPr>
          <w:rFonts w:ascii="맑은 고딕" w:eastAsia="맑은 고딕" w:hAnsi="맑은 고딕" w:cs="맑은 고딕"/>
          <w:b/>
          <w:sz w:val="24"/>
          <w:szCs w:val="24"/>
        </w:rPr>
      </w:pPr>
      <w:r>
        <w:rPr>
          <w:rFonts w:ascii="맑은 고딕" w:eastAsia="맑은 고딕" w:hAnsi="맑은 고딕" w:cs="맑은 고딕"/>
          <w:b/>
          <w:sz w:val="24"/>
          <w:szCs w:val="24"/>
          <w:rtl w:val="off"/>
        </w:rPr>
        <w:t xml:space="preserve">4.3. </w:t>
      </w:r>
      <w:r>
        <w:rPr>
          <w:rFonts w:ascii="맑은 고딕" w:eastAsia="맑은 고딕" w:hAnsi="맑은 고딕" w:cs="맑은 고딕"/>
          <w:b/>
          <w:rtl w:val="off"/>
        </w:rPr>
        <w:t>상관분석 과정</w:t>
      </w:r>
    </w:p>
    <w:p>
      <w:pPr>
        <w:rPr>
          <w:rFonts w:ascii="맑은 고딕" w:eastAsia="맑은 고딕" w:hAnsi="맑은 고딕" w:cs="맑은 고딕"/>
          <w:b/>
        </w:rPr>
      </w:pPr>
      <w:r>
        <w:rPr>
          <w:rFonts w:ascii="맑은 고딕" w:eastAsia="맑은 고딕" w:hAnsi="맑은 고딕" w:cs="맑은 고딕"/>
          <w:b/>
          <w:sz w:val="24"/>
          <w:szCs w:val="24"/>
          <w:rtl w:val="off"/>
        </w:rPr>
        <w:tab/>
      </w:r>
      <w:r>
        <w:rPr>
          <w:rFonts w:ascii="맑은 고딕" w:eastAsia="맑은 고딕" w:hAnsi="맑은 고딕" w:cs="맑은 고딕"/>
          <w:b/>
          <w:sz w:val="24"/>
          <w:szCs w:val="24"/>
          <w:rtl w:val="off"/>
        </w:rPr>
        <w:t xml:space="preserve">4.4. </w:t>
      </w:r>
      <w:r>
        <w:rPr>
          <w:rFonts w:ascii="맑은 고딕" w:eastAsia="맑은 고딕" w:hAnsi="맑은 고딕" w:cs="맑은 고딕"/>
          <w:b/>
          <w:rtl w:val="off"/>
        </w:rPr>
        <w:t>비교분석 과정</w:t>
      </w:r>
    </w:p>
    <w:p>
      <w:pPr>
        <w:ind w:left="720" w:hanging="360"/>
        <w:numPr>
          <w:ilvl w:val="0"/>
          <w:numId w:val="1"/>
        </w:numPr>
        <w:rPr>
          <w:rFonts w:ascii="맑은 고딕" w:eastAsia="맑은 고딕" w:hAnsi="맑은 고딕" w:cs="맑은 고딕"/>
          <w:b/>
          <w:sz w:val="24"/>
          <w:szCs w:val="24"/>
        </w:rPr>
      </w:pPr>
      <w:r>
        <w:rPr>
          <w:rFonts w:ascii="맑은 고딕" w:eastAsia="맑은 고딕" w:hAnsi="맑은 고딕" w:cs="맑은 고딕"/>
          <w:b/>
          <w:sz w:val="24"/>
          <w:szCs w:val="24"/>
          <w:rtl w:val="off"/>
        </w:rPr>
        <w:t>분석 결과…………..……………………………………………………………………....p.10</w:t>
      </w:r>
    </w:p>
    <w:p>
      <w:pPr>
        <w:rPr>
          <w:rFonts w:ascii="맑은 고딕" w:eastAsia="맑은 고딕" w:hAnsi="맑은 고딕" w:cs="맑은 고딕"/>
          <w:b/>
          <w:sz w:val="24"/>
          <w:szCs w:val="24"/>
        </w:rPr>
      </w:pPr>
      <w:r>
        <w:rPr>
          <w:rFonts w:ascii="맑은 고딕" w:eastAsia="맑은 고딕" w:hAnsi="맑은 고딕" w:cs="맑은 고딕"/>
          <w:b/>
          <w:sz w:val="24"/>
          <w:szCs w:val="24"/>
          <w:rtl w:val="off"/>
        </w:rPr>
        <w:t xml:space="preserve"> </w:t>
      </w:r>
      <w:r>
        <w:rPr>
          <w:rFonts w:ascii="맑은 고딕" w:eastAsia="맑은 고딕" w:hAnsi="맑은 고딕" w:cs="맑은 고딕"/>
          <w:b/>
          <w:sz w:val="24"/>
          <w:szCs w:val="24"/>
          <w:rtl w:val="off"/>
        </w:rPr>
        <w:tab/>
      </w:r>
      <w:r>
        <w:rPr>
          <w:rFonts w:ascii="맑은 고딕" w:eastAsia="맑은 고딕" w:hAnsi="맑은 고딕" w:cs="맑은 고딕"/>
          <w:b/>
          <w:sz w:val="24"/>
          <w:szCs w:val="24"/>
          <w:rtl w:val="off"/>
        </w:rPr>
        <w:t>5.1 시계열분석 결과 및 시각화</w:t>
      </w:r>
    </w:p>
    <w:p>
      <w:pPr>
        <w:rPr>
          <w:rFonts w:ascii="맑은 고딕" w:eastAsia="맑은 고딕" w:hAnsi="맑은 고딕" w:cs="맑은 고딕"/>
          <w:b/>
          <w:sz w:val="24"/>
          <w:szCs w:val="24"/>
        </w:rPr>
      </w:pPr>
      <w:r>
        <w:rPr>
          <w:rFonts w:ascii="맑은 고딕" w:eastAsia="맑은 고딕" w:hAnsi="맑은 고딕" w:cs="맑은 고딕"/>
          <w:b/>
          <w:sz w:val="24"/>
          <w:szCs w:val="24"/>
          <w:rtl w:val="off"/>
        </w:rPr>
        <w:tab/>
      </w:r>
      <w:r>
        <w:rPr>
          <w:rFonts w:ascii="맑은 고딕" w:eastAsia="맑은 고딕" w:hAnsi="맑은 고딕" w:cs="맑은 고딕"/>
          <w:b/>
          <w:sz w:val="24"/>
          <w:szCs w:val="24"/>
          <w:rtl w:val="off"/>
        </w:rPr>
        <w:t>5.2 상관분석 결과 및 시각화</w:t>
      </w:r>
    </w:p>
    <w:p>
      <w:pPr>
        <w:rPr>
          <w:rFonts w:ascii="맑은 고딕" w:eastAsia="맑은 고딕" w:hAnsi="맑은 고딕" w:cs="맑은 고딕"/>
          <w:b/>
          <w:sz w:val="24"/>
          <w:szCs w:val="24"/>
        </w:rPr>
      </w:pPr>
      <w:r>
        <w:rPr>
          <w:rFonts w:ascii="맑은 고딕" w:eastAsia="맑은 고딕" w:hAnsi="맑은 고딕" w:cs="맑은 고딕"/>
          <w:b/>
          <w:sz w:val="24"/>
          <w:szCs w:val="24"/>
          <w:rtl w:val="off"/>
        </w:rPr>
        <w:tab/>
      </w:r>
      <w:r>
        <w:rPr>
          <w:rFonts w:ascii="맑은 고딕" w:eastAsia="맑은 고딕" w:hAnsi="맑은 고딕" w:cs="맑은 고딕"/>
          <w:b/>
          <w:sz w:val="24"/>
          <w:szCs w:val="24"/>
          <w:rtl w:val="off"/>
        </w:rPr>
        <w:t>5.3 비교분석 결과 및 시각화</w:t>
      </w:r>
    </w:p>
    <w:p>
      <w:pPr>
        <w:ind w:left="720" w:hanging="360"/>
        <w:numPr>
          <w:ilvl w:val="0"/>
          <w:numId w:val="1"/>
        </w:numPr>
        <w:rPr>
          <w:rFonts w:ascii="맑은 고딕" w:eastAsia="맑은 고딕" w:hAnsi="맑은 고딕" w:cs="맑은 고딕"/>
          <w:b/>
          <w:sz w:val="24"/>
          <w:szCs w:val="24"/>
        </w:rPr>
      </w:pPr>
      <w:r>
        <w:rPr>
          <w:rFonts w:ascii="맑은 고딕" w:eastAsia="맑은 고딕" w:hAnsi="맑은 고딕" w:cs="맑은 고딕"/>
          <w:b/>
          <w:sz w:val="24"/>
          <w:szCs w:val="24"/>
          <w:rtl w:val="off"/>
        </w:rPr>
        <w:t>활용방안…………………………………………………………………………………….p.25</w:t>
      </w:r>
    </w:p>
    <w:p>
      <w:pPr>
        <w:ind w:left="720" w:hanging="360"/>
        <w:numPr>
          <w:ilvl w:val="0"/>
          <w:numId w:val="1"/>
        </w:numPr>
        <w:rPr>
          <w:rFonts w:ascii="맑은 고딕" w:eastAsia="맑은 고딕" w:hAnsi="맑은 고딕" w:cs="맑은 고딕"/>
          <w:b/>
          <w:sz w:val="24"/>
          <w:szCs w:val="24"/>
          <w:u w:val="none" w:color="auto"/>
        </w:rPr>
      </w:pPr>
      <w:r>
        <w:rPr>
          <w:rFonts w:ascii="맑은 고딕" w:eastAsia="맑은 고딕" w:hAnsi="맑은 고딕" w:cs="맑은 고딕"/>
          <w:b/>
          <w:sz w:val="24"/>
          <w:szCs w:val="24"/>
          <w:rtl w:val="off"/>
        </w:rPr>
        <w:t>참고문헌…………………………………………………………………………………….p.25</w:t>
      </w:r>
    </w:p>
    <w:p>
      <w:pPr>
        <w:jc w:val="both"/>
        <w:rPr>
          <w:rFonts w:ascii="맑은 고딕" w:eastAsia="맑은 고딕" w:hAnsi="맑은 고딕" w:cs="맑은 고딕"/>
          <w:b/>
          <w:sz w:val="20"/>
          <w:szCs w:val="20"/>
        </w:rPr>
      </w:pPr>
    </w:p>
    <w:p>
      <w:pPr>
        <w:jc w:val="both"/>
        <w:rPr>
          <w:rFonts w:ascii="맑은 고딕" w:eastAsia="맑은 고딕" w:hAnsi="맑은 고딕" w:cs="맑은 고딕"/>
          <w:b/>
          <w:sz w:val="20"/>
          <w:szCs w:val="20"/>
        </w:rPr>
      </w:pPr>
    </w:p>
    <w:p>
      <w:pPr>
        <w:jc w:val="both"/>
        <w:rPr>
          <w:rFonts w:ascii="맑은 고딕" w:eastAsia="맑은 고딕" w:hAnsi="맑은 고딕" w:cs="맑은 고딕"/>
          <w:b/>
          <w:sz w:val="20"/>
          <w:szCs w:val="20"/>
        </w:rPr>
      </w:pPr>
    </w:p>
    <w:p>
      <w:pPr>
        <w:jc w:val="both"/>
        <w:rPr>
          <w:rFonts w:ascii="맑은 고딕" w:eastAsia="맑은 고딕" w:hAnsi="맑은 고딕" w:cs="맑은 고딕"/>
          <w:b/>
          <w:sz w:val="20"/>
          <w:szCs w:val="20"/>
        </w:rPr>
      </w:pPr>
    </w:p>
    <w:p>
      <w:pPr>
        <w:jc w:val="both"/>
        <w:rPr>
          <w:rFonts w:ascii="맑은 고딕" w:eastAsia="맑은 고딕" w:hAnsi="맑은 고딕" w:cs="맑은 고딕"/>
          <w:b/>
          <w:sz w:val="24"/>
          <w:szCs w:val="24"/>
        </w:rPr>
      </w:pPr>
    </w:p>
    <w:p>
      <w:pPr>
        <w:ind w:leftChars="0" w:left="720" w:hanging="360"/>
        <w:jc w:val="both"/>
        <w:rPr>
          <w:rFonts w:ascii="맑은 고딕" w:eastAsia="맑은 고딕" w:hAnsi="맑은 고딕" w:cs="맑은 고딕"/>
          <w:b/>
          <w:sz w:val="24"/>
          <w:szCs w:val="24"/>
        </w:rPr>
      </w:pPr>
      <w:r>
        <w:rPr>
          <w:lang w:eastAsia="ko-KR"/>
          <w:rFonts w:ascii="맑은 고딕" w:eastAsia="맑은 고딕" w:hAnsi="맑은 고딕" w:cs="맑은 고딕"/>
          <w:b/>
          <w:sz w:val="24"/>
          <w:szCs w:val="24"/>
          <w:rtl w:val="off"/>
        </w:rPr>
        <w:t xml:space="preserve">1. </w:t>
      </w:r>
      <w:r>
        <w:rPr>
          <w:rFonts w:ascii="맑은 고딕" w:eastAsia="맑은 고딕" w:hAnsi="맑은 고딕" w:cs="맑은 고딕"/>
          <w:b/>
          <w:sz w:val="24"/>
          <w:szCs w:val="24"/>
          <w:rtl w:val="off"/>
        </w:rPr>
        <w:t>분석배경 및 기획의도</w:t>
      </w:r>
    </w:p>
    <w:p>
      <w:pPr>
        <w:ind w:firstLine="720"/>
        <w:jc w:val="both"/>
        <w:rPr>
          <w:rFonts w:ascii="맑은 고딕" w:eastAsia="맑은 고딕" w:hAnsi="맑은 고딕" w:cs="맑은 고딕"/>
          <w:b/>
        </w:rPr>
      </w:pPr>
      <w:r>
        <w:rPr>
          <w:rFonts w:ascii="맑은 고딕" w:eastAsia="맑은 고딕" w:hAnsi="맑은 고딕" w:cs="맑은 고딕"/>
          <w:b/>
          <w:rtl w:val="off"/>
        </w:rPr>
        <w:t>1.1. 분석배경</w:t>
      </w:r>
    </w:p>
    <w:p>
      <w:pPr>
        <w:ind w:firstLine="720"/>
        <w:jc w:val="both"/>
        <w:rPr>
          <w:rFonts w:ascii="맑은 고딕" w:eastAsia="맑은 고딕" w:hAnsi="맑은 고딕" w:cs="맑은 고딕"/>
          <w:b/>
          <w:sz w:val="20"/>
          <w:szCs w:val="20"/>
        </w:rPr>
      </w:pPr>
      <w:r>
        <w:rPr>
          <w:rFonts w:ascii="맑은 고딕" w:eastAsia="맑은 고딕" w:hAnsi="맑은 고딕" w:cs="맑은 고딕"/>
          <w:b/>
          <w:sz w:val="20"/>
          <w:szCs w:val="20"/>
          <w:rtl w:val="off"/>
        </w:rPr>
        <w:t xml:space="preserve"> 1.1.1 코로나 확진자수 증가</w:t>
      </w:r>
    </w:p>
    <w:p>
      <w:pPr>
        <w:ind w:left="0" w:firstLine="0"/>
        <w:jc w:val="both"/>
        <w:rPr>
          <w:rFonts w:ascii="맑은 고딕" w:eastAsia="맑은 고딕" w:hAnsi="맑은 고딕" w:cs="맑은 고딕"/>
          <w:sz w:val="20"/>
          <w:szCs w:val="20"/>
        </w:rPr>
      </w:pPr>
      <w:r>
        <w:rPr>
          <w:rFonts w:ascii="맑은 고딕" w:eastAsia="맑은 고딕" w:hAnsi="맑은 고딕" w:cs="맑은 고딕"/>
          <w:sz w:val="20"/>
          <w:szCs w:val="20"/>
          <w:rtl w:val="off"/>
        </w:rPr>
        <w:t xml:space="preserve"> 코로나19 확진자 수 시계열 분석에 따르면, 코로나19 발생(2020.01.23)이후 확진자수가 2020년에 부터 약간 증가폭을 그리가다 2021년 6월달 부터 증가하여 11월에는 급상승하는 모습을 보이고있다.</w:t>
      </w:r>
    </w:p>
    <w:p>
      <w:pPr>
        <w:ind w:firstLine="720"/>
        <w:jc w:val="both"/>
        <w:rPr>
          <w:rFonts w:ascii="맑은 고딕" w:eastAsia="맑은 고딕" w:hAnsi="맑은 고딕" w:cs="맑은 고딕"/>
          <w:sz w:val="20"/>
          <w:szCs w:val="20"/>
        </w:rPr>
      </w:pPr>
      <w:r>
        <w:rPr>
          <w:rFonts w:ascii="맑은 고딕" w:eastAsia="맑은 고딕" w:hAnsi="맑은 고딕" w:cs="맑은 고딕"/>
          <w:b/>
          <w:sz w:val="20"/>
          <w:szCs w:val="20"/>
        </w:rPr>
        <w:drawing>
          <wp:inline distT="30" distB="30" distL="30" distR="30">
            <wp:extent cx="4086537" cy="3204475"/>
            <wp:effectExtent l="9525" t="9525" r="9525" b="9525"/>
            <wp:docPr id="1025" name="shape1025"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4086537" cy="3204475"/>
                    </a:xfrm>
                    <a:prstGeom prst="rect"/>
                    <a:ln>
                      <a:solidFill>
                        <a:schemeClr val="lt1">
                          <a:alpha val="100000"/>
                        </a:schemeClr>
                      </a:solidFill>
                    </a:ln>
                  </pic:spPr>
                </pic:pic>
              </a:graphicData>
            </a:graphic>
          </wp:inline>
        </w:drawing>
      </w:r>
    </w:p>
    <w:p>
      <w:pPr>
        <w:ind w:firstLine="720"/>
        <w:jc w:val="both"/>
        <w:rPr>
          <w:rFonts w:ascii="맑은 고딕" w:eastAsia="맑은 고딕" w:hAnsi="맑은 고딕" w:cs="맑은 고딕"/>
          <w:b/>
          <w:sz w:val="20"/>
          <w:szCs w:val="20"/>
        </w:rPr>
      </w:pPr>
      <w:r>
        <w:rPr>
          <w:rFonts w:ascii="맑은 고딕" w:eastAsia="맑은 고딕" w:hAnsi="맑은 고딕" w:cs="맑은 고딕"/>
          <w:b/>
          <w:rtl w:val="off"/>
        </w:rPr>
        <w:t xml:space="preserve"> </w:t>
      </w:r>
      <w:r>
        <w:rPr>
          <w:rFonts w:ascii="맑은 고딕" w:eastAsia="맑은 고딕" w:hAnsi="맑은 고딕" w:cs="맑은 고딕"/>
          <w:b/>
          <w:sz w:val="20"/>
          <w:szCs w:val="20"/>
          <w:rtl w:val="off"/>
        </w:rPr>
        <w:t>1.1.2. 온라인 구매 편의성 증대</w:t>
      </w:r>
    </w:p>
    <w:p>
      <w:pPr>
        <w:jc w:val="both"/>
        <w:rPr>
          <w:rFonts w:ascii="맑은 고딕" w:eastAsia="맑은 고딕" w:hAnsi="맑은 고딕" w:cs="맑은 고딕"/>
          <w:sz w:val="20"/>
          <w:szCs w:val="20"/>
        </w:rPr>
      </w:pPr>
      <w:r>
        <w:rPr>
          <w:rFonts w:ascii="맑은 고딕" w:eastAsia="맑은 고딕" w:hAnsi="맑은 고딕" w:cs="맑은 고딕"/>
          <w:sz w:val="24"/>
          <w:szCs w:val="24"/>
          <w:rtl w:val="off"/>
        </w:rPr>
        <w:t xml:space="preserve"> </w:t>
      </w:r>
      <w:r>
        <w:rPr>
          <w:rFonts w:ascii="맑은 고딕" w:eastAsia="맑은 고딕" w:hAnsi="맑은 고딕" w:cs="맑은 고딕"/>
          <w:sz w:val="20"/>
          <w:szCs w:val="20"/>
          <w:rtl w:val="off"/>
        </w:rPr>
        <w:t>컨슈머인사이트와 한양대학교 유통연구센터의 조사에 따르면, 온라인 구매에 있어 스마트폰/태블릿 PC 디바이스 이용이 증가하는 추세다. 이는 온라인 구매 편의성 증대로 온라인 쇼핑몰을 통해 생필품을 구매하는 소비자들이 늘어나고 있음을 의미한다. 더구나 코로나19 여파로 인해 온라인으로 장을 보는 현상이 더욱 두드러졌다.</w:t>
      </w:r>
    </w:p>
    <w:p>
      <w:pPr>
        <w:jc w:val="center"/>
        <w:rPr>
          <w:rFonts w:ascii="맑은 고딕" w:eastAsia="맑은 고딕" w:hAnsi="맑은 고딕" w:cs="맑은 고딕"/>
          <w:b/>
          <w:sz w:val="20"/>
          <w:szCs w:val="20"/>
        </w:rPr>
      </w:pPr>
      <w:r>
        <w:rPr>
          <w:rFonts w:ascii="맑은 고딕" w:eastAsia="맑은 고딕" w:hAnsi="맑은 고딕" w:cs="맑은 고딕"/>
          <w:b/>
          <w:sz w:val="20"/>
          <w:szCs w:val="20"/>
        </w:rPr>
        <w:drawing>
          <wp:inline distT="30" distB="30" distL="30" distR="30">
            <wp:extent cx="5261841" cy="2175806"/>
            <wp:effectExtent l="9525" t="9525" r="9525" b="9525"/>
            <wp:docPr id="1026" name="shape1026"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2">
                      <a:extLst>
                        <a:ext uri="{28A0092B-C50C-407E-A947-70E740481C1C}">
                          <a14:useLocalDpi xmlns:a14="http://schemas.microsoft.com/office/drawing/2010/main" val="0"/>
                        </a:ext>
                      </a:extLst>
                    </a:blip>
                    <a:srcRect/>
                    <a:stretch>
                      <a:fillRect/>
                    </a:stretch>
                  </pic:blipFill>
                  <pic:spPr>
                    <a:xfrm>
                      <a:off x="0" y="0"/>
                      <a:ext cx="5261841" cy="2175806"/>
                    </a:xfrm>
                    <a:prstGeom prst="rect"/>
                    <a:ln>
                      <a:solidFill>
                        <a:schemeClr val="lt1">
                          <a:alpha val="100000"/>
                        </a:schemeClr>
                      </a:solidFill>
                    </a:ln>
                  </pic:spPr>
                </pic:pic>
              </a:graphicData>
            </a:graphic>
          </wp:inline>
        </w:drawing>
      </w:r>
    </w:p>
    <w:p>
      <w:pPr>
        <w:jc w:val="both"/>
        <w:rPr>
          <w:rFonts w:ascii="맑은 고딕" w:eastAsia="맑은 고딕" w:hAnsi="맑은 고딕" w:cs="맑은 고딕"/>
          <w:b/>
          <w:sz w:val="20"/>
          <w:szCs w:val="20"/>
        </w:rPr>
      </w:pPr>
    </w:p>
    <w:p>
      <w:pPr>
        <w:jc w:val="center"/>
        <w:rPr>
          <w:rFonts w:ascii="맑은 고딕" w:eastAsia="맑은 고딕" w:hAnsi="맑은 고딕" w:cs="맑은 고딕"/>
          <w:b/>
          <w:sz w:val="24"/>
          <w:szCs w:val="24"/>
        </w:rPr>
      </w:pPr>
      <w:r>
        <w:rPr>
          <w:rFonts w:ascii="맑은 고딕" w:eastAsia="맑은 고딕" w:hAnsi="맑은 고딕" w:cs="맑은 고딕"/>
          <w:b/>
          <w:sz w:val="24"/>
          <w:szCs w:val="24"/>
        </w:rPr>
        <w:drawing>
          <wp:inline distT="30" distB="30" distL="30" distR="30">
            <wp:extent cx="5406724" cy="1362945"/>
            <wp:effectExtent l="9525" t="9525" r="9525" b="9525"/>
            <wp:docPr id="1027" name="shape1027"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3">
                      <a:extLst>
                        <a:ext uri="{28A0092B-C50C-407E-A947-70E740481C1C}">
                          <a14:useLocalDpi xmlns:a14="http://schemas.microsoft.com/office/drawing/2010/main" val="0"/>
                        </a:ext>
                      </a:extLst>
                    </a:blip>
                    <a:srcRect/>
                    <a:stretch>
                      <a:fillRect/>
                    </a:stretch>
                  </pic:blipFill>
                  <pic:spPr>
                    <a:xfrm>
                      <a:off x="0" y="0"/>
                      <a:ext cx="5406724" cy="1362945"/>
                    </a:xfrm>
                    <a:prstGeom prst="rect"/>
                    <a:ln>
                      <a:solidFill>
                        <a:schemeClr val="lt1">
                          <a:alpha val="100000"/>
                        </a:schemeClr>
                      </a:solidFill>
                    </a:ln>
                  </pic:spPr>
                </pic:pic>
              </a:graphicData>
            </a:graphic>
          </wp:inline>
        </w:drawing>
      </w:r>
    </w:p>
    <w:p>
      <w:pPr>
        <w:jc w:val="center"/>
        <w:rPr>
          <w:rFonts w:ascii="맑은 고딕" w:eastAsia="맑은 고딕" w:hAnsi="맑은 고딕" w:cs="맑은 고딕"/>
          <w:sz w:val="20"/>
          <w:szCs w:val="20"/>
        </w:rPr>
      </w:pPr>
      <w:r>
        <w:rPr>
          <w:rFonts w:ascii="맑은 고딕" w:eastAsia="맑은 고딕" w:hAnsi="맑은 고딕" w:cs="맑은 고딕"/>
          <w:sz w:val="20"/>
          <w:szCs w:val="20"/>
          <w:rtl w:val="off"/>
        </w:rPr>
        <w:t>(컨슈머인사이트, 한양대학교 유통연구센터 공동기획 조사자료)</w:t>
      </w:r>
    </w:p>
    <w:p>
      <w:pPr>
        <w:ind w:firstLine="720"/>
        <w:jc w:val="both"/>
        <w:rPr>
          <w:rFonts w:ascii="맑은 고딕" w:eastAsia="맑은 고딕" w:hAnsi="맑은 고딕" w:cs="맑은 고딕"/>
          <w:b/>
          <w:sz w:val="20"/>
          <w:szCs w:val="20"/>
        </w:rPr>
      </w:pPr>
    </w:p>
    <w:p>
      <w:pPr>
        <w:ind w:firstLine="720"/>
        <w:jc w:val="both"/>
        <w:rPr>
          <w:rFonts w:ascii="맑은 고딕" w:eastAsia="맑은 고딕" w:hAnsi="맑은 고딕" w:cs="맑은 고딕"/>
          <w:b/>
          <w:sz w:val="20"/>
          <w:szCs w:val="20"/>
        </w:rPr>
      </w:pPr>
      <w:r>
        <w:rPr>
          <w:rFonts w:ascii="맑은 고딕" w:eastAsia="맑은 고딕" w:hAnsi="맑은 고딕" w:cs="맑은 고딕"/>
          <w:b/>
          <w:sz w:val="20"/>
          <w:szCs w:val="20"/>
          <w:rtl w:val="off"/>
        </w:rPr>
        <w:t>1.1.3. 코로나 이후 취급상품별 온라인 판매 비중 변화</w:t>
      </w:r>
    </w:p>
    <w:p>
      <w:pPr>
        <w:ind w:left="0" w:firstLine="0"/>
        <w:jc w:val="both"/>
        <w:rPr>
          <w:rFonts w:ascii="맑은 고딕" w:eastAsia="맑은 고딕" w:hAnsi="맑은 고딕" w:cs="맑은 고딕"/>
          <w:sz w:val="20"/>
          <w:szCs w:val="20"/>
        </w:rPr>
      </w:pPr>
      <w:r>
        <w:rPr>
          <w:rFonts w:ascii="맑은 고딕" w:eastAsia="맑은 고딕" w:hAnsi="맑은 고딕" w:cs="맑은 고딕"/>
          <w:sz w:val="20"/>
          <w:szCs w:val="20"/>
          <w:rtl w:val="off"/>
        </w:rPr>
        <w:t xml:space="preserve"> 정보통신정책연구원의 코로나19로 인한 소비패턴의 변화 보고서에 따르면, 음식료품, 가전/전자/통신기기, 농축산물, 생활용품, 가구, 음식 서비스 등 실내활동과 관련된 품목은 코로나 이전과 비교해 온라인 판매액이 크게 증가하였다. 반면 여행 및 교통서비스, 문화 및 레저 서비스, 의복, 신발, 가방 등 실외활동과 관련된 품목은 코로나 이후 온라인 판매액이 감소하였다.</w:t>
      </w:r>
    </w:p>
    <w:p>
      <w:pPr>
        <w:ind w:left="0" w:firstLine="0"/>
        <w:jc w:val="center"/>
        <w:rPr>
          <w:rFonts w:ascii="맑은 고딕" w:eastAsia="맑은 고딕" w:hAnsi="맑은 고딕" w:cs="맑은 고딕"/>
          <w:b/>
          <w:sz w:val="20"/>
          <w:szCs w:val="20"/>
        </w:rPr>
      </w:pPr>
      <w:r>
        <w:rPr>
          <w:rFonts w:ascii="맑은 고딕" w:eastAsia="맑은 고딕" w:hAnsi="맑은 고딕" w:cs="맑은 고딕"/>
          <w:b/>
          <w:sz w:val="20"/>
          <w:szCs w:val="20"/>
        </w:rPr>
        <w:drawing>
          <wp:inline distT="30" distB="30" distL="30" distR="30">
            <wp:extent cx="3175627" cy="3148013"/>
            <wp:effectExtent l="9525" t="9525" r="9525" b="9525"/>
            <wp:docPr id="1028" name="shape1028"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4">
                      <a:extLst>
                        <a:ext uri="{28A0092B-C50C-407E-A947-70E740481C1C}">
                          <a14:useLocalDpi xmlns:a14="http://schemas.microsoft.com/office/drawing/2010/main" val="0"/>
                        </a:ext>
                      </a:extLst>
                    </a:blip>
                    <a:srcRect/>
                    <a:stretch>
                      <a:fillRect/>
                    </a:stretch>
                  </pic:blipFill>
                  <pic:spPr>
                    <a:xfrm>
                      <a:off x="0" y="0"/>
                      <a:ext cx="3175627" cy="3148013"/>
                    </a:xfrm>
                    <a:prstGeom prst="rect"/>
                    <a:ln>
                      <a:solidFill>
                        <a:schemeClr val="lt1">
                          <a:alpha val="100000"/>
                        </a:schemeClr>
                      </a:solidFill>
                    </a:ln>
                  </pic:spPr>
                </pic:pic>
              </a:graphicData>
            </a:graphic>
          </wp:inline>
        </w:drawing>
      </w:r>
    </w:p>
    <w:p>
      <w:pPr>
        <w:ind w:left="0" w:firstLine="0"/>
        <w:jc w:val="center"/>
        <w:rPr>
          <w:rFonts w:ascii="맑은 고딕" w:eastAsia="맑은 고딕" w:hAnsi="맑은 고딕" w:cs="맑은 고딕"/>
          <w:sz w:val="20"/>
          <w:szCs w:val="20"/>
        </w:rPr>
      </w:pPr>
      <w:r>
        <w:rPr>
          <w:rFonts w:ascii="맑은 고딕" w:eastAsia="맑은 고딕" w:hAnsi="맑은 고딕" w:cs="맑은 고딕"/>
          <w:sz w:val="20"/>
          <w:szCs w:val="20"/>
          <w:rtl w:val="off"/>
        </w:rPr>
        <w:t>(코로나19로 인한 소비패턴 변화, 정보통신정책연구원)</w:t>
      </w:r>
    </w:p>
    <w:p>
      <w:pPr>
        <w:ind w:left="0" w:firstLine="0"/>
        <w:jc w:val="both"/>
        <w:rPr>
          <w:rFonts w:ascii="맑은 고딕" w:eastAsia="맑은 고딕" w:hAnsi="맑은 고딕" w:cs="맑은 고딕"/>
          <w:b/>
          <w:sz w:val="20"/>
          <w:szCs w:val="20"/>
        </w:rPr>
      </w:pPr>
      <w:r>
        <w:rPr>
          <w:rFonts w:ascii="맑은 고딕" w:eastAsia="맑은 고딕" w:hAnsi="맑은 고딕" w:cs="맑은 고딕"/>
          <w:b/>
          <w:sz w:val="20"/>
          <w:szCs w:val="20"/>
          <w:rtl w:val="off"/>
        </w:rPr>
        <w:tab/>
      </w:r>
    </w:p>
    <w:p>
      <w:pPr>
        <w:ind w:left="0" w:firstLine="720"/>
        <w:jc w:val="both"/>
        <w:rPr>
          <w:rFonts w:ascii="맑은 고딕" w:eastAsia="맑은 고딕" w:hAnsi="맑은 고딕" w:cs="맑은 고딕"/>
          <w:b/>
          <w:sz w:val="20"/>
          <w:szCs w:val="20"/>
        </w:rPr>
      </w:pPr>
      <w:r>
        <w:rPr>
          <w:rFonts w:ascii="맑은 고딕" w:eastAsia="맑은 고딕" w:hAnsi="맑은 고딕" w:cs="맑은 고딕"/>
          <w:b/>
          <w:sz w:val="20"/>
          <w:szCs w:val="20"/>
          <w:rtl w:val="off"/>
        </w:rPr>
        <w:t>1.1.4. 1인가구의 증가</w:t>
      </w:r>
    </w:p>
    <w:p>
      <w:pPr>
        <w:ind w:left="0" w:firstLine="0"/>
        <w:jc w:val="both"/>
        <w:rPr>
          <w:rFonts w:ascii="맑은 고딕" w:eastAsia="맑은 고딕" w:hAnsi="맑은 고딕" w:cs="맑은 고딕"/>
          <w:sz w:val="20"/>
          <w:szCs w:val="20"/>
        </w:rPr>
      </w:pPr>
      <w:r>
        <w:rPr>
          <w:rFonts w:ascii="맑은 고딕" w:eastAsia="맑은 고딕" w:hAnsi="맑은 고딕" w:cs="맑은 고딕"/>
          <w:rtl w:val="off"/>
        </w:rPr>
        <w:t xml:space="preserve"> 2021년 행정안전부 통계자료에 따르면, </w:t>
      </w:r>
      <w:r>
        <w:rPr>
          <w:rFonts w:ascii="맑은 고딕" w:eastAsia="맑은 고딕" w:hAnsi="맑은 고딕" w:cs="맑은 고딕"/>
          <w:sz w:val="20"/>
          <w:szCs w:val="20"/>
          <w:rtl w:val="off"/>
        </w:rPr>
        <w:t>2021년 9월말 기준 전국 1인가구는 936만 7,439가구로 전체 2,338만 3,689가구의 40.1%를 차지했다. 1인 가구 비중은 지난해 말 39.2%에서 올해 3월 말 39.5%, 6월 말 39.7%로 지속적으로 증가했다.</w:t>
      </w:r>
    </w:p>
    <w:p>
      <w:pPr>
        <w:ind w:left="0" w:firstLine="0"/>
        <w:jc w:val="both"/>
        <w:rPr>
          <w:rFonts w:ascii="맑은 고딕" w:eastAsia="맑은 고딕" w:hAnsi="맑은 고딕" w:cs="맑은 고딕"/>
          <w:color w:val="1C1C1C"/>
          <w:sz w:val="20"/>
          <w:szCs w:val="20"/>
        </w:rPr>
      </w:pPr>
      <w:r>
        <w:rPr>
          <w:rFonts w:ascii="맑은 고딕" w:eastAsia="맑은 고딕" w:hAnsi="맑은 고딕" w:cs="맑은 고딕"/>
          <w:sz w:val="20"/>
          <w:szCs w:val="20"/>
          <w:rtl w:val="off"/>
        </w:rPr>
        <w:t xml:space="preserve"> 연령대별 1인 가구 비중은 </w:t>
      </w:r>
      <w:r>
        <w:rPr>
          <w:rFonts w:ascii="맑은 고딕" w:eastAsia="맑은 고딕" w:hAnsi="맑은 고딕" w:cs="맑은 고딕"/>
          <w:sz w:val="20"/>
          <w:szCs w:val="20"/>
          <w:rtl w:val="off"/>
        </w:rPr>
        <w:t xml:space="preserve">70대 이상(18.6%)이 가장 많다. 이어 60대(17.7%), 50대(17.2%), 30대(16.5%), 20대(15.7%), 40대(13.9%), 10대 이하(0.4%) 순이다. </w:t>
      </w:r>
      <w:r>
        <w:rPr>
          <w:rFonts w:ascii="맑은 고딕" w:eastAsia="맑은 고딕" w:hAnsi="맑은 고딕" w:cs="맑은 고딕"/>
          <w:color w:val="1C1C1C"/>
          <w:sz w:val="20"/>
          <w:szCs w:val="20"/>
          <w:rtl w:val="off"/>
        </w:rPr>
        <w:t>정부는 저출산·고령화와 1인 가구 증가 추세에 대응하기 위한 정책 수립에 고심하고 있다. 고규창 행안부 차관은 “1인 가구의 증가 추세가 앞으로도 계속 이어질 것으로 보인다”며 “1인 가구의 라이프 스타일이 사회·경제·문화 등 전반에 걸쳐 영향을 미칠 것으로 예상되는 만큼 이에 맞는 정책 설계가 필요하다”고 말했다.</w:t>
      </w:r>
    </w:p>
    <w:p>
      <w:pPr>
        <w:ind w:left="0" w:firstLine="0"/>
        <w:jc w:val="both"/>
        <w:rPr>
          <w:rFonts w:ascii="맑은 고딕" w:eastAsia="맑은 고딕" w:hAnsi="맑은 고딕" w:cs="맑은 고딕"/>
          <w:color w:val="1C1C1C"/>
          <w:sz w:val="20"/>
          <w:szCs w:val="20"/>
        </w:rPr>
      </w:pPr>
    </w:p>
    <w:p>
      <w:pPr>
        <w:ind w:left="0" w:firstLine="0"/>
        <w:jc w:val="center"/>
        <w:rPr>
          <w:rFonts w:ascii="맑은 고딕" w:eastAsia="맑은 고딕" w:hAnsi="맑은 고딕" w:cs="맑은 고딕"/>
          <w:sz w:val="20"/>
          <w:szCs w:val="20"/>
        </w:rPr>
      </w:pPr>
      <w:r>
        <w:rPr>
          <w:rFonts w:ascii="맑은 고딕" w:eastAsia="맑은 고딕" w:hAnsi="맑은 고딕" w:cs="맑은 고딕"/>
          <w:sz w:val="20"/>
          <w:szCs w:val="20"/>
        </w:rPr>
        <w:drawing>
          <wp:inline distT="180" distB="180" distL="180" distR="180">
            <wp:extent cx="2637000" cy="2314575"/>
            <wp:effectExtent l="9525" t="9525" r="9525" b="9525"/>
            <wp:docPr id="1029" name="shape1029"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5">
                      <a:extLst>
                        <a:ext uri="{28A0092B-C50C-407E-A947-70E740481C1C}">
                          <a14:useLocalDpi xmlns:a14="http://schemas.microsoft.com/office/drawing/2010/main" val="0"/>
                        </a:ext>
                      </a:extLst>
                    </a:blip>
                    <a:srcRect/>
                    <a:stretch>
                      <a:fillRect/>
                    </a:stretch>
                  </pic:blipFill>
                  <pic:spPr>
                    <a:xfrm>
                      <a:off x="0" y="0"/>
                      <a:ext cx="2637000" cy="2314575"/>
                    </a:xfrm>
                    <a:prstGeom prst="rect"/>
                    <a:ln>
                      <a:solidFill>
                        <a:schemeClr val="lt1">
                          <a:alpha val="100000"/>
                        </a:schemeClr>
                      </a:solidFill>
                    </a:ln>
                  </pic:spPr>
                </pic:pic>
              </a:graphicData>
            </a:graphic>
          </wp:inline>
        </w:drawing>
      </w:r>
    </w:p>
    <w:p>
      <w:pPr>
        <w:ind w:firstLine="720"/>
        <w:jc w:val="both"/>
        <w:rPr>
          <w:rFonts w:ascii="맑은 고딕" w:eastAsia="맑은 고딕" w:hAnsi="맑은 고딕" w:cs="맑은 고딕"/>
          <w:b/>
        </w:rPr>
      </w:pPr>
      <w:r>
        <w:rPr>
          <w:rFonts w:ascii="맑은 고딕" w:eastAsia="맑은 고딕" w:hAnsi="맑은 고딕" w:cs="맑은 고딕"/>
          <w:b/>
          <w:rtl w:val="off"/>
        </w:rPr>
        <w:t>1.2 기획의도</w:t>
      </w:r>
    </w:p>
    <w:p>
      <w:pPr>
        <w:jc w:val="both"/>
        <w:rPr>
          <w:rFonts w:ascii="맑은 고딕" w:eastAsia="맑은 고딕" w:hAnsi="맑은 고딕" w:cs="맑은 고딕"/>
          <w:b/>
          <w:sz w:val="20"/>
          <w:szCs w:val="20"/>
        </w:rPr>
      </w:pPr>
      <w:r>
        <w:rPr>
          <w:rFonts w:ascii="맑은 고딕" w:eastAsia="맑은 고딕" w:hAnsi="맑은 고딕" w:cs="맑은 고딕"/>
          <w:b/>
          <w:sz w:val="24"/>
          <w:szCs w:val="24"/>
          <w:rtl w:val="off"/>
        </w:rPr>
        <w:tab/>
      </w:r>
      <w:r>
        <w:rPr>
          <w:rFonts w:ascii="맑은 고딕" w:eastAsia="맑은 고딕" w:hAnsi="맑은 고딕" w:cs="맑은 고딕"/>
          <w:b/>
          <w:sz w:val="24"/>
          <w:szCs w:val="24"/>
          <w:rtl w:val="off"/>
        </w:rPr>
        <w:t xml:space="preserve"> </w:t>
      </w:r>
      <w:r>
        <w:rPr>
          <w:rFonts w:ascii="맑은 고딕" w:eastAsia="맑은 고딕" w:hAnsi="맑은 고딕" w:cs="맑은 고딕"/>
          <w:b/>
          <w:sz w:val="20"/>
          <w:szCs w:val="20"/>
          <w:rtl w:val="off"/>
        </w:rPr>
        <w:t>1.2.1. 분석이유</w:t>
      </w:r>
    </w:p>
    <w:p>
      <w:pPr>
        <w:jc w:val="both"/>
        <w:rPr>
          <w:rFonts w:ascii="맑은 고딕" w:eastAsia="맑은 고딕" w:hAnsi="맑은 고딕" w:cs="맑은 고딕"/>
          <w:sz w:val="20"/>
          <w:szCs w:val="20"/>
        </w:rPr>
      </w:pPr>
      <w:r>
        <w:rPr>
          <w:rFonts w:ascii="맑은 고딕" w:eastAsia="맑은 고딕" w:hAnsi="맑은 고딕" w:cs="맑은 고딕"/>
          <w:sz w:val="20"/>
          <w:szCs w:val="20"/>
          <w:rtl w:val="off"/>
        </w:rPr>
        <w:t xml:space="preserve"> 온라인 쇼핑몰 상품관리 측면에서 코로나19 이후 1인가구의 변화된 소비패턴에 맞는 상품 판매가 필요하다.</w:t>
      </w:r>
    </w:p>
    <w:p>
      <w:pPr>
        <w:jc w:val="both"/>
        <w:rPr>
          <w:rFonts w:ascii="맑은 고딕" w:eastAsia="맑은 고딕" w:hAnsi="맑은 고딕" w:cs="맑은 고딕"/>
          <w:b/>
          <w:sz w:val="20"/>
          <w:szCs w:val="20"/>
        </w:rPr>
      </w:pPr>
      <w:r>
        <w:rPr>
          <w:rFonts w:ascii="맑은 고딕" w:eastAsia="맑은 고딕" w:hAnsi="맑은 고딕" w:cs="맑은 고딕"/>
          <w:b/>
          <w:sz w:val="24"/>
          <w:szCs w:val="24"/>
          <w:rtl w:val="off"/>
        </w:rPr>
        <w:tab/>
      </w:r>
      <w:r>
        <w:rPr>
          <w:rFonts w:ascii="맑은 고딕" w:eastAsia="맑은 고딕" w:hAnsi="맑은 고딕" w:cs="맑은 고딕"/>
          <w:b/>
          <w:rtl w:val="off"/>
        </w:rPr>
        <w:t xml:space="preserve"> </w:t>
      </w:r>
      <w:r>
        <w:rPr>
          <w:rFonts w:ascii="맑은 고딕" w:eastAsia="맑은 고딕" w:hAnsi="맑은 고딕" w:cs="맑은 고딕"/>
          <w:b/>
          <w:sz w:val="20"/>
          <w:szCs w:val="20"/>
          <w:rtl w:val="off"/>
        </w:rPr>
        <w:t>1.2.2. 분석순서</w:t>
      </w:r>
    </w:p>
    <w:p>
      <w:pPr>
        <w:ind w:left="0" w:firstLine="0"/>
        <w:jc w:val="both"/>
        <w:rPr>
          <w:rFonts w:ascii="맑은 고딕" w:eastAsia="맑은 고딕" w:hAnsi="맑은 고딕" w:cs="맑은 고딕"/>
          <w:sz w:val="20"/>
          <w:szCs w:val="20"/>
        </w:rPr>
      </w:pPr>
      <w:r>
        <w:rPr>
          <w:rFonts w:ascii="맑은 고딕" w:eastAsia="맑은 고딕" w:hAnsi="맑은 고딕" w:cs="맑은 고딕"/>
          <w:sz w:val="20"/>
          <w:szCs w:val="20"/>
          <w:rtl w:val="off"/>
        </w:rPr>
        <w:t xml:space="preserve"> 코로나19 전후의 1인가구 온라인 식품 소비패턴을 파악한다. 이후 코로나19 전후의 소득별 구매장소 비율, 가공식품 구입변화, 온라인 구입비중 증가 분석을 수행한다. 최종적으로 코로나19 전후의 1인가구 온라인 가공식품 지출액 비교분석을 통해 지출액이 증가한 품목을 선별한다.</w:t>
      </w:r>
    </w:p>
    <w:p>
      <w:pPr>
        <w:jc w:val="both"/>
        <w:rPr>
          <w:rFonts w:ascii="맑은 고딕" w:eastAsia="맑은 고딕" w:hAnsi="맑은 고딕" w:cs="맑은 고딕"/>
          <w:b/>
          <w:sz w:val="24"/>
          <w:szCs w:val="24"/>
        </w:rPr>
      </w:pPr>
    </w:p>
    <w:p>
      <w:pPr>
        <w:jc w:val="both"/>
        <w:rPr>
          <w:rFonts w:ascii="맑은 고딕" w:eastAsia="맑은 고딕" w:hAnsi="맑은 고딕" w:cs="맑은 고딕"/>
          <w:b/>
          <w:sz w:val="20"/>
          <w:szCs w:val="20"/>
        </w:rPr>
      </w:pPr>
      <w:r>
        <w:rPr>
          <w:rFonts w:ascii="맑은 고딕" w:eastAsia="맑은 고딕" w:hAnsi="맑은 고딕" w:cs="맑은 고딕"/>
          <w:b/>
          <w:sz w:val="24"/>
          <w:szCs w:val="24"/>
          <w:rtl w:val="off"/>
        </w:rPr>
        <w:t xml:space="preserve">  </w:t>
      </w:r>
      <w:r>
        <w:rPr>
          <w:rFonts w:ascii="맑은 고딕" w:eastAsia="맑은 고딕" w:hAnsi="맑은 고딕" w:cs="맑은 고딕"/>
          <w:b/>
          <w:sz w:val="24"/>
          <w:szCs w:val="24"/>
          <w:rtl w:val="off"/>
        </w:rPr>
        <w:tab/>
      </w:r>
      <w:r>
        <w:rPr>
          <w:rFonts w:ascii="맑은 고딕" w:eastAsia="맑은 고딕" w:hAnsi="맑은 고딕" w:cs="맑은 고딕"/>
          <w:b/>
          <w:sz w:val="20"/>
          <w:szCs w:val="20"/>
          <w:rtl w:val="off"/>
        </w:rPr>
        <w:t>1.2.3. 가공식품의 정의</w:t>
      </w:r>
    </w:p>
    <w:p>
      <w:pPr>
        <w:widowControl w:val="off"/>
        <w:jc w:val="both"/>
        <w:spacing w:after="240" w:lineRule="auto"/>
        <w:rPr>
          <w:rFonts w:ascii="맑은 고딕" w:eastAsia="맑은 고딕" w:hAnsi="맑은 고딕" w:cs="맑은 고딕"/>
          <w:sz w:val="2"/>
          <w:szCs w:val="2"/>
        </w:rPr>
      </w:pPr>
      <w:r>
        <w:rPr>
          <w:rFonts w:ascii="맑은 고딕" w:eastAsia="맑은 고딕" w:hAnsi="맑은 고딕" w:cs="맑은 고딕"/>
          <w:color w:val="212121"/>
          <w:sz w:val="20"/>
          <w:szCs w:val="20"/>
          <w:rtl w:val="off"/>
        </w:rPr>
        <w:t xml:space="preserve"> 가공식품이란 식품원료(농, 임, 축, 수산물 등)에 식품 또는 식품첨가물을 가하거나 그 원형을 변형시키고 식품첨가물을 사용하여 제조/가공.포장한 식품을 의미한다.</w:t>
      </w:r>
    </w:p>
    <w:p>
      <w:pPr>
        <w:jc w:val="both"/>
        <w:rPr>
          <w:rFonts w:ascii="맑은 고딕" w:eastAsia="맑은 고딕" w:hAnsi="맑은 고딕" w:cs="맑은 고딕"/>
          <w:b/>
          <w:sz w:val="20"/>
          <w:szCs w:val="20"/>
        </w:rPr>
      </w:pPr>
      <w:r>
        <w:rPr>
          <w:rFonts w:ascii="맑은 고딕" w:eastAsia="맑은 고딕" w:hAnsi="맑은 고딕" w:cs="맑은 고딕"/>
          <w:b/>
          <w:sz w:val="24"/>
          <w:szCs w:val="24"/>
          <w:rtl w:val="off"/>
        </w:rPr>
        <w:tab/>
      </w:r>
      <w:r>
        <w:rPr>
          <w:rFonts w:ascii="맑은 고딕" w:eastAsia="맑은 고딕" w:hAnsi="맑은 고딕" w:cs="맑은 고딕"/>
          <w:b/>
          <w:sz w:val="20"/>
          <w:szCs w:val="20"/>
          <w:rtl w:val="off"/>
        </w:rPr>
        <w:t>1.2.4. 분석범위</w:t>
      </w:r>
    </w:p>
    <w:p>
      <w:pPr>
        <w:jc w:val="both"/>
        <w:rPr>
          <w:rFonts w:ascii="맑은 고딕" w:eastAsia="맑은 고딕" w:hAnsi="맑은 고딕" w:cs="맑은 고딕"/>
          <w:color w:val="212121"/>
          <w:sz w:val="20"/>
          <w:szCs w:val="20"/>
        </w:rPr>
      </w:pPr>
      <w:r>
        <w:rPr>
          <w:rFonts w:ascii="맑은 고딕" w:eastAsia="맑은 고딕" w:hAnsi="맑은 고딕" w:cs="맑은 고딕"/>
          <w:sz w:val="20"/>
          <w:szCs w:val="20"/>
          <w:rtl w:val="off"/>
        </w:rPr>
        <w:t xml:space="preserve"> </w:t>
      </w:r>
      <w:r>
        <w:rPr>
          <w:rFonts w:ascii="맑은 고딕" w:eastAsia="맑은 고딕" w:hAnsi="맑은 고딕" w:cs="맑은 고딕"/>
          <w:color w:val="212121"/>
          <w:sz w:val="20"/>
          <w:szCs w:val="20"/>
          <w:rtl w:val="off"/>
        </w:rPr>
        <w:t>25가지 가공식품 세부항목 중 코로나 이후 지출액 증가비율의 평균 이상인 항목(1인가구, 소득범위별) : 총 9개품목 (육류가공품, 조미수산가공품, 유가공품, 빵/떡, 간편식, 면류, 전분/분말류, 다류, 주류 등)</w:t>
      </w:r>
    </w:p>
    <w:p>
      <w:pPr>
        <w:jc w:val="both"/>
        <w:rPr>
          <w:rFonts w:ascii="맑은 고딕" w:eastAsia="맑은 고딕" w:hAnsi="맑은 고딕" w:cs="맑은 고딕"/>
          <w:color w:val="212121"/>
          <w:sz w:val="20"/>
          <w:szCs w:val="20"/>
        </w:rPr>
      </w:pPr>
    </w:p>
    <w:p>
      <w:pPr>
        <w:ind w:leftChars="0" w:left="720" w:hanging="360"/>
        <w:jc w:val="both"/>
        <w:rPr>
          <w:rFonts w:ascii="맑은 고딕" w:eastAsia="맑은 고딕" w:hAnsi="맑은 고딕" w:cs="맑은 고딕"/>
          <w:b/>
          <w:sz w:val="24"/>
          <w:szCs w:val="24"/>
        </w:rPr>
      </w:pPr>
      <w:r>
        <w:rPr>
          <w:lang w:eastAsia="ko-KR"/>
          <w:rFonts w:ascii="맑은 고딕" w:eastAsia="맑은 고딕" w:hAnsi="맑은 고딕" w:cs="맑은 고딕"/>
          <w:b/>
          <w:sz w:val="24"/>
          <w:szCs w:val="24"/>
          <w:rtl w:val="off"/>
        </w:rPr>
        <w:t xml:space="preserve">2. </w:t>
      </w:r>
      <w:r>
        <w:rPr>
          <w:rFonts w:ascii="맑은 고딕" w:eastAsia="맑은 고딕" w:hAnsi="맑은 고딕" w:cs="맑은 고딕"/>
          <w:b/>
          <w:sz w:val="24"/>
          <w:szCs w:val="24"/>
          <w:rtl w:val="off"/>
        </w:rPr>
        <w:t>분석 목표</w:t>
      </w:r>
    </w:p>
    <w:p>
      <w:pPr>
        <w:jc w:val="both"/>
        <w:rPr>
          <w:rFonts w:ascii="맑은 고딕" w:eastAsia="맑은 고딕" w:hAnsi="맑은 고딕" w:cs="맑은 고딕"/>
          <w:sz w:val="20"/>
          <w:szCs w:val="20"/>
        </w:rPr>
      </w:pPr>
      <w:r>
        <w:rPr>
          <w:rFonts w:ascii="맑은 고딕" w:eastAsia="맑은 고딕" w:hAnsi="맑은 고딕" w:cs="맑은 고딕"/>
          <w:sz w:val="20"/>
          <w:szCs w:val="20"/>
          <w:rtl w:val="off"/>
        </w:rPr>
        <w:t xml:space="preserve"> 코로나 전후의 온라인 쇼핑몰 상품군 거래액 데이터의 비교분석을 통해 매출증가 품목을 확인한다. 이를 통해 1인가구를 위한 가공식품을 추천한다.</w:t>
      </w:r>
    </w:p>
    <w:p>
      <w:pPr>
        <w:ind w:left="440"/>
        <w:jc w:val="both"/>
        <w:rPr>
          <w:rFonts w:ascii="맑은 고딕" w:eastAsia="맑은 고딕" w:hAnsi="맑은 고딕" w:cs="맑은 고딕"/>
          <w:b/>
          <w:sz w:val="24"/>
          <w:szCs w:val="24"/>
        </w:rPr>
      </w:pPr>
      <w:r>
        <w:rPr>
          <w:lang w:eastAsia="ko-KR"/>
          <w:rFonts w:ascii="맑은 고딕" w:eastAsia="맑은 고딕" w:hAnsi="맑은 고딕" w:cs="맑은 고딕"/>
          <w:b/>
          <w:sz w:val="24"/>
          <w:szCs w:val="24"/>
          <w:rtl w:val="off"/>
        </w:rPr>
        <w:t xml:space="preserve">3. </w:t>
      </w:r>
      <w:r>
        <w:rPr>
          <w:rFonts w:ascii="맑은 고딕" w:eastAsia="맑은 고딕" w:hAnsi="맑은 고딕" w:cs="맑은 고딕"/>
          <w:b/>
          <w:sz w:val="24"/>
          <w:szCs w:val="24"/>
          <w:rtl w:val="off"/>
        </w:rPr>
        <w:t>분석 데이터</w:t>
      </w:r>
    </w:p>
    <w:p>
      <w:pPr>
        <w:jc w:val="both"/>
        <w:rPr>
          <w:rFonts w:ascii="맑은 고딕" w:eastAsia="맑은 고딕" w:hAnsi="맑은 고딕" w:cs="맑은 고딕"/>
          <w:b/>
        </w:rPr>
      </w:pPr>
      <w:r>
        <w:rPr>
          <w:rFonts w:ascii="맑은 고딕" w:eastAsia="맑은 고딕" w:hAnsi="맑은 고딕" w:cs="맑은 고딕"/>
          <w:b/>
          <w:sz w:val="24"/>
          <w:szCs w:val="24"/>
          <w:rtl w:val="off"/>
        </w:rPr>
        <w:tab/>
      </w:r>
      <w:r>
        <w:rPr>
          <w:rFonts w:ascii="맑은 고딕" w:eastAsia="맑은 고딕" w:hAnsi="맑은 고딕" w:cs="맑은 고딕"/>
          <w:b/>
          <w:rtl w:val="off"/>
        </w:rPr>
        <w:t>3.1. 데이터 수집</w:t>
      </w:r>
    </w:p>
    <w:tbl>
      <w:tblPr>
        <w:tblStyle w:val="Table1"/>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jc w:val="left"/>
        <w:tblLayout w:type="fixed"/>
      </w:tblPr>
      <w:tblGrid>
        <w:gridCol w:w="5940"/>
        <w:gridCol w:w="1650"/>
        <w:gridCol w:w="1425"/>
      </w:tblGrid>
      <w:tr>
        <w:trPr>
          <w:cantSplit/>
          <w:trHeight w:val="120" w:hRule="atLeast"/>
        </w:trPr>
        <w:tc>
          <w:tcPr>
            <w:shd w:val="clear" w:color="auto" w:fill="auto"/>
            <w:tcMar>
              <w:top w:w="100" w:type="dxa"/>
              <w:left w:w="100" w:type="dxa"/>
              <w:bottom w:w="100" w:type="dxa"/>
              <w:right w:w="100" w:type="dxa"/>
            </w:tcMar>
            <w:vAlign w:val="top"/>
          </w:tcPr>
          <w:p>
            <w:pPr>
              <w:ind w:left="0" w:right="0" w:firstLine="0"/>
              <w:keepNext w:val="off"/>
              <w:keepLines w:val="off"/>
              <w:pageBreakBefore w:val="off"/>
              <w:widowControl w:val="off"/>
              <w:jc w:val="center"/>
              <w:pBdr>
                <w:between w:val="nil"/>
                <w:top w:val="nil"/>
                <w:left w:val="nil"/>
                <w:bottom w:val="nil"/>
                <w:right w:val="nil"/>
              </w:pBdr>
              <w:shd w:val="clear" w:color="auto" w:fill="auto"/>
              <w:spacing w:after="0" w:before="0" w:line="240" w:lineRule="auto"/>
              <w:rPr>
                <w:rFonts w:ascii="맑은 고딕" w:eastAsia="맑은 고딕" w:hAnsi="맑은 고딕" w:cs="맑은 고딕"/>
                <w:b/>
                <w:sz w:val="20"/>
                <w:szCs w:val="20"/>
              </w:rPr>
            </w:pPr>
            <w:r>
              <w:rPr>
                <w:rFonts w:ascii="맑은 고딕" w:eastAsia="맑은 고딕" w:hAnsi="맑은 고딕" w:cs="맑은 고딕"/>
                <w:b/>
                <w:sz w:val="20"/>
                <w:szCs w:val="20"/>
                <w:rtl w:val="off"/>
              </w:rPr>
              <w:t>데이터 이름</w:t>
            </w:r>
          </w:p>
        </w:tc>
        <w:tc>
          <w:tcPr>
            <w:shd w:val="clear" w:color="auto" w:fill="auto"/>
            <w:tcMar>
              <w:top w:w="100" w:type="dxa"/>
              <w:left w:w="100" w:type="dxa"/>
              <w:bottom w:w="100" w:type="dxa"/>
              <w:right w:w="100" w:type="dxa"/>
            </w:tcMar>
            <w:vAlign w:val="top"/>
          </w:tcPr>
          <w:p>
            <w:pPr>
              <w:ind w:left="0" w:right="0" w:firstLine="0"/>
              <w:keepNext w:val="off"/>
              <w:keepLines w:val="off"/>
              <w:pageBreakBefore w:val="off"/>
              <w:widowControl w:val="off"/>
              <w:jc w:val="center"/>
              <w:pBdr>
                <w:between w:val="nil"/>
                <w:top w:val="nil"/>
                <w:left w:val="nil"/>
                <w:bottom w:val="nil"/>
                <w:right w:val="nil"/>
              </w:pBdr>
              <w:shd w:val="clear" w:color="auto" w:fill="auto"/>
              <w:spacing w:after="0" w:before="0" w:line="240" w:lineRule="auto"/>
              <w:rPr>
                <w:rFonts w:ascii="맑은 고딕" w:eastAsia="맑은 고딕" w:hAnsi="맑은 고딕" w:cs="맑은 고딕"/>
                <w:b/>
                <w:sz w:val="20"/>
                <w:szCs w:val="20"/>
              </w:rPr>
            </w:pPr>
            <w:r>
              <w:rPr>
                <w:rFonts w:ascii="맑은 고딕" w:eastAsia="맑은 고딕" w:hAnsi="맑은 고딕" w:cs="맑은 고딕"/>
                <w:b/>
                <w:sz w:val="20"/>
                <w:szCs w:val="20"/>
                <w:rtl w:val="off"/>
              </w:rPr>
              <w:t>출처</w:t>
            </w:r>
          </w:p>
        </w:tc>
        <w:tc>
          <w:tcPr>
            <w:shd w:val="clear" w:color="auto" w:fill="auto"/>
            <w:tcMar>
              <w:top w:w="100" w:type="dxa"/>
              <w:left w:w="100" w:type="dxa"/>
              <w:bottom w:w="100" w:type="dxa"/>
              <w:right w:w="100" w:type="dxa"/>
            </w:tcMar>
            <w:vAlign w:val="top"/>
          </w:tcPr>
          <w:p>
            <w:pPr>
              <w:ind w:left="0" w:right="0" w:firstLine="0"/>
              <w:keepNext w:val="off"/>
              <w:keepLines w:val="off"/>
              <w:pageBreakBefore w:val="off"/>
              <w:widowControl w:val="off"/>
              <w:jc w:val="center"/>
              <w:pBdr>
                <w:between w:val="nil"/>
                <w:top w:val="nil"/>
                <w:left w:val="nil"/>
                <w:bottom w:val="nil"/>
                <w:right w:val="nil"/>
              </w:pBdr>
              <w:shd w:val="clear" w:color="auto" w:fill="auto"/>
              <w:spacing w:after="0" w:before="0" w:line="240" w:lineRule="auto"/>
              <w:rPr>
                <w:rFonts w:ascii="맑은 고딕" w:eastAsia="맑은 고딕" w:hAnsi="맑은 고딕" w:cs="맑은 고딕"/>
                <w:b/>
                <w:sz w:val="20"/>
                <w:szCs w:val="20"/>
              </w:rPr>
            </w:pPr>
            <w:r>
              <w:rPr>
                <w:rFonts w:ascii="맑은 고딕" w:eastAsia="맑은 고딕" w:hAnsi="맑은 고딕" w:cs="맑은 고딕"/>
                <w:b/>
                <w:sz w:val="20"/>
                <w:szCs w:val="20"/>
                <w:rtl w:val="off"/>
              </w:rPr>
              <w:t>수집 기간</w:t>
            </w:r>
          </w:p>
        </w:tc>
      </w:tr>
      <w:tr>
        <w:trPr>
          <w:cantSplit/>
        </w:trPr>
        <w:tc>
          <w:tcPr>
            <w:shd w:val="clear" w:color="auto" w:fill="auto"/>
            <w:tcMar>
              <w:top w:w="100" w:type="dxa"/>
              <w:left w:w="100" w:type="dxa"/>
              <w:bottom w:w="100" w:type="dxa"/>
              <w:right w:w="100" w:type="dxa"/>
            </w:tcMar>
            <w:vAlign w:val="top"/>
          </w:tcPr>
          <w:p>
            <w:pPr>
              <w:ind w:left="0" w:right="0" w:firstLine="0"/>
              <w:keepNext w:val="off"/>
              <w:keepLines w:val="off"/>
              <w:pageBreakBefore w:val="off"/>
              <w:widowControl w:val="off"/>
              <w:jc w:val="center"/>
              <w:pBdr>
                <w:between w:val="nil"/>
                <w:top w:val="nil"/>
                <w:left w:val="nil"/>
                <w:bottom w:val="nil"/>
                <w:right w:val="nil"/>
              </w:pBdr>
              <w:shd w:val="clear" w:color="auto" w:fill="auto"/>
              <w:spacing w:after="0" w:before="0" w:line="240" w:lineRule="auto"/>
              <w:rPr>
                <w:rFonts w:ascii="맑은 고딕" w:eastAsia="맑은 고딕" w:hAnsi="맑은 고딕" w:cs="맑은 고딕"/>
                <w:b/>
                <w:sz w:val="20"/>
                <w:szCs w:val="20"/>
              </w:rPr>
            </w:pPr>
            <w:r>
              <w:rPr>
                <w:rFonts w:ascii="맑은 고딕" w:eastAsia="맑은 고딕" w:hAnsi="맑은 고딕" w:cs="맑은 고딕"/>
                <w:b/>
                <w:sz w:val="20"/>
                <w:szCs w:val="20"/>
                <w:rtl w:val="off"/>
              </w:rPr>
              <w:t>코로나 확진자수</w:t>
            </w:r>
          </w:p>
        </w:tc>
        <w:tc>
          <w:tcPr>
            <w:shd w:val="clear" w:color="auto" w:fill="auto"/>
            <w:tcMar>
              <w:top w:w="100" w:type="dxa"/>
              <w:left w:w="100" w:type="dxa"/>
              <w:bottom w:w="100" w:type="dxa"/>
              <w:right w:w="100" w:type="dxa"/>
            </w:tcMar>
            <w:vAlign w:val="top"/>
          </w:tcPr>
          <w:p>
            <w:pPr>
              <w:ind w:left="0" w:right="0" w:firstLine="0"/>
              <w:keepNext w:val="off"/>
              <w:keepLines w:val="off"/>
              <w:pageBreakBefore w:val="off"/>
              <w:widowControl w:val="off"/>
              <w:jc w:val="center"/>
              <w:pBdr>
                <w:between w:val="nil"/>
                <w:top w:val="nil"/>
                <w:left w:val="nil"/>
                <w:bottom w:val="nil"/>
                <w:right w:val="nil"/>
              </w:pBdr>
              <w:shd w:val="clear" w:color="auto" w:fill="auto"/>
              <w:spacing w:after="0" w:before="0" w:line="240" w:lineRule="auto"/>
              <w:rPr>
                <w:rFonts w:ascii="맑은 고딕" w:eastAsia="맑은 고딕" w:hAnsi="맑은 고딕" w:cs="맑은 고딕"/>
                <w:b/>
                <w:sz w:val="20"/>
                <w:szCs w:val="20"/>
              </w:rPr>
            </w:pPr>
            <w:r>
              <w:rPr>
                <w:rFonts w:ascii="맑은 고딕" w:eastAsia="맑은 고딕" w:hAnsi="맑은 고딕" w:cs="맑은 고딕"/>
                <w:b/>
                <w:sz w:val="20"/>
                <w:szCs w:val="20"/>
                <w:rtl w:val="off"/>
              </w:rPr>
              <w:t>공공데이터포털</w:t>
            </w:r>
          </w:p>
        </w:tc>
        <w:tc>
          <w:tcPr>
            <w:shd w:val="clear" w:color="auto" w:fill="auto"/>
            <w:tcMar>
              <w:top w:w="100" w:type="dxa"/>
              <w:left w:w="100" w:type="dxa"/>
              <w:bottom w:w="100" w:type="dxa"/>
              <w:right w:w="100" w:type="dxa"/>
            </w:tcMar>
            <w:vAlign w:val="top"/>
          </w:tcPr>
          <w:p>
            <w:pPr>
              <w:ind w:left="0" w:right="0" w:firstLine="0"/>
              <w:keepNext w:val="off"/>
              <w:keepLines w:val="off"/>
              <w:pageBreakBefore w:val="off"/>
              <w:widowControl w:val="off"/>
              <w:jc w:val="center"/>
              <w:pBdr>
                <w:between w:val="nil"/>
                <w:top w:val="nil"/>
                <w:left w:val="nil"/>
                <w:bottom w:val="nil"/>
                <w:right w:val="nil"/>
              </w:pBdr>
              <w:shd w:val="clear" w:color="auto" w:fill="auto"/>
              <w:spacing w:after="0" w:before="0" w:line="240" w:lineRule="auto"/>
              <w:rPr>
                <w:rFonts w:ascii="맑은 고딕" w:eastAsia="맑은 고딕" w:hAnsi="맑은 고딕" w:cs="맑은 고딕"/>
                <w:b/>
                <w:sz w:val="20"/>
                <w:szCs w:val="20"/>
              </w:rPr>
            </w:pPr>
            <w:r>
              <w:rPr>
                <w:rFonts w:ascii="맑은 고딕" w:eastAsia="맑은 고딕" w:hAnsi="맑은 고딕" w:cs="맑은 고딕"/>
                <w:b/>
                <w:sz w:val="20"/>
                <w:szCs w:val="20"/>
                <w:rtl w:val="off"/>
              </w:rPr>
              <w:t>(2020-2021)</w:t>
            </w:r>
          </w:p>
        </w:tc>
      </w:tr>
      <w:tr>
        <w:trPr>
          <w:cantSplit/>
        </w:trPr>
        <w:tc>
          <w:tcPr>
            <w:shd w:val="clear" w:color="auto" w:fill="auto"/>
            <w:tcMar>
              <w:top w:w="100" w:type="dxa"/>
              <w:left w:w="100" w:type="dxa"/>
              <w:bottom w:w="100" w:type="dxa"/>
              <w:right w:w="100" w:type="dxa"/>
            </w:tcMar>
            <w:vAlign w:val="top"/>
          </w:tcPr>
          <w:p>
            <w:pPr>
              <w:ind w:left="0" w:right="0" w:firstLine="0"/>
              <w:keepNext w:val="off"/>
              <w:keepLines w:val="off"/>
              <w:pageBreakBefore w:val="off"/>
              <w:widowControl w:val="off"/>
              <w:jc w:val="center"/>
              <w:pBdr>
                <w:between w:val="nil"/>
                <w:top w:val="nil"/>
                <w:left w:val="nil"/>
                <w:bottom w:val="nil"/>
                <w:right w:val="nil"/>
              </w:pBdr>
              <w:shd w:val="clear" w:color="auto" w:fill="auto"/>
              <w:spacing w:after="0" w:before="0" w:line="240" w:lineRule="auto"/>
              <w:rPr>
                <w:rFonts w:ascii="맑은 고딕" w:eastAsia="맑은 고딕" w:hAnsi="맑은 고딕" w:cs="맑은 고딕"/>
                <w:b/>
                <w:sz w:val="20"/>
                <w:szCs w:val="20"/>
              </w:rPr>
            </w:pPr>
            <w:r>
              <w:rPr>
                <w:rFonts w:ascii="맑은 고딕" w:eastAsia="맑은 고딕" w:hAnsi="맑은 고딕" w:cs="맑은 고딕"/>
                <w:b/>
                <w:sz w:val="20"/>
                <w:szCs w:val="20"/>
                <w:rtl w:val="off"/>
              </w:rPr>
              <w:t>온라인쇼핑몰 취급상품범위별/상품군별거래액</w:t>
            </w:r>
          </w:p>
        </w:tc>
        <w:tc>
          <w:tcPr>
            <w:shd w:val="clear" w:color="auto" w:fill="auto"/>
            <w:tcMar>
              <w:top w:w="100" w:type="dxa"/>
              <w:left w:w="100" w:type="dxa"/>
              <w:bottom w:w="100" w:type="dxa"/>
              <w:right w:w="100" w:type="dxa"/>
            </w:tcMar>
            <w:vAlign w:val="top"/>
          </w:tcPr>
          <w:p>
            <w:pPr>
              <w:ind w:left="0" w:right="0" w:firstLine="0"/>
              <w:keepNext w:val="off"/>
              <w:keepLines w:val="off"/>
              <w:pageBreakBefore w:val="off"/>
              <w:widowControl w:val="off"/>
              <w:jc w:val="center"/>
              <w:pBdr>
                <w:between w:val="nil"/>
                <w:top w:val="nil"/>
                <w:left w:val="nil"/>
                <w:bottom w:val="nil"/>
                <w:right w:val="nil"/>
              </w:pBdr>
              <w:shd w:val="clear" w:color="auto" w:fill="auto"/>
              <w:spacing w:after="0" w:before="0" w:line="240" w:lineRule="auto"/>
              <w:rPr>
                <w:rFonts w:ascii="맑은 고딕" w:eastAsia="맑은 고딕" w:hAnsi="맑은 고딕" w:cs="맑은 고딕"/>
                <w:b/>
                <w:sz w:val="20"/>
                <w:szCs w:val="20"/>
              </w:rPr>
            </w:pPr>
            <w:r>
              <w:rPr>
                <w:rFonts w:ascii="맑은 고딕" w:eastAsia="맑은 고딕" w:hAnsi="맑은 고딕" w:cs="맑은 고딕"/>
                <w:b/>
                <w:sz w:val="20"/>
                <w:szCs w:val="20"/>
                <w:rtl w:val="off"/>
              </w:rPr>
              <w:t>KOSIS</w:t>
            </w:r>
          </w:p>
        </w:tc>
        <w:tc>
          <w:tcPr>
            <w:shd w:val="clear" w:color="auto" w:fill="auto"/>
            <w:tcMar>
              <w:top w:w="100" w:type="dxa"/>
              <w:left w:w="100" w:type="dxa"/>
              <w:bottom w:w="100" w:type="dxa"/>
              <w:right w:w="100" w:type="dxa"/>
            </w:tcMar>
            <w:vAlign w:val="top"/>
          </w:tcPr>
          <w:p>
            <w:pPr>
              <w:ind w:left="0" w:right="0" w:firstLine="0"/>
              <w:keepNext w:val="off"/>
              <w:keepLines w:val="off"/>
              <w:pageBreakBefore w:val="off"/>
              <w:widowControl w:val="off"/>
              <w:jc w:val="center"/>
              <w:pBdr>
                <w:between w:val="nil"/>
                <w:top w:val="nil"/>
                <w:left w:val="nil"/>
                <w:bottom w:val="nil"/>
                <w:right w:val="nil"/>
              </w:pBdr>
              <w:shd w:val="clear" w:color="auto" w:fill="auto"/>
              <w:spacing w:after="0" w:before="0" w:line="240" w:lineRule="auto"/>
              <w:rPr>
                <w:rFonts w:ascii="맑은 고딕" w:eastAsia="맑은 고딕" w:hAnsi="맑은 고딕" w:cs="맑은 고딕"/>
                <w:b/>
                <w:sz w:val="20"/>
                <w:szCs w:val="20"/>
              </w:rPr>
            </w:pPr>
            <w:r>
              <w:rPr>
                <w:rFonts w:ascii="맑은 고딕" w:eastAsia="맑은 고딕" w:hAnsi="맑은 고딕" w:cs="맑은 고딕"/>
                <w:b/>
                <w:sz w:val="20"/>
                <w:szCs w:val="20"/>
                <w:rtl w:val="off"/>
              </w:rPr>
              <w:t>(2019-2021)</w:t>
            </w:r>
          </w:p>
        </w:tc>
      </w:tr>
      <w:tr>
        <w:trPr>
          <w:cantSplit/>
        </w:trPr>
        <w:tc>
          <w:tcPr>
            <w:shd w:val="clear" w:color="auto" w:fill="auto"/>
            <w:tcMar>
              <w:top w:w="100" w:type="dxa"/>
              <w:left w:w="100" w:type="dxa"/>
              <w:bottom w:w="100" w:type="dxa"/>
              <w:right w:w="100" w:type="dxa"/>
            </w:tcMar>
            <w:vAlign w:val="top"/>
          </w:tcPr>
          <w:p>
            <w:pPr>
              <w:ind w:left="0" w:right="0" w:firstLine="0"/>
              <w:keepNext w:val="off"/>
              <w:keepLines w:val="off"/>
              <w:pageBreakBefore w:val="off"/>
              <w:widowControl w:val="off"/>
              <w:jc w:val="center"/>
              <w:pBdr>
                <w:between w:val="nil"/>
                <w:top w:val="nil"/>
                <w:left w:val="nil"/>
                <w:bottom w:val="nil"/>
                <w:right w:val="nil"/>
              </w:pBdr>
              <w:shd w:val="clear" w:color="auto" w:fill="auto"/>
              <w:spacing w:after="0" w:before="0" w:line="240" w:lineRule="auto"/>
              <w:rPr>
                <w:rFonts w:ascii="맑은 고딕" w:eastAsia="맑은 고딕" w:hAnsi="맑은 고딕" w:cs="맑은 고딕"/>
                <w:b/>
                <w:sz w:val="20"/>
                <w:szCs w:val="20"/>
              </w:rPr>
            </w:pPr>
            <w:r>
              <w:rPr>
                <w:rFonts w:ascii="맑은 고딕" w:eastAsia="맑은 고딕" w:hAnsi="맑은 고딕" w:cs="맑은 고딕"/>
                <w:b/>
                <w:sz w:val="20"/>
                <w:szCs w:val="20"/>
                <w:rtl w:val="off"/>
              </w:rPr>
              <w:t>인터넷 쇼핑 성_연령별 이용비율</w:t>
            </w:r>
          </w:p>
        </w:tc>
        <w:tc>
          <w:tcPr>
            <w:shd w:val="clear" w:color="auto" w:fill="auto"/>
            <w:tcMar>
              <w:top w:w="100" w:type="dxa"/>
              <w:left w:w="100" w:type="dxa"/>
              <w:bottom w:w="100" w:type="dxa"/>
              <w:right w:w="100" w:type="dxa"/>
            </w:tcMar>
            <w:vAlign w:val="top"/>
          </w:tcPr>
          <w:p>
            <w:pPr>
              <w:ind w:left="0" w:right="0" w:firstLine="0"/>
              <w:keepNext w:val="off"/>
              <w:keepLines w:val="off"/>
              <w:pageBreakBefore w:val="off"/>
              <w:widowControl w:val="off"/>
              <w:jc w:val="center"/>
              <w:pBdr>
                <w:between w:val="nil"/>
                <w:top w:val="nil"/>
                <w:left w:val="nil"/>
                <w:bottom w:val="nil"/>
                <w:right w:val="nil"/>
              </w:pBdr>
              <w:shd w:val="clear" w:color="auto" w:fill="auto"/>
              <w:spacing w:after="0" w:before="0" w:line="240" w:lineRule="auto"/>
              <w:rPr>
                <w:rFonts w:ascii="맑은 고딕" w:eastAsia="맑은 고딕" w:hAnsi="맑은 고딕" w:cs="맑은 고딕"/>
                <w:b/>
                <w:sz w:val="20"/>
                <w:szCs w:val="20"/>
              </w:rPr>
            </w:pPr>
            <w:r>
              <w:rPr>
                <w:rFonts w:ascii="맑은 고딕" w:eastAsia="맑은 고딕" w:hAnsi="맑은 고딕" w:cs="맑은 고딕"/>
                <w:b/>
                <w:sz w:val="20"/>
                <w:szCs w:val="20"/>
                <w:rtl w:val="off"/>
              </w:rPr>
              <w:t>KOSIS</w:t>
            </w:r>
          </w:p>
        </w:tc>
        <w:tc>
          <w:tcPr>
            <w:shd w:val="clear" w:color="auto" w:fill="auto"/>
            <w:tcMar>
              <w:top w:w="100" w:type="dxa"/>
              <w:left w:w="100" w:type="dxa"/>
              <w:bottom w:w="100" w:type="dxa"/>
              <w:right w:w="100" w:type="dxa"/>
            </w:tcMar>
            <w:vAlign w:val="top"/>
          </w:tcPr>
          <w:p>
            <w:pPr>
              <w:widowControl w:val="off"/>
              <w:jc w:val="center"/>
              <w:rPr>
                <w:rFonts w:ascii="맑은 고딕" w:eastAsia="맑은 고딕" w:hAnsi="맑은 고딕" w:cs="맑은 고딕"/>
                <w:b/>
                <w:sz w:val="20"/>
                <w:szCs w:val="20"/>
              </w:rPr>
            </w:pPr>
            <w:r>
              <w:rPr>
                <w:rFonts w:ascii="맑은 고딕" w:eastAsia="맑은 고딕" w:hAnsi="맑은 고딕" w:cs="맑은 고딕"/>
                <w:b/>
                <w:sz w:val="20"/>
                <w:szCs w:val="20"/>
                <w:rtl w:val="off"/>
              </w:rPr>
              <w:t>(2019-2020)</w:t>
            </w:r>
          </w:p>
        </w:tc>
      </w:tr>
      <w:tr>
        <w:trPr>
          <w:cantSplit/>
        </w:trPr>
        <w:tc>
          <w:tcPr>
            <w:shd w:val="clear" w:color="auto" w:fill="auto"/>
            <w:tcMar>
              <w:top w:w="100" w:type="dxa"/>
              <w:left w:w="100" w:type="dxa"/>
              <w:bottom w:w="100" w:type="dxa"/>
              <w:right w:w="100" w:type="dxa"/>
            </w:tcMar>
            <w:vAlign w:val="top"/>
          </w:tcPr>
          <w:p>
            <w:pPr>
              <w:ind w:left="0" w:right="0" w:firstLine="0"/>
              <w:keepNext w:val="off"/>
              <w:keepLines w:val="off"/>
              <w:pageBreakBefore w:val="off"/>
              <w:widowControl w:val="off"/>
              <w:jc w:val="center"/>
              <w:pBdr>
                <w:between w:val="nil"/>
                <w:top w:val="nil"/>
                <w:left w:val="nil"/>
                <w:bottom w:val="nil"/>
                <w:right w:val="nil"/>
              </w:pBdr>
              <w:shd w:val="clear" w:color="auto" w:fill="auto"/>
              <w:spacing w:after="0" w:before="0" w:line="240" w:lineRule="auto"/>
              <w:rPr>
                <w:rFonts w:ascii="맑은 고딕" w:eastAsia="맑은 고딕" w:hAnsi="맑은 고딕" w:cs="맑은 고딕"/>
                <w:b/>
                <w:sz w:val="20"/>
                <w:szCs w:val="20"/>
              </w:rPr>
            </w:pPr>
            <w:r>
              <w:rPr>
                <w:rFonts w:ascii="맑은 고딕" w:eastAsia="맑은 고딕" w:hAnsi="맑은 고딕" w:cs="맑은 고딕"/>
                <w:b/>
                <w:sz w:val="20"/>
                <w:szCs w:val="20"/>
                <w:rtl w:val="off"/>
              </w:rPr>
              <w:t>가구원수별_가구당_월평균_가계수지_전국 1인상</w:t>
            </w:r>
          </w:p>
        </w:tc>
        <w:tc>
          <w:tcPr>
            <w:shd w:val="clear" w:color="auto" w:fill="auto"/>
            <w:tcMar>
              <w:top w:w="100" w:type="dxa"/>
              <w:left w:w="100" w:type="dxa"/>
              <w:bottom w:w="100" w:type="dxa"/>
              <w:right w:w="100" w:type="dxa"/>
            </w:tcMar>
            <w:vAlign w:val="top"/>
          </w:tcPr>
          <w:p>
            <w:pPr>
              <w:ind w:left="0" w:right="0" w:firstLine="0"/>
              <w:keepNext w:val="off"/>
              <w:keepLines w:val="off"/>
              <w:pageBreakBefore w:val="off"/>
              <w:widowControl w:val="off"/>
              <w:jc w:val="center"/>
              <w:pBdr>
                <w:between w:val="nil"/>
                <w:top w:val="nil"/>
                <w:left w:val="nil"/>
                <w:bottom w:val="nil"/>
                <w:right w:val="nil"/>
              </w:pBdr>
              <w:shd w:val="clear" w:color="auto" w:fill="auto"/>
              <w:spacing w:after="0" w:before="0" w:line="240" w:lineRule="auto"/>
              <w:rPr>
                <w:rFonts w:ascii="맑은 고딕" w:eastAsia="맑은 고딕" w:hAnsi="맑은 고딕" w:cs="맑은 고딕"/>
                <w:b/>
                <w:sz w:val="20"/>
                <w:szCs w:val="20"/>
              </w:rPr>
            </w:pPr>
            <w:r>
              <w:rPr>
                <w:rFonts w:ascii="맑은 고딕" w:eastAsia="맑은 고딕" w:hAnsi="맑은 고딕" w:cs="맑은 고딕"/>
                <w:b/>
                <w:sz w:val="20"/>
                <w:szCs w:val="20"/>
                <w:rtl w:val="off"/>
              </w:rPr>
              <w:t>KOSIS</w:t>
            </w:r>
          </w:p>
        </w:tc>
        <w:tc>
          <w:tcPr>
            <w:shd w:val="clear" w:color="auto" w:fill="auto"/>
            <w:tcMar>
              <w:top w:w="100" w:type="dxa"/>
              <w:left w:w="100" w:type="dxa"/>
              <w:bottom w:w="100" w:type="dxa"/>
              <w:right w:w="100" w:type="dxa"/>
            </w:tcMar>
            <w:vAlign w:val="top"/>
          </w:tcPr>
          <w:p>
            <w:pPr>
              <w:ind w:left="0" w:right="0" w:firstLine="0"/>
              <w:keepNext w:val="off"/>
              <w:keepLines w:val="off"/>
              <w:pageBreakBefore w:val="off"/>
              <w:widowControl w:val="off"/>
              <w:jc w:val="center"/>
              <w:pBdr>
                <w:between w:val="nil"/>
                <w:top w:val="nil"/>
                <w:left w:val="nil"/>
                <w:bottom w:val="nil"/>
                <w:right w:val="nil"/>
              </w:pBdr>
              <w:shd w:val="clear" w:color="auto" w:fill="auto"/>
              <w:spacing w:after="0" w:before="0" w:line="240" w:lineRule="auto"/>
              <w:rPr>
                <w:rFonts w:ascii="맑은 고딕" w:eastAsia="맑은 고딕" w:hAnsi="맑은 고딕" w:cs="맑은 고딕"/>
                <w:b/>
                <w:sz w:val="20"/>
                <w:szCs w:val="20"/>
              </w:rPr>
            </w:pPr>
            <w:r>
              <w:rPr>
                <w:rFonts w:ascii="맑은 고딕" w:eastAsia="맑은 고딕" w:hAnsi="맑은 고딕" w:cs="맑은 고딕"/>
                <w:b/>
                <w:sz w:val="20"/>
                <w:szCs w:val="20"/>
                <w:rtl w:val="off"/>
              </w:rPr>
              <w:t>(2019-2021)</w:t>
            </w:r>
          </w:p>
        </w:tc>
      </w:tr>
      <w:tr>
        <w:trPr>
          <w:cantSplit/>
        </w:trPr>
        <w:tc>
          <w:tcPr>
            <w:shd w:val="clear" w:color="auto" w:fill="auto"/>
            <w:tcMar>
              <w:top w:w="100" w:type="dxa"/>
              <w:left w:w="100" w:type="dxa"/>
              <w:bottom w:w="100" w:type="dxa"/>
              <w:right w:w="100" w:type="dxa"/>
            </w:tcMar>
            <w:vAlign w:val="top"/>
          </w:tcPr>
          <w:p>
            <w:pPr>
              <w:ind w:left="0" w:right="0" w:firstLine="0"/>
              <w:keepNext w:val="off"/>
              <w:keepLines w:val="off"/>
              <w:pageBreakBefore w:val="off"/>
              <w:widowControl w:val="off"/>
              <w:jc w:val="center"/>
              <w:pBdr>
                <w:between w:val="nil"/>
                <w:top w:val="nil"/>
                <w:left w:val="nil"/>
                <w:bottom w:val="nil"/>
                <w:right w:val="nil"/>
              </w:pBdr>
              <w:shd w:val="clear" w:color="auto" w:fill="auto"/>
              <w:spacing w:after="0" w:before="0" w:line="240" w:lineRule="auto"/>
              <w:rPr>
                <w:rFonts w:ascii="맑은 고딕" w:eastAsia="맑은 고딕" w:hAnsi="맑은 고딕" w:cs="맑은 고딕"/>
                <w:b/>
                <w:sz w:val="20"/>
                <w:szCs w:val="20"/>
              </w:rPr>
            </w:pPr>
            <w:r>
              <w:rPr>
                <w:rFonts w:ascii="맑은 고딕" w:eastAsia="맑은 고딕" w:hAnsi="맑은 고딕" w:cs="맑은 고딕"/>
                <w:b/>
                <w:sz w:val="20"/>
                <w:szCs w:val="20"/>
                <w:rtl w:val="off"/>
              </w:rPr>
              <w:t>지출액 기준으로 온라인으로 많이 구입하는 가공식품 품목군</w:t>
            </w:r>
          </w:p>
        </w:tc>
        <w:tc>
          <w:tcPr>
            <w:shd w:val="clear" w:color="auto" w:fill="auto"/>
            <w:tcMar>
              <w:top w:w="100" w:type="dxa"/>
              <w:left w:w="100" w:type="dxa"/>
              <w:bottom w:w="100" w:type="dxa"/>
              <w:right w:w="100" w:type="dxa"/>
            </w:tcMar>
            <w:vAlign w:val="top"/>
          </w:tcPr>
          <w:p>
            <w:pPr>
              <w:ind w:left="0" w:right="0" w:firstLine="0"/>
              <w:keepNext w:val="off"/>
              <w:keepLines w:val="off"/>
              <w:pageBreakBefore w:val="off"/>
              <w:widowControl w:val="off"/>
              <w:jc w:val="center"/>
              <w:pBdr>
                <w:between w:val="nil"/>
                <w:top w:val="nil"/>
                <w:left w:val="nil"/>
                <w:bottom w:val="nil"/>
                <w:right w:val="nil"/>
              </w:pBdr>
              <w:shd w:val="clear" w:color="auto" w:fill="auto"/>
              <w:spacing w:after="0" w:before="0" w:line="240" w:lineRule="auto"/>
              <w:rPr>
                <w:rFonts w:ascii="맑은 고딕" w:eastAsia="맑은 고딕" w:hAnsi="맑은 고딕" w:cs="맑은 고딕"/>
                <w:b/>
                <w:sz w:val="20"/>
                <w:szCs w:val="20"/>
              </w:rPr>
            </w:pPr>
            <w:r>
              <w:rPr>
                <w:rFonts w:ascii="맑은 고딕" w:eastAsia="맑은 고딕" w:hAnsi="맑은 고딕" w:cs="맑은 고딕"/>
                <w:b/>
                <w:sz w:val="20"/>
                <w:szCs w:val="20"/>
                <w:rtl w:val="off"/>
              </w:rPr>
              <w:t>KOSIS</w:t>
            </w:r>
          </w:p>
        </w:tc>
        <w:tc>
          <w:tcPr>
            <w:shd w:val="clear" w:color="auto" w:fill="auto"/>
            <w:tcMar>
              <w:top w:w="100" w:type="dxa"/>
              <w:left w:w="100" w:type="dxa"/>
              <w:bottom w:w="100" w:type="dxa"/>
              <w:right w:w="100" w:type="dxa"/>
            </w:tcMar>
            <w:vAlign w:val="top"/>
          </w:tcPr>
          <w:p>
            <w:pPr>
              <w:ind w:left="0" w:right="0" w:firstLine="0"/>
              <w:keepNext w:val="off"/>
              <w:keepLines w:val="off"/>
              <w:pageBreakBefore w:val="off"/>
              <w:widowControl w:val="off"/>
              <w:jc w:val="center"/>
              <w:pBdr>
                <w:between w:val="nil"/>
                <w:top w:val="nil"/>
                <w:left w:val="nil"/>
                <w:bottom w:val="nil"/>
                <w:right w:val="nil"/>
              </w:pBdr>
              <w:shd w:val="clear" w:color="auto" w:fill="auto"/>
              <w:spacing w:after="0" w:before="0" w:line="240" w:lineRule="auto"/>
              <w:rPr>
                <w:rFonts w:ascii="맑은 고딕" w:eastAsia="맑은 고딕" w:hAnsi="맑은 고딕" w:cs="맑은 고딕"/>
                <w:b/>
                <w:sz w:val="20"/>
                <w:szCs w:val="20"/>
              </w:rPr>
            </w:pPr>
            <w:r>
              <w:rPr>
                <w:rFonts w:ascii="맑은 고딕" w:eastAsia="맑은 고딕" w:hAnsi="맑은 고딕" w:cs="맑은 고딕"/>
                <w:b/>
                <w:sz w:val="20"/>
                <w:szCs w:val="20"/>
                <w:rtl w:val="off"/>
              </w:rPr>
              <w:t>(2019-2020)</w:t>
            </w:r>
          </w:p>
        </w:tc>
      </w:tr>
      <w:tr>
        <w:trPr>
          <w:cantSplit/>
        </w:trPr>
        <w:tc>
          <w:tcPr>
            <w:shd w:val="clear" w:color="auto" w:fill="auto"/>
            <w:tcMar>
              <w:top w:w="100" w:type="dxa"/>
              <w:left w:w="100" w:type="dxa"/>
              <w:bottom w:w="100" w:type="dxa"/>
              <w:right w:w="100" w:type="dxa"/>
            </w:tcMar>
            <w:vAlign w:val="top"/>
          </w:tcPr>
          <w:p>
            <w:pPr>
              <w:ind w:left="0" w:right="0" w:firstLine="0"/>
              <w:keepNext w:val="off"/>
              <w:keepLines w:val="off"/>
              <w:pageBreakBefore w:val="off"/>
              <w:widowControl w:val="off"/>
              <w:jc w:val="center"/>
              <w:pBdr>
                <w:between w:val="nil"/>
                <w:top w:val="nil"/>
                <w:left w:val="nil"/>
                <w:bottom w:val="nil"/>
                <w:right w:val="nil"/>
              </w:pBdr>
              <w:shd w:val="clear" w:color="auto" w:fill="auto"/>
              <w:spacing w:after="0" w:before="0" w:line="240" w:lineRule="auto"/>
              <w:rPr>
                <w:rFonts w:ascii="맑은 고딕" w:eastAsia="맑은 고딕" w:hAnsi="맑은 고딕" w:cs="맑은 고딕"/>
                <w:b/>
                <w:sz w:val="20"/>
                <w:szCs w:val="20"/>
              </w:rPr>
            </w:pPr>
            <w:r>
              <w:rPr>
                <w:rFonts w:ascii="맑은 고딕" w:eastAsia="맑은 고딕" w:hAnsi="맑은 고딕" w:cs="맑은 고딕"/>
                <w:b/>
                <w:sz w:val="20"/>
                <w:szCs w:val="20"/>
                <w:rtl w:val="off"/>
              </w:rPr>
              <w:t>최근_1년간_온라인_가공식품_구입_변화</w:t>
            </w:r>
          </w:p>
        </w:tc>
        <w:tc>
          <w:tcPr>
            <w:shd w:val="clear" w:color="auto" w:fill="auto"/>
            <w:tcMar>
              <w:top w:w="100" w:type="dxa"/>
              <w:left w:w="100" w:type="dxa"/>
              <w:bottom w:w="100" w:type="dxa"/>
              <w:right w:w="100" w:type="dxa"/>
            </w:tcMar>
            <w:vAlign w:val="top"/>
          </w:tcPr>
          <w:p>
            <w:pPr>
              <w:ind w:left="0" w:right="0" w:firstLine="0"/>
              <w:keepNext w:val="off"/>
              <w:keepLines w:val="off"/>
              <w:pageBreakBefore w:val="off"/>
              <w:widowControl w:val="off"/>
              <w:jc w:val="center"/>
              <w:pBdr>
                <w:between w:val="nil"/>
                <w:top w:val="nil"/>
                <w:left w:val="nil"/>
                <w:bottom w:val="nil"/>
                <w:right w:val="nil"/>
              </w:pBdr>
              <w:shd w:val="clear" w:color="auto" w:fill="auto"/>
              <w:spacing w:after="0" w:before="0" w:line="240" w:lineRule="auto"/>
              <w:rPr>
                <w:rFonts w:ascii="맑은 고딕" w:eastAsia="맑은 고딕" w:hAnsi="맑은 고딕" w:cs="맑은 고딕"/>
                <w:b/>
                <w:sz w:val="20"/>
                <w:szCs w:val="20"/>
              </w:rPr>
            </w:pPr>
            <w:r>
              <w:rPr>
                <w:rFonts w:ascii="맑은 고딕" w:eastAsia="맑은 고딕" w:hAnsi="맑은 고딕" w:cs="맑은 고딕"/>
                <w:b/>
                <w:sz w:val="20"/>
                <w:szCs w:val="20"/>
                <w:rtl w:val="off"/>
              </w:rPr>
              <w:t>KOSIS</w:t>
            </w:r>
          </w:p>
        </w:tc>
        <w:tc>
          <w:tcPr>
            <w:shd w:val="clear" w:color="auto" w:fill="auto"/>
            <w:tcMar>
              <w:top w:w="100" w:type="dxa"/>
              <w:left w:w="100" w:type="dxa"/>
              <w:bottom w:w="100" w:type="dxa"/>
              <w:right w:w="100" w:type="dxa"/>
            </w:tcMar>
            <w:vAlign w:val="top"/>
          </w:tcPr>
          <w:p>
            <w:pPr>
              <w:ind w:left="0" w:right="0" w:firstLine="0"/>
              <w:keepNext w:val="off"/>
              <w:keepLines w:val="off"/>
              <w:pageBreakBefore w:val="off"/>
              <w:widowControl w:val="off"/>
              <w:jc w:val="center"/>
              <w:pBdr>
                <w:between w:val="nil"/>
                <w:top w:val="nil"/>
                <w:left w:val="nil"/>
                <w:bottom w:val="nil"/>
                <w:right w:val="nil"/>
              </w:pBdr>
              <w:shd w:val="clear" w:color="auto" w:fill="auto"/>
              <w:spacing w:after="0" w:before="0" w:line="240" w:lineRule="auto"/>
              <w:rPr>
                <w:rFonts w:ascii="맑은 고딕" w:eastAsia="맑은 고딕" w:hAnsi="맑은 고딕" w:cs="맑은 고딕"/>
                <w:b/>
                <w:sz w:val="20"/>
                <w:szCs w:val="20"/>
              </w:rPr>
            </w:pPr>
            <w:r>
              <w:rPr>
                <w:rFonts w:ascii="맑은 고딕" w:eastAsia="맑은 고딕" w:hAnsi="맑은 고딕" w:cs="맑은 고딕"/>
                <w:b/>
                <w:sz w:val="20"/>
                <w:szCs w:val="20"/>
                <w:rtl w:val="off"/>
              </w:rPr>
              <w:t>(2019-2020)</w:t>
            </w:r>
          </w:p>
        </w:tc>
      </w:tr>
      <w:tr>
        <w:trPr>
          <w:cantSplit/>
          <w:trHeight w:val="510" w:hRule="atLeast"/>
        </w:trPr>
        <w:tc>
          <w:tcPr>
            <w:shd w:val="clear" w:color="auto" w:fill="auto"/>
            <w:tcMar>
              <w:top w:w="100" w:type="dxa"/>
              <w:left w:w="100" w:type="dxa"/>
              <w:bottom w:w="100" w:type="dxa"/>
              <w:right w:w="100" w:type="dxa"/>
            </w:tcMar>
            <w:vAlign w:val="top"/>
          </w:tcPr>
          <w:p>
            <w:pPr>
              <w:ind w:left="0" w:right="0" w:firstLine="0"/>
              <w:keepNext w:val="off"/>
              <w:keepLines w:val="off"/>
              <w:pageBreakBefore w:val="off"/>
              <w:widowControl w:val="off"/>
              <w:jc w:val="center"/>
              <w:pBdr>
                <w:between w:val="nil"/>
                <w:top w:val="nil"/>
                <w:left w:val="nil"/>
                <w:bottom w:val="nil"/>
                <w:right w:val="nil"/>
              </w:pBdr>
              <w:shd w:val="clear" w:color="auto" w:fill="auto"/>
              <w:spacing w:after="0" w:before="0" w:line="240" w:lineRule="auto"/>
              <w:rPr>
                <w:rFonts w:ascii="맑은 고딕" w:eastAsia="맑은 고딕" w:hAnsi="맑은 고딕" w:cs="맑은 고딕"/>
                <w:b/>
                <w:sz w:val="20"/>
                <w:szCs w:val="20"/>
              </w:rPr>
            </w:pPr>
            <w:r>
              <w:rPr>
                <w:rFonts w:ascii="맑은 고딕" w:eastAsia="맑은 고딕" w:hAnsi="맑은 고딕" w:cs="맑은 고딕"/>
                <w:b/>
                <w:sz w:val="20"/>
                <w:szCs w:val="20"/>
                <w:rtl w:val="off"/>
              </w:rPr>
              <w:t>간편식_HMR_주_이용_용도</w:t>
            </w:r>
          </w:p>
        </w:tc>
        <w:tc>
          <w:tcPr>
            <w:shd w:val="clear" w:color="auto" w:fill="auto"/>
            <w:tcMar>
              <w:top w:w="100" w:type="dxa"/>
              <w:left w:w="100" w:type="dxa"/>
              <w:bottom w:w="100" w:type="dxa"/>
              <w:right w:w="100" w:type="dxa"/>
            </w:tcMar>
            <w:vAlign w:val="top"/>
          </w:tcPr>
          <w:p>
            <w:pPr>
              <w:ind w:left="0" w:right="0" w:firstLine="0"/>
              <w:keepNext w:val="off"/>
              <w:keepLines w:val="off"/>
              <w:pageBreakBefore w:val="off"/>
              <w:widowControl w:val="off"/>
              <w:jc w:val="center"/>
              <w:pBdr>
                <w:between w:val="nil"/>
                <w:top w:val="nil"/>
                <w:left w:val="nil"/>
                <w:bottom w:val="nil"/>
                <w:right w:val="nil"/>
              </w:pBdr>
              <w:shd w:val="clear" w:color="auto" w:fill="auto"/>
              <w:spacing w:after="0" w:before="0" w:line="240" w:lineRule="auto"/>
              <w:rPr>
                <w:rFonts w:ascii="맑은 고딕" w:eastAsia="맑은 고딕" w:hAnsi="맑은 고딕" w:cs="맑은 고딕"/>
                <w:b/>
                <w:sz w:val="20"/>
                <w:szCs w:val="20"/>
              </w:rPr>
            </w:pPr>
            <w:r>
              <w:rPr>
                <w:rFonts w:ascii="맑은 고딕" w:eastAsia="맑은 고딕" w:hAnsi="맑은 고딕" w:cs="맑은 고딕"/>
                <w:b/>
                <w:sz w:val="20"/>
                <w:szCs w:val="20"/>
                <w:rtl w:val="off"/>
              </w:rPr>
              <w:t>KOSIS</w:t>
            </w:r>
          </w:p>
        </w:tc>
        <w:tc>
          <w:tcPr>
            <w:shd w:val="clear" w:color="auto" w:fill="auto"/>
            <w:tcMar>
              <w:top w:w="100" w:type="dxa"/>
              <w:left w:w="100" w:type="dxa"/>
              <w:bottom w:w="100" w:type="dxa"/>
              <w:right w:w="100" w:type="dxa"/>
            </w:tcMar>
            <w:vAlign w:val="top"/>
          </w:tcPr>
          <w:p>
            <w:pPr>
              <w:ind w:left="0" w:right="0" w:firstLine="0"/>
              <w:keepNext w:val="off"/>
              <w:keepLines w:val="off"/>
              <w:pageBreakBefore w:val="off"/>
              <w:widowControl w:val="off"/>
              <w:jc w:val="center"/>
              <w:pBdr>
                <w:between w:val="nil"/>
                <w:top w:val="nil"/>
                <w:left w:val="nil"/>
                <w:bottom w:val="nil"/>
                <w:right w:val="nil"/>
              </w:pBdr>
              <w:shd w:val="clear" w:color="auto" w:fill="auto"/>
              <w:spacing w:after="0" w:before="0" w:line="240" w:lineRule="auto"/>
              <w:rPr>
                <w:rFonts w:ascii="맑은 고딕" w:eastAsia="맑은 고딕" w:hAnsi="맑은 고딕" w:cs="맑은 고딕"/>
                <w:b/>
                <w:sz w:val="20"/>
                <w:szCs w:val="20"/>
              </w:rPr>
            </w:pPr>
            <w:r>
              <w:rPr>
                <w:rFonts w:ascii="맑은 고딕" w:eastAsia="맑은 고딕" w:hAnsi="맑은 고딕" w:cs="맑은 고딕"/>
                <w:b/>
                <w:sz w:val="20"/>
                <w:szCs w:val="20"/>
                <w:rtl w:val="off"/>
              </w:rPr>
              <w:t>(2019-2020)</w:t>
            </w:r>
          </w:p>
        </w:tc>
      </w:tr>
      <w:tr>
        <w:trPr>
          <w:cantSplit/>
          <w:trHeight w:val="510" w:hRule="atLeast"/>
        </w:trPr>
        <w:tc>
          <w:tcPr>
            <w:shd w:val="clear" w:color="auto" w:fill="auto"/>
            <w:tcMar>
              <w:top w:w="100" w:type="dxa"/>
              <w:left w:w="100" w:type="dxa"/>
              <w:bottom w:w="100" w:type="dxa"/>
              <w:right w:w="100" w:type="dxa"/>
            </w:tcMar>
            <w:vAlign w:val="top"/>
          </w:tcPr>
          <w:p>
            <w:pPr>
              <w:ind w:left="0" w:right="0" w:firstLine="0"/>
              <w:keepNext w:val="off"/>
              <w:keepLines w:val="off"/>
              <w:pageBreakBefore w:val="off"/>
              <w:widowControl w:val="off"/>
              <w:jc w:val="center"/>
              <w:pBdr>
                <w:between w:val="nil"/>
                <w:top w:val="nil"/>
                <w:left w:val="nil"/>
                <w:bottom w:val="nil"/>
                <w:right w:val="nil"/>
              </w:pBdr>
              <w:shd w:val="clear" w:color="auto" w:fill="auto"/>
              <w:spacing w:after="0" w:before="0" w:line="240" w:lineRule="auto"/>
              <w:rPr>
                <w:rFonts w:ascii="맑은 고딕" w:eastAsia="맑은 고딕" w:hAnsi="맑은 고딕" w:cs="맑은 고딕"/>
                <w:b/>
                <w:sz w:val="20"/>
                <w:szCs w:val="20"/>
              </w:rPr>
            </w:pPr>
            <w:r>
              <w:rPr>
                <w:rFonts w:ascii="맑은 고딕" w:eastAsia="맑은 고딕" w:hAnsi="맑은 고딕" w:cs="맑은 고딕"/>
                <w:b/>
                <w:sz w:val="20"/>
                <w:szCs w:val="20"/>
                <w:rtl w:val="off"/>
              </w:rPr>
              <w:t>온라인으로_식품을_구매하는_장소</w:t>
            </w:r>
          </w:p>
        </w:tc>
        <w:tc>
          <w:tcPr>
            <w:shd w:val="clear" w:color="auto" w:fill="auto"/>
            <w:tcMar>
              <w:top w:w="100" w:type="dxa"/>
              <w:left w:w="100" w:type="dxa"/>
              <w:bottom w:w="100" w:type="dxa"/>
              <w:right w:w="100" w:type="dxa"/>
            </w:tcMar>
            <w:vAlign w:val="top"/>
          </w:tcPr>
          <w:p>
            <w:pPr>
              <w:ind w:left="0" w:right="0" w:firstLine="0"/>
              <w:keepNext w:val="off"/>
              <w:keepLines w:val="off"/>
              <w:pageBreakBefore w:val="off"/>
              <w:widowControl w:val="off"/>
              <w:jc w:val="center"/>
              <w:pBdr>
                <w:between w:val="nil"/>
                <w:top w:val="nil"/>
                <w:left w:val="nil"/>
                <w:bottom w:val="nil"/>
                <w:right w:val="nil"/>
              </w:pBdr>
              <w:shd w:val="clear" w:color="auto" w:fill="auto"/>
              <w:spacing w:after="0" w:before="0" w:line="240" w:lineRule="auto"/>
              <w:rPr>
                <w:rFonts w:ascii="맑은 고딕" w:eastAsia="맑은 고딕" w:hAnsi="맑은 고딕" w:cs="맑은 고딕"/>
                <w:b/>
                <w:sz w:val="20"/>
                <w:szCs w:val="20"/>
              </w:rPr>
            </w:pPr>
            <w:r>
              <w:rPr>
                <w:rFonts w:ascii="맑은 고딕" w:eastAsia="맑은 고딕" w:hAnsi="맑은 고딕" w:cs="맑은 고딕"/>
                <w:b/>
                <w:sz w:val="20"/>
                <w:szCs w:val="20"/>
                <w:rtl w:val="off"/>
              </w:rPr>
              <w:t>KOSIS</w:t>
            </w:r>
          </w:p>
        </w:tc>
        <w:tc>
          <w:tcPr>
            <w:shd w:val="clear" w:color="auto" w:fill="auto"/>
            <w:tcMar>
              <w:top w:w="100" w:type="dxa"/>
              <w:left w:w="100" w:type="dxa"/>
              <w:bottom w:w="100" w:type="dxa"/>
              <w:right w:w="100" w:type="dxa"/>
            </w:tcMar>
            <w:vAlign w:val="top"/>
          </w:tcPr>
          <w:p>
            <w:pPr>
              <w:ind w:left="0" w:right="0" w:firstLine="0"/>
              <w:keepNext w:val="off"/>
              <w:keepLines w:val="off"/>
              <w:pageBreakBefore w:val="off"/>
              <w:widowControl w:val="off"/>
              <w:jc w:val="center"/>
              <w:pBdr>
                <w:between w:val="nil"/>
                <w:top w:val="nil"/>
                <w:left w:val="nil"/>
                <w:bottom w:val="nil"/>
                <w:right w:val="nil"/>
              </w:pBdr>
              <w:shd w:val="clear" w:color="auto" w:fill="auto"/>
              <w:spacing w:after="0" w:before="0" w:line="240" w:lineRule="auto"/>
              <w:rPr>
                <w:rFonts w:ascii="맑은 고딕" w:eastAsia="맑은 고딕" w:hAnsi="맑은 고딕" w:cs="맑은 고딕"/>
                <w:b/>
                <w:sz w:val="20"/>
                <w:szCs w:val="20"/>
              </w:rPr>
            </w:pPr>
            <w:r>
              <w:rPr>
                <w:rFonts w:ascii="맑은 고딕" w:eastAsia="맑은 고딕" w:hAnsi="맑은 고딕" w:cs="맑은 고딕"/>
                <w:b/>
                <w:sz w:val="20"/>
                <w:szCs w:val="20"/>
                <w:rtl w:val="off"/>
              </w:rPr>
              <w:t>(2019-2020)</w:t>
            </w:r>
          </w:p>
        </w:tc>
      </w:tr>
    </w:tbl>
    <w:p>
      <w:pPr>
        <w:widowControl w:val="off"/>
        <w:rPr>
          <w:rFonts w:ascii="맑은 고딕" w:eastAsia="맑은 고딕" w:hAnsi="맑은 고딕" w:cs="맑은 고딕"/>
          <w:sz w:val="20"/>
          <w:szCs w:val="20"/>
        </w:rPr>
      </w:pPr>
    </w:p>
    <w:p>
      <w:pPr>
        <w:widowControl w:val="off"/>
        <w:rPr>
          <w:rFonts w:ascii="맑은 고딕" w:eastAsia="맑은 고딕" w:hAnsi="맑은 고딕" w:cs="맑은 고딕"/>
          <w:sz w:val="20"/>
          <w:szCs w:val="20"/>
        </w:rPr>
      </w:pPr>
      <w:r>
        <w:rPr>
          <w:rFonts w:ascii="맑은 고딕" w:eastAsia="맑은 고딕" w:hAnsi="맑은 고딕" w:cs="맑은 고딕"/>
          <w:sz w:val="20"/>
          <w:szCs w:val="20"/>
          <w:rtl w:val="off"/>
        </w:rPr>
        <w:t xml:space="preserve"> 데이터 수집시점은 코로나 발생시점인 2020년 1월 기준으로 1년이전자료와 최근 데이터 수집 가능여부에 따라 코로나 발생 이후 1~2년 데이터를 수집하였다.</w:t>
      </w:r>
    </w:p>
    <w:p>
      <w:pPr>
        <w:widowControl w:val="off"/>
        <w:rPr>
          <w:rFonts w:ascii="맑은 고딕" w:eastAsia="맑은 고딕" w:hAnsi="맑은 고딕" w:cs="맑은 고딕"/>
          <w:b/>
          <w:sz w:val="20"/>
          <w:szCs w:val="20"/>
        </w:rPr>
      </w:pPr>
    </w:p>
    <w:p>
      <w:pPr>
        <w:widowControl w:val="off"/>
        <w:rPr>
          <w:rFonts w:ascii="맑은 고딕" w:eastAsia="맑은 고딕" w:hAnsi="맑은 고딕" w:cs="맑은 고딕"/>
          <w:b/>
          <w:sz w:val="20"/>
          <w:szCs w:val="20"/>
        </w:rPr>
      </w:pPr>
    </w:p>
    <w:p>
      <w:pPr>
        <w:widowControl w:val="off"/>
        <w:rPr>
          <w:rFonts w:ascii="맑은 고딕" w:eastAsia="맑은 고딕" w:hAnsi="맑은 고딕" w:cs="맑은 고딕"/>
          <w:b/>
          <w:sz w:val="20"/>
          <w:szCs w:val="20"/>
        </w:rPr>
      </w:pPr>
    </w:p>
    <w:p>
      <w:pPr>
        <w:jc w:val="both"/>
        <w:rPr>
          <w:rFonts w:ascii="맑은 고딕" w:eastAsia="맑은 고딕" w:hAnsi="맑은 고딕" w:cs="맑은 고딕"/>
          <w:b/>
        </w:rPr>
      </w:pPr>
      <w:r>
        <w:rPr>
          <w:rFonts w:ascii="맑은 고딕" w:eastAsia="맑은 고딕" w:hAnsi="맑은 고딕" w:cs="맑은 고딕"/>
          <w:b/>
          <w:sz w:val="24"/>
          <w:szCs w:val="24"/>
          <w:rtl w:val="off"/>
        </w:rPr>
        <w:tab/>
      </w:r>
      <w:r>
        <w:rPr>
          <w:rFonts w:ascii="맑은 고딕" w:eastAsia="맑은 고딕" w:hAnsi="맑은 고딕" w:cs="맑은 고딕"/>
          <w:b/>
          <w:rtl w:val="off"/>
        </w:rPr>
        <w:t>3.2. 데이터 정합성 검정</w:t>
      </w:r>
    </w:p>
    <w:p>
      <w:pPr>
        <w:jc w:val="both"/>
        <w:rPr>
          <w:rFonts w:ascii="맑은 고딕" w:eastAsia="맑은 고딕" w:hAnsi="맑은 고딕" w:cs="맑은 고딕"/>
          <w:sz w:val="20"/>
          <w:szCs w:val="20"/>
        </w:rPr>
      </w:pPr>
      <w:r>
        <w:rPr>
          <w:rFonts w:ascii="맑은 고딕" w:eastAsia="맑은 고딕" w:hAnsi="맑은 고딕" w:cs="맑은 고딕"/>
          <w:sz w:val="20"/>
          <w:szCs w:val="20"/>
          <w:rtl w:val="off"/>
        </w:rPr>
        <w:t xml:space="preserve"> 데이터 정합성 검사는 POSTMAN 프로그램을 활용하여 공공데이터포털에서 제공하는 코로나 확진자수 데이터를 대상으로 실시하였다. 공공데이터 포털의 Rest API를 통해 xml 파일형태로 다운받은 이후 convertor를 이용하여 csv파일로 변환하였다.</w:t>
      </w:r>
    </w:p>
    <w:p>
      <w:pPr>
        <w:rPr/>
      </w:pPr>
      <w:r>
        <w:rPr/>
        <w:drawing>
          <wp:inline distT="180" distB="180" distL="180" distR="180">
            <wp:extent cx="5731200" cy="2768600"/>
            <wp:effectExtent l="9525" t="9525" r="9525" b="9525"/>
            <wp:docPr id="1030" name="shape1030"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6">
                      <a:extLst>
                        <a:ext uri="{28A0092B-C50C-407E-A947-70E740481C1C}">
                          <a14:useLocalDpi xmlns:a14="http://schemas.microsoft.com/office/drawing/2010/main" val="0"/>
                        </a:ext>
                      </a:extLst>
                    </a:blip>
                    <a:srcRect/>
                    <a:stretch>
                      <a:fillRect/>
                    </a:stretch>
                  </pic:blipFill>
                  <pic:spPr>
                    <a:xfrm>
                      <a:off x="0" y="0"/>
                      <a:ext cx="5731200" cy="2768600"/>
                    </a:xfrm>
                    <a:prstGeom prst="rect"/>
                    <a:ln>
                      <a:solidFill>
                        <a:schemeClr val="lt1">
                          <a:alpha val="100000"/>
                        </a:schemeClr>
                      </a:solidFill>
                    </a:ln>
                  </pic:spPr>
                </pic:pic>
              </a:graphicData>
            </a:graphic>
          </wp:inline>
        </w:drawing>
      </w:r>
    </w:p>
    <w:p>
      <w:pPr>
        <w:jc w:val="center"/>
        <w:rPr/>
      </w:pPr>
      <w:r>
        <w:rPr>
          <w:rFonts w:ascii="Arial Unicode MS" w:eastAsia="Arial Unicode MS" w:hAnsi="Arial Unicode MS" w:cs="Arial Unicode MS"/>
          <w:rtl w:val="off"/>
        </w:rPr>
        <w:t>(POSTMAN을 활용한 데이터 정합성 검사)</w:t>
      </w:r>
    </w:p>
    <w:p>
      <w:pPr>
        <w:jc w:val="left"/>
        <w:rPr/>
      </w:pPr>
    </w:p>
    <w:p>
      <w:pPr>
        <w:jc w:val="center"/>
        <w:rPr>
          <w:rFonts w:ascii="맑은 고딕" w:eastAsia="맑은 고딕" w:hAnsi="맑은 고딕" w:cs="맑은 고딕"/>
          <w:sz w:val="20"/>
          <w:szCs w:val="20"/>
        </w:rPr>
      </w:pPr>
      <w:r>
        <w:rPr>
          <w:rFonts w:ascii="맑은 고딕" w:eastAsia="맑은 고딕" w:hAnsi="맑은 고딕" w:cs="맑은 고딕"/>
          <w:sz w:val="20"/>
          <w:szCs w:val="20"/>
        </w:rPr>
        <w:drawing>
          <wp:inline distT="180" distB="180" distL="180" distR="180">
            <wp:extent cx="3838575" cy="4188314"/>
            <wp:effectExtent l="9525" t="9525" r="9525" b="9525"/>
            <wp:docPr id="1031" name="shape1031"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7">
                      <a:extLst>
                        <a:ext uri="{28A0092B-C50C-407E-A947-70E740481C1C}">
                          <a14:useLocalDpi xmlns:a14="http://schemas.microsoft.com/office/drawing/2010/main" val="0"/>
                        </a:ext>
                      </a:extLst>
                    </a:blip>
                    <a:srcRect r="23013"/>
                    <a:stretch>
                      <a:fillRect/>
                    </a:stretch>
                  </pic:blipFill>
                  <pic:spPr>
                    <a:xfrm>
                      <a:off x="0" y="0"/>
                      <a:ext cx="3838575" cy="4188314"/>
                    </a:xfrm>
                    <a:prstGeom prst="rect"/>
                    <a:ln>
                      <a:solidFill>
                        <a:schemeClr val="lt1">
                          <a:alpha val="100000"/>
                        </a:schemeClr>
                      </a:solidFill>
                    </a:ln>
                  </pic:spPr>
                </pic:pic>
              </a:graphicData>
            </a:graphic>
          </wp:inline>
        </w:drawing>
      </w:r>
    </w:p>
    <w:p>
      <w:pPr>
        <w:jc w:val="center"/>
        <w:rPr>
          <w:rFonts w:ascii="맑은 고딕" w:eastAsia="맑은 고딕" w:hAnsi="맑은 고딕" w:cs="맑은 고딕"/>
          <w:sz w:val="20"/>
          <w:szCs w:val="20"/>
        </w:rPr>
      </w:pPr>
      <w:r>
        <w:rPr>
          <w:rFonts w:ascii="맑은 고딕" w:eastAsia="맑은 고딕" w:hAnsi="맑은 고딕" w:cs="맑은 고딕"/>
          <w:sz w:val="20"/>
          <w:szCs w:val="20"/>
          <w:rtl w:val="off"/>
        </w:rPr>
        <w:t>(공공데이터 포털의 Rest API를 통해 xml파일로 변환된 데이터)</w:t>
      </w:r>
    </w:p>
    <w:p>
      <w:pPr>
        <w:jc w:val="center"/>
        <w:rPr>
          <w:rFonts w:ascii="맑은 고딕" w:eastAsia="맑은 고딕" w:hAnsi="맑은 고딕" w:cs="맑은 고딕"/>
          <w:sz w:val="20"/>
          <w:szCs w:val="20"/>
        </w:rPr>
      </w:pPr>
    </w:p>
    <w:p>
      <w:pPr>
        <w:jc w:val="center"/>
        <w:rPr>
          <w:rFonts w:ascii="맑은 고딕" w:eastAsia="맑은 고딕" w:hAnsi="맑은 고딕" w:cs="맑은 고딕"/>
          <w:sz w:val="20"/>
          <w:szCs w:val="20"/>
        </w:rPr>
      </w:pPr>
    </w:p>
    <w:p>
      <w:pPr>
        <w:jc w:val="both"/>
        <w:rPr>
          <w:lang w:eastAsia="ko-KR"/>
          <w:rFonts w:ascii="맑은 고딕" w:eastAsia="맑은 고딕" w:hAnsi="맑은 고딕" w:cs="맑은 고딕" w:hint="eastAsia"/>
          <w:b/>
          <w:sz w:val="24"/>
          <w:szCs w:val="24"/>
          <w:rtl w:val="off"/>
        </w:rPr>
      </w:pPr>
    </w:p>
    <w:p>
      <w:pPr>
        <w:jc w:val="both"/>
        <w:rPr>
          <w:rFonts w:ascii="맑은 고딕" w:eastAsia="맑은 고딕" w:hAnsi="맑은 고딕" w:cs="맑은 고딕"/>
          <w:b/>
          <w:sz w:val="24"/>
          <w:szCs w:val="24"/>
        </w:rPr>
      </w:pPr>
      <w:r>
        <w:rPr>
          <w:lang w:eastAsia="ko-KR"/>
          <w:rFonts w:ascii="맑은 고딕" w:eastAsia="맑은 고딕" w:hAnsi="맑은 고딕" w:cs="맑은 고딕"/>
          <w:b/>
          <w:sz w:val="24"/>
          <w:szCs w:val="24"/>
          <w:rtl w:val="off"/>
        </w:rPr>
        <w:t xml:space="preserve">      4. </w:t>
      </w:r>
      <w:r>
        <w:rPr>
          <w:rFonts w:ascii="맑은 고딕" w:eastAsia="맑은 고딕" w:hAnsi="맑은 고딕" w:cs="맑은 고딕"/>
          <w:b/>
          <w:sz w:val="24"/>
          <w:szCs w:val="24"/>
          <w:rtl w:val="off"/>
        </w:rPr>
        <w:t>분석 과정</w:t>
      </w:r>
    </w:p>
    <w:p>
      <w:pPr>
        <w:jc w:val="both"/>
        <w:rPr>
          <w:rFonts w:ascii="맑은 고딕" w:eastAsia="맑은 고딕" w:hAnsi="맑은 고딕" w:cs="맑은 고딕"/>
          <w:b/>
        </w:rPr>
      </w:pPr>
      <w:r>
        <w:rPr>
          <w:rFonts w:ascii="맑은 고딕" w:eastAsia="맑은 고딕" w:hAnsi="맑은 고딕" w:cs="맑은 고딕"/>
          <w:b/>
          <w:sz w:val="24"/>
          <w:szCs w:val="24"/>
          <w:rtl w:val="off"/>
        </w:rPr>
        <w:tab/>
      </w:r>
      <w:r>
        <w:rPr>
          <w:rFonts w:ascii="맑은 고딕" w:eastAsia="맑은 고딕" w:hAnsi="맑은 고딕" w:cs="맑은 고딕"/>
          <w:b/>
          <w:rtl w:val="off"/>
        </w:rPr>
        <w:t>4.1. 데이터 전처리</w:t>
      </w:r>
    </w:p>
    <w:p>
      <w:pPr>
        <w:ind w:left="720" w:hanging="360"/>
        <w:jc w:val="both"/>
        <w:numPr>
          <w:ilvl w:val="0"/>
          <w:numId w:val="2"/>
        </w:numPr>
        <w:rPr>
          <w:rFonts w:ascii="맑은 고딕" w:eastAsia="맑은 고딕" w:hAnsi="맑은 고딕" w:cs="맑은 고딕"/>
          <w:sz w:val="20"/>
          <w:szCs w:val="20"/>
        </w:rPr>
      </w:pPr>
      <w:r>
        <w:rPr>
          <w:rFonts w:ascii="맑은 고딕" w:eastAsia="맑은 고딕" w:hAnsi="맑은 고딕" w:cs="맑은 고딕"/>
          <w:sz w:val="20"/>
          <w:szCs w:val="20"/>
          <w:rtl w:val="off"/>
        </w:rPr>
        <w:t>sum(is.na(x)) 함수로 모든 데이터에 NA 값이 포함되어 있는지(총 결측값)의 여부를 확인했다. 확인 결과 NA 값 및 타 결측치(‘-’, ‘0’)는 관찰되지 않았다. 추후 데이터를 병합하는 과정에서 형변환에 따라 발생된 NA는 확인하여 제거했다.</w:t>
      </w:r>
    </w:p>
    <w:p>
      <w:pPr>
        <w:ind w:left="720" w:hanging="360"/>
        <w:jc w:val="both"/>
        <w:numPr>
          <w:ilvl w:val="0"/>
          <w:numId w:val="2"/>
        </w:numPr>
        <w:rPr>
          <w:rFonts w:ascii="맑은 고딕" w:eastAsia="맑은 고딕" w:hAnsi="맑은 고딕" w:cs="맑은 고딕"/>
          <w:sz w:val="20"/>
          <w:szCs w:val="20"/>
          <w:u w:val="none" w:color="auto"/>
        </w:rPr>
      </w:pPr>
      <w:r>
        <w:rPr>
          <w:rFonts w:ascii="맑은 고딕" w:eastAsia="맑은 고딕" w:hAnsi="맑은 고딕" w:cs="맑은 고딕"/>
          <w:sz w:val="20"/>
          <w:szCs w:val="20"/>
          <w:rtl w:val="off"/>
        </w:rPr>
        <w:t xml:space="preserve">boxplot으로 데이터들을 시각화하여 이상치를 확인했다. 확인된 이상치들은 유의미한 이상치였기 때문에 제거하지 않았다.  </w:t>
      </w:r>
    </w:p>
    <w:p>
      <w:pPr>
        <w:jc w:val="both"/>
        <w:rPr>
          <w:rFonts w:ascii="맑은 고딕" w:eastAsia="맑은 고딕" w:hAnsi="맑은 고딕" w:cs="맑은 고딕"/>
          <w:sz w:val="20"/>
          <w:szCs w:val="20"/>
        </w:rPr>
      </w:pPr>
    </w:p>
    <w:p>
      <w:pPr>
        <w:ind w:left="720" w:firstLine="0"/>
        <w:jc w:val="both"/>
        <w:rPr>
          <w:rFonts w:ascii="맑은 고딕" w:eastAsia="맑은 고딕" w:hAnsi="맑은 고딕" w:cs="맑은 고딕"/>
          <w:b/>
        </w:rPr>
      </w:pPr>
      <w:r>
        <w:rPr>
          <w:rFonts w:ascii="맑은 고딕" w:eastAsia="맑은 고딕" w:hAnsi="맑은 고딕" w:cs="맑은 고딕"/>
          <w:b/>
          <w:rtl w:val="off"/>
        </w:rPr>
        <w:t>4.2.시계열분석 과정</w:t>
      </w:r>
    </w:p>
    <w:p>
      <w:pPr>
        <w:ind w:left="720" w:firstLine="0"/>
        <w:jc w:val="both"/>
        <w:rPr>
          <w:rFonts w:ascii="맑은 고딕" w:eastAsia="맑은 고딕" w:hAnsi="맑은 고딕" w:cs="맑은 고딕"/>
          <w:b/>
          <w:sz w:val="20"/>
          <w:szCs w:val="20"/>
        </w:rPr>
      </w:pPr>
      <w:r>
        <w:rPr>
          <w:rFonts w:ascii="맑은 고딕" w:eastAsia="맑은 고딕" w:hAnsi="맑은 고딕" w:cs="맑은 고딕"/>
          <w:b/>
          <w:sz w:val="20"/>
          <w:szCs w:val="20"/>
          <w:rtl w:val="off"/>
        </w:rPr>
        <w:t xml:space="preserve"> 4.2.1. 코로나 확진자 수 (2020-2021) 시계열 분석</w:t>
      </w:r>
    </w:p>
    <w:p>
      <w:pPr>
        <w:ind w:left="720" w:hanging="360"/>
        <w:jc w:val="both"/>
        <w:numPr>
          <w:ilvl w:val="0"/>
          <w:numId w:val="2"/>
        </w:numPr>
        <w:rPr>
          <w:rFonts w:ascii="맑은 고딕" w:eastAsia="맑은 고딕" w:hAnsi="맑은 고딕" w:cs="맑은 고딕"/>
          <w:sz w:val="20"/>
          <w:szCs w:val="20"/>
          <w:u w:val="none" w:color="auto"/>
        </w:rPr>
      </w:pPr>
      <w:r>
        <w:rPr>
          <w:rFonts w:ascii="맑은 고딕" w:eastAsia="맑은 고딕" w:hAnsi="맑은 고딕" w:cs="맑은 고딕"/>
          <w:sz w:val="20"/>
          <w:szCs w:val="20"/>
          <w:rtl w:val="off"/>
        </w:rPr>
        <w:t xml:space="preserve">데이터 변환: gsub 함수를 사용하여 ‘/’로 나눠져있던 일시를 ‘-’으로 대체했다. tidyverse, lubridate, 그리고 reshape2 패키지를 이용해서 연도와 날짜를 구분하여 부분 월별 정보만을 추출했다. 추출된 월(month) 열과 dcast 함수를 이용해 각 연도 내 월별 확진자 수 평균을 계산했다. </w:t>
      </w:r>
    </w:p>
    <w:p>
      <w:pPr>
        <w:ind w:left="720" w:hanging="360"/>
        <w:jc w:val="both"/>
        <w:numPr>
          <w:ilvl w:val="0"/>
          <w:numId w:val="2"/>
        </w:numPr>
        <w:rPr>
          <w:rFonts w:ascii="맑은 고딕" w:eastAsia="맑은 고딕" w:hAnsi="맑은 고딕" w:cs="맑은 고딕"/>
          <w:sz w:val="20"/>
          <w:szCs w:val="20"/>
        </w:rPr>
      </w:pPr>
      <w:r>
        <w:rPr>
          <w:rFonts w:ascii="맑은 고딕" w:eastAsia="맑은 고딕" w:hAnsi="맑은 고딕" w:cs="맑은 고딕"/>
          <w:sz w:val="20"/>
          <w:szCs w:val="20"/>
          <w:rtl w:val="off"/>
        </w:rPr>
        <w:t xml:space="preserve">월 평균 확진자 수 계산: diff 함수를 사용하여 누적 확진자 수를 일일 확진자 수로 변환했다. 코로나 확진자 수 데이터에서 가장 최근 날짜인 ‘2021-12-16’ 누적 확진자 수는 다음날과 비교 대조할 데이터가 없기 때문에 일일 확진자 수를 계산할 수 없어 평균값을 구할 때 제외하였다. </w:t>
      </w:r>
    </w:p>
    <w:p>
      <w:pPr>
        <w:ind w:left="720" w:hanging="360"/>
        <w:jc w:val="both"/>
        <w:numPr>
          <w:ilvl w:val="0"/>
          <w:numId w:val="2"/>
        </w:numPr>
        <w:rPr>
          <w:rFonts w:ascii="맑은 고딕" w:eastAsia="맑은 고딕" w:hAnsi="맑은 고딕" w:cs="맑은 고딕"/>
          <w:sz w:val="20"/>
          <w:szCs w:val="20"/>
          <w:u w:val="none" w:color="auto"/>
        </w:rPr>
      </w:pPr>
      <w:r>
        <w:rPr>
          <w:rFonts w:ascii="맑은 고딕" w:eastAsia="맑은 고딕" w:hAnsi="맑은 고딕" w:cs="맑은 고딕"/>
          <w:sz w:val="20"/>
          <w:szCs w:val="20"/>
          <w:rtl w:val="off"/>
        </w:rPr>
        <w:t xml:space="preserve">시계열 분석: tidyverse 패키지를 이용해 코로나 확진자 수 데이터에 대한 decomposition을 실시하여 계절성을 파악했다.  </w:t>
      </w:r>
    </w:p>
    <w:p>
      <w:pPr>
        <w:ind w:left="720" w:hanging="360"/>
        <w:jc w:val="both"/>
        <w:numPr>
          <w:ilvl w:val="0"/>
          <w:numId w:val="2"/>
        </w:numPr>
        <w:rPr>
          <w:rFonts w:ascii="맑은 고딕" w:eastAsia="맑은 고딕" w:hAnsi="맑은 고딕" w:cs="맑은 고딕"/>
          <w:sz w:val="20"/>
          <w:szCs w:val="20"/>
          <w:u w:val="none" w:color="auto"/>
        </w:rPr>
      </w:pPr>
      <w:r>
        <w:rPr>
          <w:rFonts w:ascii="맑은 고딕" w:eastAsia="맑은 고딕" w:hAnsi="맑은 고딕" w:cs="맑은 고딕"/>
          <w:sz w:val="20"/>
          <w:szCs w:val="20"/>
          <w:rtl w:val="off"/>
        </w:rPr>
        <w:t xml:space="preserve">시계열 분석 시각화: forecast와 fpp2 패키지를 이용해 연도에 따른 코로나 확진자 수를 중첩 시각화했다. </w:t>
      </w:r>
    </w:p>
    <w:p>
      <w:pPr>
        <w:ind w:left="720" w:firstLine="0"/>
        <w:jc w:val="both"/>
        <w:rPr>
          <w:rFonts w:ascii="맑은 고딕" w:eastAsia="맑은 고딕" w:hAnsi="맑은 고딕" w:cs="맑은 고딕"/>
          <w:sz w:val="20"/>
          <w:szCs w:val="20"/>
        </w:rPr>
      </w:pPr>
    </w:p>
    <w:p>
      <w:pPr>
        <w:ind w:left="720" w:firstLine="0"/>
        <w:jc w:val="both"/>
        <w:rPr>
          <w:rFonts w:ascii="맑은 고딕" w:eastAsia="맑은 고딕" w:hAnsi="맑은 고딕" w:cs="맑은 고딕"/>
          <w:b/>
        </w:rPr>
      </w:pPr>
      <w:r>
        <w:rPr>
          <w:rFonts w:ascii="맑은 고딕" w:eastAsia="맑은 고딕" w:hAnsi="맑은 고딕" w:cs="맑은 고딕"/>
          <w:b/>
          <w:rtl w:val="off"/>
        </w:rPr>
        <w:t>4.3. 상관분석 과정</w:t>
      </w:r>
    </w:p>
    <w:p>
      <w:pPr>
        <w:ind w:left="720" w:firstLine="0"/>
        <w:jc w:val="both"/>
        <w:rPr>
          <w:rFonts w:ascii="맑은 고딕" w:eastAsia="맑은 고딕" w:hAnsi="맑은 고딕" w:cs="맑은 고딕"/>
          <w:b/>
          <w:sz w:val="20"/>
          <w:szCs w:val="20"/>
        </w:rPr>
      </w:pPr>
      <w:r>
        <w:rPr>
          <w:rFonts w:ascii="맑은 고딕" w:eastAsia="맑은 고딕" w:hAnsi="맑은 고딕" w:cs="맑은 고딕"/>
          <w:b/>
          <w:sz w:val="20"/>
          <w:szCs w:val="20"/>
          <w:rtl w:val="off"/>
        </w:rPr>
        <w:t xml:space="preserve"> 4.3.1. 온라인 식품 거래액과 코로나 확진자 수 (2020-2021) 상관분석</w:t>
      </w:r>
    </w:p>
    <w:p>
      <w:pPr>
        <w:ind w:left="720" w:hanging="360"/>
        <w:jc w:val="both"/>
        <w:numPr>
          <w:ilvl w:val="0"/>
          <w:numId w:val="2"/>
        </w:numPr>
        <w:rPr>
          <w:rFonts w:ascii="맑은 고딕" w:eastAsia="맑은 고딕" w:hAnsi="맑은 고딕" w:cs="맑은 고딕"/>
          <w:sz w:val="20"/>
          <w:szCs w:val="20"/>
        </w:rPr>
      </w:pPr>
      <w:r>
        <w:rPr>
          <w:rFonts w:ascii="맑은 고딕" w:eastAsia="맑은 고딕" w:hAnsi="맑은 고딕" w:cs="맑은 고딕"/>
          <w:sz w:val="20"/>
          <w:szCs w:val="20"/>
          <w:rtl w:val="off"/>
        </w:rPr>
        <w:t xml:space="preserve">온라인 식품 거래액 시각화: 온라인 식품 거래액 월별 데이터: 상품군 23개를 시각화하여 증가율이 높은 식품군을 선정해 추가 분석 및 시각화를 실시했다. 이중 식품과 관련된 3개의 항목(음·식료품, 농축수산물, 음식서비스)을 제외한 다른 상품군들은 월별 합계 평균값을 계산해 식품군 값과 비교한 그래프를 만들었다. </w:t>
      </w:r>
    </w:p>
    <w:p>
      <w:pPr>
        <w:ind w:left="720" w:hanging="360"/>
        <w:jc w:val="both"/>
        <w:numPr>
          <w:ilvl w:val="0"/>
          <w:numId w:val="2"/>
        </w:numPr>
        <w:rPr>
          <w:rFonts w:ascii="맑은 고딕" w:eastAsia="맑은 고딕" w:hAnsi="맑은 고딕" w:cs="맑은 고딕"/>
          <w:sz w:val="20"/>
          <w:szCs w:val="20"/>
          <w:u w:val="none" w:color="auto"/>
        </w:rPr>
      </w:pPr>
      <w:r>
        <w:rPr>
          <w:rFonts w:ascii="맑은 고딕" w:eastAsia="맑은 고딕" w:hAnsi="맑은 고딕" w:cs="맑은 고딕"/>
          <w:sz w:val="20"/>
          <w:szCs w:val="20"/>
          <w:rtl w:val="off"/>
        </w:rPr>
        <w:t>코로나 확진자 수와의 상관분석: 월별 코로나 확진자 수와 온라인식품 거래액 데이터를 병합하여 함수 cor를 통한 상관분석을 실시했다. GGally와 nord 패키지를 이용해 연도별로 각 변수들의 상관관계를 분석했다.</w:t>
      </w:r>
    </w:p>
    <w:p>
      <w:pPr>
        <w:ind w:left="720" w:firstLine="0"/>
        <w:jc w:val="both"/>
        <w:rPr>
          <w:rFonts w:ascii="맑은 고딕" w:eastAsia="맑은 고딕" w:hAnsi="맑은 고딕" w:cs="맑은 고딕"/>
          <w:sz w:val="20"/>
          <w:szCs w:val="20"/>
        </w:rPr>
      </w:pPr>
    </w:p>
    <w:p>
      <w:pPr>
        <w:ind w:left="720" w:firstLine="0"/>
        <w:jc w:val="both"/>
        <w:rPr>
          <w:rFonts w:ascii="맑은 고딕" w:eastAsia="맑은 고딕" w:hAnsi="맑은 고딕" w:cs="맑은 고딕"/>
          <w:sz w:val="20"/>
          <w:szCs w:val="20"/>
        </w:rPr>
      </w:pPr>
    </w:p>
    <w:p>
      <w:pPr>
        <w:ind w:left="720" w:firstLine="0"/>
        <w:jc w:val="both"/>
        <w:rPr>
          <w:rFonts w:ascii="맑은 고딕" w:eastAsia="맑은 고딕" w:hAnsi="맑은 고딕" w:cs="맑은 고딕"/>
          <w:b/>
          <w:sz w:val="20"/>
          <w:szCs w:val="20"/>
        </w:rPr>
      </w:pPr>
      <w:r>
        <w:rPr>
          <w:rFonts w:ascii="맑은 고딕" w:eastAsia="맑은 고딕" w:hAnsi="맑은 고딕" w:cs="맑은 고딕"/>
          <w:b/>
          <w:sz w:val="20"/>
          <w:szCs w:val="20"/>
          <w:rtl w:val="off"/>
        </w:rPr>
        <w:t>4.3.2. 온라인 식품 거래액과 유행기별 코로나 확진자 수 (2020-2021) 상관분석</w:t>
      </w:r>
    </w:p>
    <w:p>
      <w:pPr>
        <w:ind w:left="720" w:hanging="360"/>
        <w:jc w:val="both"/>
        <w:numPr>
          <w:ilvl w:val="0"/>
          <w:numId w:val="2"/>
        </w:numPr>
        <w:rPr>
          <w:rFonts w:ascii="맑은 고딕" w:eastAsia="맑은 고딕" w:hAnsi="맑은 고딕" w:cs="맑은 고딕"/>
          <w:sz w:val="20"/>
          <w:szCs w:val="20"/>
        </w:rPr>
      </w:pPr>
      <w:r>
        <w:rPr>
          <w:rFonts w:ascii="맑은 고딕" w:eastAsia="맑은 고딕" w:hAnsi="맑은 고딕" w:cs="맑은 고딕"/>
          <w:sz w:val="20"/>
          <w:szCs w:val="20"/>
          <w:rtl w:val="off"/>
        </w:rPr>
        <w:t xml:space="preserve">코로나19 유행기 구분: 같은 기간 내 최다 확진자를 기준으로 그 다음 최다 확진자가 나올 때까지의 구간으로 유행기를 구분했다. 1차 유행기는 2020년 1~3월, 2차 유행기는 2020년 9~12월, 3차 유행기는 2021년 1~6월로 구분하였으며, 온라인 식품 거래액 데이터는 2020년 10월까지의 기록이 있었기 때문에 4차 유행기는 2021년 7월~10월 내 기간으로 정의했다. </w:t>
      </w:r>
    </w:p>
    <w:p>
      <w:pPr>
        <w:ind w:left="720" w:hanging="360"/>
        <w:jc w:val="both"/>
        <w:numPr>
          <w:ilvl w:val="0"/>
          <w:numId w:val="2"/>
        </w:numPr>
        <w:rPr>
          <w:rFonts w:ascii="맑은 고딕" w:eastAsia="맑은 고딕" w:hAnsi="맑은 고딕" w:cs="맑은 고딕"/>
          <w:sz w:val="20"/>
          <w:szCs w:val="20"/>
        </w:rPr>
      </w:pPr>
      <w:r>
        <w:rPr>
          <w:rFonts w:ascii="맑은 고딕" w:eastAsia="맑은 고딕" w:hAnsi="맑은 고딕" w:cs="맑은 고딕"/>
          <w:sz w:val="20"/>
          <w:szCs w:val="20"/>
          <w:rtl w:val="off"/>
        </w:rPr>
        <w:t xml:space="preserve">상관분석: 각 기간에 해당하는 코로나 확진자 수 데이터와 온라인 식품 거래액 데이터로 함수 cor를 사용하여 상관분석을 실시했다. </w:t>
      </w:r>
    </w:p>
    <w:p>
      <w:pPr>
        <w:ind w:left="0" w:firstLine="0"/>
        <w:jc w:val="both"/>
        <w:rPr>
          <w:rFonts w:ascii="맑은 고딕" w:eastAsia="맑은 고딕" w:hAnsi="맑은 고딕" w:cs="맑은 고딕"/>
          <w:sz w:val="20"/>
          <w:szCs w:val="20"/>
        </w:rPr>
      </w:pPr>
    </w:p>
    <w:p>
      <w:pPr>
        <w:ind w:left="0" w:firstLine="0"/>
        <w:jc w:val="both"/>
        <w:rPr>
          <w:rFonts w:ascii="맑은 고딕" w:eastAsia="맑은 고딕" w:hAnsi="맑은 고딕" w:cs="맑은 고딕"/>
          <w:sz w:val="20"/>
          <w:szCs w:val="20"/>
        </w:rPr>
      </w:pPr>
    </w:p>
    <w:p>
      <w:pPr>
        <w:ind w:left="0" w:firstLine="720"/>
        <w:jc w:val="both"/>
        <w:rPr>
          <w:rFonts w:ascii="맑은 고딕" w:eastAsia="맑은 고딕" w:hAnsi="맑은 고딕" w:cs="맑은 고딕"/>
          <w:b/>
        </w:rPr>
      </w:pPr>
      <w:r>
        <w:rPr>
          <w:rFonts w:ascii="맑은 고딕" w:eastAsia="맑은 고딕" w:hAnsi="맑은 고딕" w:cs="맑은 고딕"/>
          <w:b/>
          <w:rtl w:val="off"/>
        </w:rPr>
        <w:t>4.4. 비교분석 과정</w:t>
      </w:r>
    </w:p>
    <w:p>
      <w:pPr>
        <w:ind w:left="0" w:firstLine="720"/>
        <w:jc w:val="both"/>
        <w:rPr>
          <w:rFonts w:ascii="맑은 고딕" w:eastAsia="맑은 고딕" w:hAnsi="맑은 고딕" w:cs="맑은 고딕"/>
          <w:b/>
          <w:sz w:val="20"/>
          <w:szCs w:val="20"/>
        </w:rPr>
      </w:pPr>
      <w:r>
        <w:rPr>
          <w:rFonts w:ascii="맑은 고딕" w:eastAsia="맑은 고딕" w:hAnsi="맑은 고딕" w:cs="맑은 고딕"/>
          <w:b/>
          <w:sz w:val="20"/>
          <w:szCs w:val="20"/>
          <w:rtl w:val="off"/>
        </w:rPr>
        <w:t>4.4.1. 코로나 전후 온라인으로 식품을 구매하는 장소(2019-2020) 비교분석</w:t>
      </w:r>
    </w:p>
    <w:p>
      <w:pPr>
        <w:ind w:left="720" w:hanging="360"/>
        <w:jc w:val="both"/>
        <w:numPr>
          <w:ilvl w:val="0"/>
          <w:numId w:val="3"/>
        </w:numPr>
        <w:rPr>
          <w:rFonts w:ascii="맑은 고딕" w:eastAsia="맑은 고딕" w:hAnsi="맑은 고딕" w:cs="맑은 고딕"/>
          <w:sz w:val="20"/>
          <w:szCs w:val="20"/>
          <w:u w:val="none" w:color="auto"/>
        </w:rPr>
      </w:pPr>
      <w:r>
        <w:rPr>
          <w:rFonts w:ascii="맑은 고딕" w:eastAsia="맑은 고딕" w:hAnsi="맑은 고딕" w:cs="맑은 고딕"/>
          <w:sz w:val="20"/>
          <w:szCs w:val="20"/>
          <w:rtl w:val="off"/>
        </w:rPr>
        <w:t xml:space="preserve">데이터 프레임 분할: 연도(2019-2020)에 따라 코로나 전후로 기간을 나누었다. 데이터 항목에서 “온라인 종합 쇼핑몰", "온라인 식품 전문몰", "대형할인점 온라인 매장", "친환경 전문점 온라인 매장", "특산물 온라인 매장", "카페 블로그 SNS 등의 공동구매", "특정식품 온라인매장" 중 각 가구원수가 1인에 해당하는 항목만을 slicing하여 구분했다. </w:t>
      </w:r>
    </w:p>
    <w:p>
      <w:pPr>
        <w:ind w:left="720" w:hanging="360"/>
        <w:jc w:val="both"/>
        <w:numPr>
          <w:ilvl w:val="0"/>
          <w:numId w:val="3"/>
        </w:numPr>
        <w:rPr>
          <w:rFonts w:ascii="맑은 고딕" w:eastAsia="맑은 고딕" w:hAnsi="맑은 고딕" w:cs="맑은 고딕"/>
          <w:sz w:val="20"/>
          <w:szCs w:val="20"/>
          <w:u w:val="none" w:color="auto"/>
        </w:rPr>
      </w:pPr>
      <w:r>
        <w:rPr>
          <w:rFonts w:ascii="맑은 고딕" w:eastAsia="맑은 고딕" w:hAnsi="맑은 고딕" w:cs="맑은 고딕"/>
          <w:sz w:val="20"/>
          <w:szCs w:val="20"/>
          <w:rtl w:val="off"/>
        </w:rPr>
        <w:t>데이터 형변환: 구분된 각 data.frame을 as.matrix 그리고 as.vector를 거친후 as.numeric을 통해 수치형자료로 형변환했다.</w:t>
      </w:r>
    </w:p>
    <w:p>
      <w:pPr>
        <w:ind w:left="720" w:hanging="360"/>
        <w:jc w:val="both"/>
        <w:numPr>
          <w:ilvl w:val="0"/>
          <w:numId w:val="3"/>
        </w:numPr>
        <w:rPr>
          <w:rFonts w:ascii="맑은 고딕" w:eastAsia="맑은 고딕" w:hAnsi="맑은 고딕" w:cs="맑은 고딕"/>
          <w:sz w:val="20"/>
          <w:szCs w:val="20"/>
          <w:u w:val="none" w:color="auto"/>
        </w:rPr>
      </w:pPr>
      <w:r>
        <w:rPr>
          <w:rFonts w:ascii="맑은 고딕" w:eastAsia="맑은 고딕" w:hAnsi="맑은 고딕" w:cs="맑은 고딕"/>
          <w:sz w:val="20"/>
          <w:szCs w:val="20"/>
          <w:rtl w:val="off"/>
        </w:rPr>
        <w:t>비교 분석 시각화: ggplot의 piechart를 사용하여 코로나 전후 1인가구의 온라인 식품 구매장소 비율, 소득별 온라인 식품 구매장소 비율을 비교분석/시각화했다.</w:t>
      </w:r>
    </w:p>
    <w:p>
      <w:pPr>
        <w:jc w:val="both"/>
        <w:rPr>
          <w:rFonts w:ascii="맑은 고딕" w:eastAsia="맑은 고딕" w:hAnsi="맑은 고딕" w:cs="맑은 고딕"/>
          <w:sz w:val="20"/>
          <w:szCs w:val="20"/>
        </w:rPr>
      </w:pPr>
    </w:p>
    <w:p>
      <w:pPr>
        <w:ind w:left="0" w:firstLine="720"/>
        <w:jc w:val="both"/>
        <w:rPr>
          <w:rFonts w:ascii="맑은 고딕" w:eastAsia="맑은 고딕" w:hAnsi="맑은 고딕" w:cs="맑은 고딕"/>
          <w:b/>
          <w:sz w:val="20"/>
          <w:szCs w:val="20"/>
        </w:rPr>
      </w:pPr>
      <w:r>
        <w:rPr>
          <w:rFonts w:ascii="맑은 고딕" w:eastAsia="맑은 고딕" w:hAnsi="맑은 고딕" w:cs="맑은 고딕"/>
          <w:b/>
          <w:sz w:val="20"/>
          <w:szCs w:val="20"/>
          <w:rtl w:val="off"/>
        </w:rPr>
        <w:t>4.4.3. 코로나 전후 온라인으로 가공식품 구입 변화 (2019-2020) 비교분석</w:t>
      </w:r>
    </w:p>
    <w:p>
      <w:pPr>
        <w:ind w:left="720" w:hanging="360"/>
        <w:jc w:val="both"/>
        <w:numPr>
          <w:ilvl w:val="0"/>
          <w:numId w:val="4"/>
        </w:numPr>
        <w:rPr>
          <w:rFonts w:ascii="맑은 고딕" w:eastAsia="맑은 고딕" w:hAnsi="맑은 고딕" w:cs="맑은 고딕"/>
          <w:sz w:val="20"/>
          <w:szCs w:val="20"/>
          <w:u w:val="none" w:color="auto"/>
        </w:rPr>
      </w:pPr>
      <w:r>
        <w:rPr>
          <w:rFonts w:ascii="맑은 고딕" w:eastAsia="맑은 고딕" w:hAnsi="맑은 고딕" w:cs="맑은 고딕"/>
          <w:sz w:val="20"/>
          <w:szCs w:val="20"/>
          <w:rtl w:val="off"/>
        </w:rPr>
        <w:t xml:space="preserve">데이터 프레임 분할: 연도(2019-2020)에 따라 코로나 전후로 기간을 나누었다. 가구원수가 1인에 해당하는 응답 항목인 "매우 감소했다", "약간 감소했다", "1년전과 비교시 변화 없다", "약간 증가했다", "매우 증가했다"로 데이터를 slicing하여 구분했다.  </w:t>
      </w:r>
    </w:p>
    <w:p>
      <w:pPr>
        <w:ind w:left="720" w:hanging="360"/>
        <w:jc w:val="both"/>
        <w:numPr>
          <w:ilvl w:val="0"/>
          <w:numId w:val="4"/>
        </w:numPr>
        <w:rPr>
          <w:rFonts w:ascii="맑은 고딕" w:eastAsia="맑은 고딕" w:hAnsi="맑은 고딕" w:cs="맑은 고딕"/>
          <w:sz w:val="20"/>
          <w:szCs w:val="20"/>
        </w:rPr>
      </w:pPr>
      <w:r>
        <w:rPr>
          <w:rFonts w:ascii="맑은 고딕" w:eastAsia="맑은 고딕" w:hAnsi="맑은 고딕" w:cs="맑은 고딕"/>
          <w:sz w:val="20"/>
          <w:szCs w:val="20"/>
          <w:rtl w:val="off"/>
        </w:rPr>
        <w:t>데이터 형변환: 구분된 각 data.frame을 as.matrix 그리고 as.vector를 거친후 as.numeric을 통해 수치형자료로 형변환했다.</w:t>
      </w:r>
    </w:p>
    <w:p>
      <w:pPr>
        <w:ind w:left="720" w:hanging="360"/>
        <w:jc w:val="both"/>
        <w:numPr>
          <w:ilvl w:val="0"/>
          <w:numId w:val="4"/>
        </w:numPr>
        <w:rPr>
          <w:rFonts w:ascii="맑은 고딕" w:eastAsia="맑은 고딕" w:hAnsi="맑은 고딕" w:cs="맑은 고딕"/>
          <w:sz w:val="20"/>
          <w:szCs w:val="20"/>
        </w:rPr>
      </w:pPr>
      <w:r>
        <w:rPr>
          <w:rFonts w:ascii="맑은 고딕" w:eastAsia="맑은 고딕" w:hAnsi="맑은 고딕" w:cs="맑은 고딕"/>
          <w:sz w:val="20"/>
          <w:szCs w:val="20"/>
          <w:rtl w:val="off"/>
        </w:rPr>
        <w:t>비교 분석 시각화: ggplot의 piechart를 사용하여 코로나 전후 1인가구의 온라인 가공식품 구입변화, 소득별 온라인 가공식품 구입변화를 비교분석/시각화했다.</w:t>
      </w:r>
    </w:p>
    <w:p>
      <w:pPr>
        <w:ind w:left="720" w:firstLine="0"/>
        <w:jc w:val="both"/>
        <w:rPr>
          <w:rFonts w:ascii="맑은 고딕" w:eastAsia="맑은 고딕" w:hAnsi="맑은 고딕" w:cs="맑은 고딕"/>
          <w:sz w:val="20"/>
          <w:szCs w:val="20"/>
        </w:rPr>
      </w:pPr>
    </w:p>
    <w:p>
      <w:pPr>
        <w:ind w:left="0" w:firstLine="720"/>
        <w:jc w:val="both"/>
        <w:rPr>
          <w:rFonts w:ascii="맑은 고딕" w:eastAsia="맑은 고딕" w:hAnsi="맑은 고딕" w:cs="맑은 고딕"/>
          <w:b/>
          <w:sz w:val="20"/>
          <w:szCs w:val="20"/>
        </w:rPr>
      </w:pPr>
      <w:r>
        <w:rPr>
          <w:rFonts w:ascii="맑은 고딕" w:eastAsia="맑은 고딕" w:hAnsi="맑은 고딕" w:cs="맑은 고딕"/>
          <w:b/>
          <w:sz w:val="20"/>
          <w:szCs w:val="20"/>
          <w:rtl w:val="off"/>
        </w:rPr>
        <w:t>4.4.4. 코로나 전후 온라인으로 많이 구입하는 가공식품 품목(2019-2020) 비교분석</w:t>
      </w:r>
    </w:p>
    <w:p>
      <w:pPr>
        <w:ind w:left="720" w:hanging="360"/>
        <w:jc w:val="both"/>
        <w:numPr>
          <w:ilvl w:val="0"/>
          <w:numId w:val="5"/>
        </w:numPr>
        <w:rPr>
          <w:rFonts w:ascii="맑은 고딕" w:eastAsia="맑은 고딕" w:hAnsi="맑은 고딕" w:cs="맑은 고딕"/>
          <w:sz w:val="20"/>
          <w:szCs w:val="20"/>
          <w:u w:val="none" w:color="auto"/>
        </w:rPr>
      </w:pPr>
      <w:r>
        <w:rPr>
          <w:rFonts w:ascii="맑은 고딕" w:eastAsia="맑은 고딕" w:hAnsi="맑은 고딕" w:cs="맑은 고딕"/>
          <w:sz w:val="20"/>
          <w:szCs w:val="20"/>
          <w:rtl w:val="off"/>
        </w:rPr>
        <w:t>데이터 프레임 분할: 연도(2019-2020)에 따라 코로나 전후로 기간을 나누었다. 가구원수가 1인에 해당하는 온라인 가공식품("육류가공품", "알가공품", "조미수산가공품", "건조수산가공품", "과일가공품", "김치류", "절임류", "드레싱/소스류","장류", "유지류", "유가공품", "빵/떡", "과자", "초콜릿/코코아제품", "간편식", "면류", "연식품", "전분/분말류", "당류", "조미식품", "커피류", "다류", "음료류", "주류", "건강기능식품") 지출액 비중, 소득별('200만원 미만', '200~300만원 미만', '300~400만원 미만', '400~500만원 미만',  '500~600만원 미만', '600만원 이상') 온라인 가공식품 지출액 비중을 slicing하여 각각 변수에 할당했다.</w:t>
      </w:r>
    </w:p>
    <w:p>
      <w:pPr>
        <w:ind w:left="720" w:hanging="360"/>
        <w:jc w:val="both"/>
        <w:numPr>
          <w:ilvl w:val="0"/>
          <w:numId w:val="5"/>
        </w:numPr>
        <w:rPr>
          <w:rFonts w:ascii="맑은 고딕" w:eastAsia="맑은 고딕" w:hAnsi="맑은 고딕" w:cs="맑은 고딕"/>
          <w:sz w:val="20"/>
          <w:szCs w:val="20"/>
          <w:u w:val="none" w:color="auto"/>
        </w:rPr>
      </w:pPr>
      <w:r>
        <w:rPr>
          <w:rFonts w:ascii="맑은 고딕" w:eastAsia="맑은 고딕" w:hAnsi="맑은 고딕" w:cs="맑은 고딕"/>
          <w:sz w:val="20"/>
          <w:szCs w:val="20"/>
          <w:rtl w:val="off"/>
        </w:rPr>
        <w:t>데이터 형변환: 구분된 각 data.frame을 as.matrix 그리고 as.vector를 거친 후 코로나 전후 에 해당하는 벡터형자료를 rbind를 통해 병합했다. 그 후 as.numeric을 통해 수치형자료로 형변환했다.</w:t>
      </w:r>
    </w:p>
    <w:p>
      <w:pPr>
        <w:ind w:left="720" w:hanging="360"/>
        <w:jc w:val="both"/>
        <w:numPr>
          <w:ilvl w:val="0"/>
          <w:numId w:val="5"/>
        </w:numPr>
        <w:rPr>
          <w:rFonts w:ascii="맑은 고딕" w:eastAsia="맑은 고딕" w:hAnsi="맑은 고딕" w:cs="맑은 고딕"/>
          <w:sz w:val="20"/>
          <w:szCs w:val="20"/>
          <w:u w:val="none" w:color="auto"/>
        </w:rPr>
      </w:pPr>
      <w:r>
        <w:rPr>
          <w:rFonts w:ascii="맑은 고딕" w:eastAsia="맑은 고딕" w:hAnsi="맑은 고딕" w:cs="맑은 고딕"/>
          <w:sz w:val="20"/>
          <w:szCs w:val="20"/>
          <w:rtl w:val="off"/>
        </w:rPr>
        <w:t xml:space="preserve">비교 분석 시각화: 코로나 전후 소득별 온라인 가공식품 지출액 비중 비교분석/시각화 했다. 각 년도마다 월 평균 소득에 따른 가공식품 소비 항목 비중을 나타냈다. 가공식품 25개의 항목 중 소비 비율이 5% 이상인 항목(10가지)만을 시각화하였다. 그 후 barplot을 사용하여 코로나 전후 1인가구 지출액 기준 온라인 가공식품 항목에 대한 비교분석/시각화를 실시했다. </w:t>
      </w:r>
    </w:p>
    <w:p>
      <w:pPr>
        <w:jc w:val="both"/>
        <w:rPr>
          <w:rFonts w:ascii="맑은 고딕" w:eastAsia="맑은 고딕" w:hAnsi="맑은 고딕" w:cs="맑은 고딕"/>
          <w:b/>
          <w:sz w:val="24"/>
          <w:szCs w:val="24"/>
        </w:rPr>
      </w:pPr>
    </w:p>
    <w:p>
      <w:pPr>
        <w:jc w:val="both"/>
        <w:rPr>
          <w:rFonts w:ascii="맑은 고딕" w:eastAsia="맑은 고딕" w:hAnsi="맑은 고딕" w:cs="맑은 고딕"/>
          <w:b/>
          <w:sz w:val="24"/>
          <w:szCs w:val="24"/>
        </w:rPr>
      </w:pPr>
    </w:p>
    <w:p>
      <w:pPr>
        <w:jc w:val="both"/>
        <w:rPr>
          <w:rFonts w:ascii="맑은 고딕" w:eastAsia="맑은 고딕" w:hAnsi="맑은 고딕" w:cs="맑은 고딕"/>
          <w:b/>
          <w:sz w:val="24"/>
          <w:szCs w:val="24"/>
        </w:rPr>
      </w:pPr>
    </w:p>
    <w:p>
      <w:pPr>
        <w:jc w:val="both"/>
        <w:rPr>
          <w:rFonts w:ascii="맑은 고딕" w:eastAsia="맑은 고딕" w:hAnsi="맑은 고딕" w:cs="맑은 고딕"/>
          <w:b/>
          <w:sz w:val="24"/>
          <w:szCs w:val="24"/>
        </w:rPr>
      </w:pPr>
    </w:p>
    <w:p>
      <w:pPr>
        <w:jc w:val="both"/>
        <w:rPr>
          <w:rFonts w:ascii="맑은 고딕" w:eastAsia="맑은 고딕" w:hAnsi="맑은 고딕" w:cs="맑은 고딕"/>
          <w:b/>
          <w:sz w:val="24"/>
          <w:szCs w:val="24"/>
        </w:rPr>
      </w:pPr>
    </w:p>
    <w:p>
      <w:pPr>
        <w:jc w:val="both"/>
        <w:rPr>
          <w:rFonts w:ascii="맑은 고딕" w:eastAsia="맑은 고딕" w:hAnsi="맑은 고딕" w:cs="맑은 고딕"/>
          <w:b/>
          <w:sz w:val="24"/>
          <w:szCs w:val="24"/>
        </w:rPr>
      </w:pPr>
    </w:p>
    <w:p>
      <w:pPr>
        <w:jc w:val="both"/>
        <w:rPr>
          <w:rFonts w:ascii="맑은 고딕" w:eastAsia="맑은 고딕" w:hAnsi="맑은 고딕" w:cs="맑은 고딕"/>
          <w:b/>
          <w:sz w:val="24"/>
          <w:szCs w:val="24"/>
        </w:rPr>
      </w:pPr>
    </w:p>
    <w:p>
      <w:pPr>
        <w:jc w:val="both"/>
        <w:rPr>
          <w:rFonts w:ascii="맑은 고딕" w:eastAsia="맑은 고딕" w:hAnsi="맑은 고딕" w:cs="맑은 고딕"/>
          <w:b/>
          <w:sz w:val="24"/>
          <w:szCs w:val="24"/>
        </w:rPr>
      </w:pPr>
    </w:p>
    <w:p>
      <w:pPr>
        <w:jc w:val="both"/>
        <w:rPr>
          <w:rFonts w:ascii="맑은 고딕" w:eastAsia="맑은 고딕" w:hAnsi="맑은 고딕" w:cs="맑은 고딕"/>
          <w:b/>
          <w:sz w:val="24"/>
          <w:szCs w:val="24"/>
        </w:rPr>
      </w:pPr>
    </w:p>
    <w:p>
      <w:pPr>
        <w:jc w:val="both"/>
        <w:rPr>
          <w:rFonts w:ascii="맑은 고딕" w:eastAsia="맑은 고딕" w:hAnsi="맑은 고딕" w:cs="맑은 고딕"/>
          <w:b/>
          <w:sz w:val="24"/>
          <w:szCs w:val="24"/>
        </w:rPr>
      </w:pPr>
    </w:p>
    <w:p>
      <w:pPr>
        <w:jc w:val="both"/>
        <w:rPr>
          <w:rFonts w:ascii="맑은 고딕" w:eastAsia="맑은 고딕" w:hAnsi="맑은 고딕" w:cs="맑은 고딕"/>
          <w:b/>
          <w:sz w:val="24"/>
          <w:szCs w:val="24"/>
        </w:rPr>
      </w:pPr>
    </w:p>
    <w:p>
      <w:pPr>
        <w:jc w:val="both"/>
        <w:rPr>
          <w:rFonts w:ascii="맑은 고딕" w:eastAsia="맑은 고딕" w:hAnsi="맑은 고딕" w:cs="맑은 고딕"/>
          <w:b/>
          <w:sz w:val="24"/>
          <w:szCs w:val="24"/>
        </w:rPr>
      </w:pPr>
    </w:p>
    <w:p>
      <w:pPr>
        <w:jc w:val="both"/>
        <w:rPr>
          <w:rFonts w:ascii="맑은 고딕" w:eastAsia="맑은 고딕" w:hAnsi="맑은 고딕" w:cs="맑은 고딕"/>
          <w:b/>
          <w:sz w:val="24"/>
          <w:szCs w:val="24"/>
        </w:rPr>
      </w:pPr>
    </w:p>
    <w:p>
      <w:pPr>
        <w:jc w:val="both"/>
        <w:rPr>
          <w:rFonts w:ascii="맑은 고딕" w:eastAsia="맑은 고딕" w:hAnsi="맑은 고딕" w:cs="맑은 고딕"/>
          <w:b/>
          <w:sz w:val="24"/>
          <w:szCs w:val="24"/>
        </w:rPr>
      </w:pPr>
    </w:p>
    <w:p>
      <w:pPr>
        <w:jc w:val="both"/>
        <w:rPr>
          <w:rFonts w:ascii="맑은 고딕" w:eastAsia="맑은 고딕" w:hAnsi="맑은 고딕" w:cs="맑은 고딕"/>
          <w:b/>
          <w:sz w:val="24"/>
          <w:szCs w:val="24"/>
        </w:rPr>
      </w:pPr>
    </w:p>
    <w:p>
      <w:pPr>
        <w:jc w:val="both"/>
        <w:rPr>
          <w:rFonts w:ascii="맑은 고딕" w:eastAsia="맑은 고딕" w:hAnsi="맑은 고딕" w:cs="맑은 고딕"/>
          <w:b/>
          <w:sz w:val="24"/>
          <w:szCs w:val="24"/>
        </w:rPr>
      </w:pPr>
    </w:p>
    <w:p>
      <w:pPr>
        <w:jc w:val="both"/>
        <w:rPr>
          <w:rFonts w:ascii="맑은 고딕" w:eastAsia="맑은 고딕" w:hAnsi="맑은 고딕" w:cs="맑은 고딕"/>
          <w:b/>
          <w:sz w:val="24"/>
          <w:szCs w:val="24"/>
        </w:rPr>
      </w:pPr>
    </w:p>
    <w:p>
      <w:pPr>
        <w:ind w:leftChars="0" w:left="720" w:hanging="360"/>
        <w:jc w:val="both"/>
        <w:rPr>
          <w:rFonts w:ascii="맑은 고딕" w:eastAsia="맑은 고딕" w:hAnsi="맑은 고딕" w:cs="맑은 고딕"/>
          <w:b/>
          <w:sz w:val="24"/>
          <w:szCs w:val="24"/>
        </w:rPr>
      </w:pPr>
      <w:r>
        <w:rPr>
          <w:lang w:eastAsia="ko-KR"/>
          <w:rFonts w:ascii="맑은 고딕" w:eastAsia="맑은 고딕" w:hAnsi="맑은 고딕" w:cs="맑은 고딕"/>
          <w:b/>
          <w:sz w:val="24"/>
          <w:szCs w:val="24"/>
          <w:rtl w:val="off"/>
        </w:rPr>
        <w:t xml:space="preserve">5. </w:t>
      </w:r>
      <w:r>
        <w:rPr>
          <w:rFonts w:ascii="맑은 고딕" w:eastAsia="맑은 고딕" w:hAnsi="맑은 고딕" w:cs="맑은 고딕"/>
          <w:b/>
          <w:sz w:val="24"/>
          <w:szCs w:val="24"/>
          <w:rtl w:val="off"/>
        </w:rPr>
        <w:t>분석 결과</w:t>
      </w:r>
    </w:p>
    <w:p>
      <w:pPr>
        <w:ind w:left="720" w:firstLine="0"/>
        <w:jc w:val="both"/>
        <w:rPr>
          <w:rFonts w:ascii="맑은 고딕" w:eastAsia="맑은 고딕" w:hAnsi="맑은 고딕" w:cs="맑은 고딕"/>
          <w:b/>
        </w:rPr>
      </w:pPr>
      <w:r>
        <w:rPr>
          <w:rFonts w:ascii="맑은 고딕" w:eastAsia="맑은 고딕" w:hAnsi="맑은 고딕" w:cs="맑은 고딕"/>
          <w:b/>
          <w:rtl w:val="off"/>
        </w:rPr>
        <w:t>5.1. 시계열분석 결과 및 시각화</w:t>
      </w:r>
    </w:p>
    <w:p>
      <w:pPr>
        <w:ind w:left="720" w:firstLine="0"/>
        <w:jc w:val="both"/>
        <w:rPr>
          <w:rFonts w:ascii="맑은 고딕" w:eastAsia="맑은 고딕" w:hAnsi="맑은 고딕" w:cs="맑은 고딕"/>
          <w:b/>
          <w:sz w:val="20"/>
          <w:szCs w:val="20"/>
        </w:rPr>
      </w:pPr>
      <w:r>
        <w:rPr>
          <w:rFonts w:ascii="맑은 고딕" w:eastAsia="맑은 고딕" w:hAnsi="맑은 고딕" w:cs="맑은 고딕"/>
          <w:b/>
          <w:sz w:val="20"/>
          <w:szCs w:val="20"/>
          <w:rtl w:val="off"/>
        </w:rPr>
        <w:t>5.1.1. 코로나 확진자 수 (2020-2021) 시계열 분석 결과 및 시각화</w:t>
      </w:r>
    </w:p>
    <w:p>
      <w:pPr>
        <w:ind w:left="0" w:firstLine="0"/>
        <w:jc w:val="both"/>
        <w:rPr>
          <w:rFonts w:ascii="맑은 고딕" w:eastAsia="맑은 고딕" w:hAnsi="맑은 고딕" w:cs="맑은 고딕"/>
          <w:b/>
          <w:sz w:val="20"/>
          <w:szCs w:val="20"/>
        </w:rPr>
      </w:pPr>
      <w:r>
        <w:rPr>
          <w:rFonts w:ascii="맑은 고딕" w:eastAsia="맑은 고딕" w:hAnsi="맑은 고딕" w:cs="맑은 고딕"/>
          <w:b/>
          <w:sz w:val="20"/>
          <w:szCs w:val="20"/>
        </w:rPr>
        <w:drawing>
          <wp:inline distT="30" distB="30" distL="30" distR="30">
            <wp:extent cx="5731200" cy="3225800"/>
            <wp:effectExtent l="9525" t="9525" r="9525" b="9525"/>
            <wp:docPr id="1032" name="shape1032"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5731200" cy="3225800"/>
                    </a:xfrm>
                    <a:prstGeom prst="rect"/>
                    <a:ln>
                      <a:solidFill>
                        <a:schemeClr val="lt1">
                          <a:alpha val="100000"/>
                        </a:schemeClr>
                      </a:solidFill>
                    </a:ln>
                  </pic:spPr>
                </pic:pic>
              </a:graphicData>
            </a:graphic>
          </wp:inline>
        </w:drawing>
      </w:r>
    </w:p>
    <w:p>
      <w:pPr>
        <w:ind w:left="0" w:firstLine="0"/>
        <w:jc w:val="both"/>
        <w:rPr>
          <w:rFonts w:ascii="맑은 고딕" w:eastAsia="맑은 고딕" w:hAnsi="맑은 고딕" w:cs="맑은 고딕"/>
          <w:sz w:val="20"/>
          <w:szCs w:val="20"/>
        </w:rPr>
      </w:pPr>
      <w:r>
        <w:rPr>
          <w:rFonts w:ascii="맑은 고딕" w:eastAsia="맑은 고딕" w:hAnsi="맑은 고딕" w:cs="맑은 고딕"/>
          <w:sz w:val="20"/>
          <w:szCs w:val="20"/>
          <w:rtl w:val="off"/>
        </w:rPr>
        <w:t xml:space="preserve">#분석내용: 붉은선을 살펴보면, 월별 평균 코로나 확진자 수는 2020년에 걸쳐 몇번의 크지 않은 증감폭을 그리다가 2021년 하계 6월달부터 증가하여 11월에는 급상승하는 모습을 보이고 있다.(스케일을 맞추기 위해 코로나 확진자수에 </w:t>
      </w:r>
      <w:commentRangeStart w:id="1"/>
      <w:r>
        <w:rPr>
          <w:rFonts w:ascii="맑은 고딕" w:eastAsia="맑은 고딕" w:hAnsi="맑은 고딕" w:cs="맑은 고딕"/>
          <w:sz w:val="20"/>
          <w:szCs w:val="20"/>
          <w:rtl w:val="off"/>
        </w:rPr>
        <w:t>n을 곱하였다.)</w:t>
      </w:r>
      <w:commentRangeEnd w:id="1"/>
      <w:r>
        <w:commentReference w:id="1"/>
      </w:r>
      <w:r>
        <w:rPr>
          <w:rFonts w:ascii="맑은 고딕" w:eastAsia="맑은 고딕" w:hAnsi="맑은 고딕" w:cs="맑은 고딕"/>
          <w:sz w:val="20"/>
          <w:szCs w:val="20"/>
          <w:rtl w:val="off"/>
        </w:rPr>
        <w:t xml:space="preserve"> </w:t>
      </w:r>
    </w:p>
    <w:p>
      <w:pPr>
        <w:ind w:left="0" w:firstLine="0"/>
        <w:jc w:val="both"/>
        <w:rPr>
          <w:rFonts w:ascii="맑은 고딕" w:eastAsia="맑은 고딕" w:hAnsi="맑은 고딕" w:cs="맑은 고딕"/>
          <w:sz w:val="20"/>
          <w:szCs w:val="20"/>
        </w:rPr>
      </w:pPr>
    </w:p>
    <w:p>
      <w:pPr>
        <w:ind w:left="0" w:firstLine="0"/>
        <w:jc w:val="both"/>
        <w:rPr>
          <w:rFonts w:ascii="맑은 고딕" w:eastAsia="맑은 고딕" w:hAnsi="맑은 고딕" w:cs="맑은 고딕"/>
          <w:b/>
        </w:rPr>
      </w:pPr>
      <w:r>
        <w:rPr>
          <w:rFonts w:ascii="맑은 고딕" w:eastAsia="맑은 고딕" w:hAnsi="맑은 고딕" w:cs="맑은 고딕"/>
          <w:sz w:val="20"/>
          <w:szCs w:val="20"/>
          <w:rtl w:val="off"/>
        </w:rPr>
        <w:tab/>
      </w:r>
      <w:r>
        <w:rPr>
          <w:rFonts w:ascii="맑은 고딕" w:eastAsia="맑은 고딕" w:hAnsi="맑은 고딕" w:cs="맑은 고딕"/>
          <w:b/>
          <w:rtl w:val="off"/>
        </w:rPr>
        <w:t>5.2. 비교분석 결과 및 시각화</w:t>
      </w:r>
    </w:p>
    <w:p>
      <w:pPr>
        <w:ind w:left="720" w:firstLine="0"/>
        <w:jc w:val="both"/>
        <w:rPr>
          <w:rFonts w:ascii="맑은 고딕" w:eastAsia="맑은 고딕" w:hAnsi="맑은 고딕" w:cs="맑은 고딕"/>
          <w:b/>
        </w:rPr>
      </w:pPr>
      <w:r>
        <w:rPr>
          <w:rFonts w:ascii="맑은 고딕" w:eastAsia="맑은 고딕" w:hAnsi="맑은 고딕" w:cs="맑은 고딕"/>
          <w:b/>
          <w:sz w:val="20"/>
          <w:szCs w:val="20"/>
          <w:rtl w:val="off"/>
        </w:rPr>
        <w:t>5.2.1. 온라인 쇼핑몰 상품군별 거래액 (2019-2021) 시계열 분석 결과 및 시각화</w:t>
      </w:r>
    </w:p>
    <w:p>
      <w:pPr>
        <w:jc w:val="both"/>
        <w:rPr>
          <w:rFonts w:ascii="맑은 고딕" w:eastAsia="맑은 고딕" w:hAnsi="맑은 고딕" w:cs="맑은 고딕"/>
          <w:sz w:val="20"/>
          <w:szCs w:val="20"/>
        </w:rPr>
      </w:pPr>
      <w:r>
        <w:drawing>
          <wp:anchor distT="114300" distB="114300" distL="114300" distR="114300" behindDoc="0" locked="0" layoutInCell="1" simplePos="0" relativeHeight="0" allowOverlap="1" hidden="0">
            <wp:simplePos x="0" y="0"/>
            <wp:positionH relativeFrom="column">
              <wp:posOffset>-57149</wp:posOffset>
            </wp:positionH>
            <wp:positionV relativeFrom="paragraph">
              <wp:posOffset>219075</wp:posOffset>
            </wp:positionV>
            <wp:extent cx="5734050" cy="2264966"/>
            <wp:effectExtent l="9525" t="9525" r="9525" b="9525"/>
            <wp:wrapSquare wrapText="bothSides"/>
            <wp:docPr id="1033" name="shape1033"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5734050" cy="2264966"/>
                    </a:xfrm>
                    <a:prstGeom prst="rect"/>
                    <a:ln>
                      <a:solidFill>
                        <a:schemeClr val="lt1">
                          <a:alpha val="100000"/>
                        </a:schemeClr>
                      </a:solidFill>
                    </a:ln>
                  </pic:spPr>
                </pic:pic>
              </a:graphicData>
            </a:graphic>
          </wp:anchor>
        </w:drawing>
      </w:r>
    </w:p>
    <w:p>
      <w:pPr>
        <w:jc w:val="both"/>
        <w:rPr>
          <w:rFonts w:ascii="맑은 고딕" w:eastAsia="맑은 고딕" w:hAnsi="맑은 고딕" w:cs="맑은 고딕"/>
          <w:sz w:val="20"/>
          <w:szCs w:val="20"/>
        </w:rPr>
      </w:pPr>
      <w:r>
        <w:rPr>
          <w:rFonts w:ascii="맑은 고딕" w:eastAsia="맑은 고딕" w:hAnsi="맑은 고딕" w:cs="맑은 고딕"/>
          <w:sz w:val="20"/>
          <w:szCs w:val="20"/>
          <w:rtl w:val="off"/>
        </w:rPr>
        <w:t xml:space="preserve">#분석내용: 3개년에 걸친 온라인 쇼핑몰에서 취급하는 상품군별 거래액을 비교 분석했다. 총 23개의 상품군별 중 식품과 관련된 3개의 상품군(음·식료품, 농축수산물, 음식서비스)들의 거래액이 시간의 흐름에 따라 상승하고 있는 양상을 보인다. 특히 코로나19 범유행 전인 2019년도의 선 그래프에서는 음·식료품이 가장 많은 거래액을 나타내고 있다. </w:t>
      </w:r>
    </w:p>
    <w:p>
      <w:pPr>
        <w:jc w:val="both"/>
        <w:rPr>
          <w:rFonts w:ascii="맑은 고딕" w:eastAsia="맑은 고딕" w:hAnsi="맑은 고딕" w:cs="맑은 고딕"/>
          <w:sz w:val="20"/>
          <w:szCs w:val="20"/>
        </w:rPr>
      </w:pPr>
      <w:r>
        <w:rPr>
          <w:rFonts w:ascii="맑은 고딕" w:eastAsia="맑은 고딕" w:hAnsi="맑은 고딕" w:cs="맑은 고딕"/>
          <w:sz w:val="20"/>
          <w:szCs w:val="20"/>
          <w:rtl w:val="off"/>
        </w:rPr>
        <w:t xml:space="preserve"> 그러나 코로나19 발발 후인 2020년 상품군별 거래액을 살펴보면, 음식서비스 거래액이 급격하게 상승함으로써 음·식료품 거래액과 차이를 좁히고 하반기에는 선두를 차지하는 것을 관찰할 수 있다. 또한 식품을 제외한 다른 상품군들의 합계 평균 거래액은 2019년도와 비교했을 때 음식서비스 및 음·식료품 거래액보다 상대적으로 더 낮아진 수치를 보였다. </w:t>
      </w:r>
    </w:p>
    <w:p>
      <w:pPr>
        <w:jc w:val="both"/>
        <w:rPr>
          <w:lang w:eastAsia="ko-KR"/>
          <w:rFonts w:ascii="맑은 고딕" w:eastAsia="맑은 고딕" w:hAnsi="맑은 고딕" w:cs="맑은 고딕" w:hint="eastAsia"/>
          <w:sz w:val="20"/>
          <w:szCs w:val="20"/>
          <w:rtl w:val="off"/>
        </w:rPr>
      </w:pPr>
      <w:r>
        <w:rPr>
          <w:rFonts w:ascii="맑은 고딕" w:eastAsia="맑은 고딕" w:hAnsi="맑은 고딕" w:cs="맑은 고딕"/>
          <w:sz w:val="20"/>
          <w:szCs w:val="20"/>
          <w:rtl w:val="off"/>
        </w:rPr>
        <w:t xml:space="preserve"> 이러한 형태는 2021년도 그래프의 음식서비스 및 음·식료품 거래액과 농축수산물 및 합계평균 거래액에서도 비슷한 양상을 보인다. 2020년도의 거래액과 비교했을 때 상대적으로 더 증가하는 경향성을 나타내고 있다. 이를 통해 코로나19 발발 이후 온라인 쇼핑몰을 이용하는 소비자들이 음식서비스 및 음·식료품을 더 많이 소비하는 형태를 보인다는 것을 알 수 있다. </w:t>
      </w:r>
    </w:p>
    <w:p>
      <w:pPr>
        <w:jc w:val="both"/>
        <w:rPr>
          <w:rFonts w:ascii="맑은 고딕" w:eastAsia="맑은 고딕" w:hAnsi="맑은 고딕" w:cs="맑은 고딕"/>
          <w:sz w:val="20"/>
          <w:szCs w:val="20"/>
        </w:rPr>
      </w:pPr>
    </w:p>
    <w:p>
      <w:pPr>
        <w:jc w:val="center"/>
        <w:rPr>
          <w:rFonts w:ascii="맑은 고딕" w:eastAsia="맑은 고딕" w:hAnsi="맑은 고딕" w:cs="맑은 고딕"/>
          <w:sz w:val="20"/>
          <w:szCs w:val="20"/>
        </w:rPr>
      </w:pPr>
      <w:r>
        <w:rPr>
          <w:rFonts w:ascii="맑은 고딕" w:eastAsia="맑은 고딕" w:hAnsi="맑은 고딕" w:cs="맑은 고딕"/>
          <w:sz w:val="20"/>
          <w:szCs w:val="20"/>
        </w:rPr>
        <w:drawing>
          <wp:inline distT="30" distB="30" distL="30" distR="30">
            <wp:extent cx="4355125" cy="1866482"/>
            <wp:effectExtent l="9525" t="9525" r="9525" b="9525"/>
            <wp:docPr id="1034" name="shape1034"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4355125" cy="1866482"/>
                    </a:xfrm>
                    <a:prstGeom prst="rect"/>
                    <a:ln>
                      <a:solidFill>
                        <a:schemeClr val="lt1">
                          <a:alpha val="100000"/>
                        </a:schemeClr>
                      </a:solidFill>
                    </a:ln>
                  </pic:spPr>
                </pic:pic>
              </a:graphicData>
            </a:graphic>
          </wp:inline>
        </w:drawing>
      </w:r>
    </w:p>
    <w:p>
      <w:pPr>
        <w:jc w:val="center"/>
        <w:rPr>
          <w:rFonts w:ascii="맑은 고딕" w:eastAsia="맑은 고딕" w:hAnsi="맑은 고딕" w:cs="맑은 고딕"/>
          <w:sz w:val="20"/>
          <w:szCs w:val="20"/>
        </w:rPr>
      </w:pPr>
      <w:r>
        <w:rPr>
          <w:rFonts w:ascii="맑은 고딕" w:eastAsia="맑은 고딕" w:hAnsi="맑은 고딕" w:cs="맑은 고딕"/>
          <w:sz w:val="20"/>
          <w:szCs w:val="20"/>
          <w:rtl w:val="off"/>
        </w:rPr>
        <w:t xml:space="preserve"> </w:t>
      </w:r>
      <w:r>
        <w:rPr>
          <w:rFonts w:ascii="맑은 고딕" w:eastAsia="맑은 고딕" w:hAnsi="맑은 고딕" w:cs="맑은 고딕"/>
          <w:sz w:val="20"/>
          <w:szCs w:val="20"/>
        </w:rPr>
        <w:drawing>
          <wp:inline distT="30" distB="30" distL="30" distR="30">
            <wp:extent cx="4399200" cy="1885371"/>
            <wp:effectExtent l="9525" t="9525" r="9525" b="9525"/>
            <wp:docPr id="1035" name="shape1035"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4399200" cy="1885371"/>
                    </a:xfrm>
                    <a:prstGeom prst="rect"/>
                    <a:ln>
                      <a:solidFill>
                        <a:schemeClr val="lt1">
                          <a:alpha val="100000"/>
                        </a:schemeClr>
                      </a:solidFill>
                    </a:ln>
                  </pic:spPr>
                </pic:pic>
              </a:graphicData>
            </a:graphic>
          </wp:inline>
        </w:drawing>
      </w:r>
    </w:p>
    <w:p>
      <w:pPr>
        <w:jc w:val="center"/>
        <w:rPr>
          <w:rFonts w:ascii="맑은 고딕" w:eastAsia="맑은 고딕" w:hAnsi="맑은 고딕" w:cs="맑은 고딕"/>
          <w:sz w:val="20"/>
          <w:szCs w:val="20"/>
        </w:rPr>
      </w:pPr>
      <w:r>
        <w:rPr>
          <w:rFonts w:ascii="맑은 고딕" w:eastAsia="맑은 고딕" w:hAnsi="맑은 고딕" w:cs="맑은 고딕"/>
          <w:sz w:val="20"/>
          <w:szCs w:val="20"/>
          <w:rtl w:val="off"/>
        </w:rPr>
        <w:t xml:space="preserve"> </w:t>
      </w:r>
      <w:r>
        <w:rPr>
          <w:rFonts w:ascii="맑은 고딕" w:eastAsia="맑은 고딕" w:hAnsi="맑은 고딕" w:cs="맑은 고딕"/>
          <w:sz w:val="20"/>
          <w:szCs w:val="20"/>
        </w:rPr>
        <w:drawing>
          <wp:inline distT="30" distB="30" distL="30" distR="30">
            <wp:extent cx="4526050" cy="1939750"/>
            <wp:effectExtent l="9525" t="9525" r="9525" b="9525"/>
            <wp:docPr id="1036" name="shape1036"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4526050" cy="1939750"/>
                    </a:xfrm>
                    <a:prstGeom prst="rect"/>
                    <a:ln>
                      <a:solidFill>
                        <a:schemeClr val="lt1">
                          <a:alpha val="100000"/>
                        </a:schemeClr>
                      </a:solidFill>
                    </a:ln>
                  </pic:spPr>
                </pic:pic>
              </a:graphicData>
            </a:graphic>
          </wp:inline>
        </w:drawing>
      </w:r>
    </w:p>
    <w:p>
      <w:pPr>
        <w:jc w:val="both"/>
        <w:rPr>
          <w:rFonts w:ascii="맑은 고딕" w:eastAsia="맑은 고딕" w:hAnsi="맑은 고딕" w:cs="맑은 고딕"/>
          <w:sz w:val="20"/>
          <w:szCs w:val="20"/>
        </w:rPr>
      </w:pPr>
      <w:r>
        <w:rPr>
          <w:rFonts w:ascii="맑은 고딕" w:eastAsia="맑은 고딕" w:hAnsi="맑은 고딕" w:cs="맑은 고딕"/>
          <w:sz w:val="20"/>
          <w:szCs w:val="20"/>
          <w:rtl w:val="off"/>
        </w:rPr>
        <w:t xml:space="preserve"> 또한 코로나19 전후로 가공식품인 음식서비스, 음식료품의 온라인 거래액 증가추세를 비교하였다. 코로나19 이후 추세선의 기울기가 더 높게 분석되었기 때문에 코로나19여파로 인하여 온라인 소비가 더욱 활성화 되었음을 알수 있다.</w:t>
      </w:r>
    </w:p>
    <w:p>
      <w:pPr>
        <w:jc w:val="both"/>
        <w:rPr>
          <w:rFonts w:ascii="맑은 고딕" w:eastAsia="맑은 고딕" w:hAnsi="맑은 고딕" w:cs="맑은 고딕"/>
          <w:sz w:val="20"/>
          <w:szCs w:val="20"/>
        </w:rPr>
      </w:pPr>
    </w:p>
    <w:p>
      <w:pPr>
        <w:ind w:left="720" w:firstLine="0"/>
        <w:jc w:val="both"/>
        <w:rPr>
          <w:rFonts w:ascii="맑은 고딕" w:eastAsia="맑은 고딕" w:hAnsi="맑은 고딕" w:cs="맑은 고딕"/>
          <w:b/>
          <w:sz w:val="20"/>
          <w:szCs w:val="20"/>
        </w:rPr>
      </w:pPr>
      <w:r>
        <w:rPr>
          <w:rFonts w:ascii="맑은 고딕" w:eastAsia="맑은 고딕" w:hAnsi="맑은 고딕" w:cs="맑은 고딕"/>
          <w:b/>
          <w:sz w:val="20"/>
          <w:szCs w:val="20"/>
          <w:rtl w:val="off"/>
        </w:rPr>
        <w:t>5.2.2. 온라인식품 거래액과 코로나 확진자 수 (2020-2021) 상관분석 결과 및 시각화</w:t>
      </w:r>
    </w:p>
    <w:p>
      <w:pPr>
        <w:ind w:left="720" w:firstLine="0"/>
        <w:jc w:val="both"/>
        <w:rPr>
          <w:rFonts w:ascii="맑은 고딕" w:eastAsia="맑은 고딕" w:hAnsi="맑은 고딕" w:cs="맑은 고딕"/>
          <w:b/>
          <w:sz w:val="20"/>
          <w:szCs w:val="20"/>
        </w:rPr>
      </w:pPr>
    </w:p>
    <w:p>
      <w:pPr>
        <w:jc w:val="both"/>
        <w:rPr>
          <w:rFonts w:ascii="맑은 고딕" w:eastAsia="맑은 고딕" w:hAnsi="맑은 고딕" w:cs="맑은 고딕"/>
          <w:b/>
        </w:rPr>
      </w:pPr>
      <w:r>
        <w:rPr>
          <w:rFonts w:ascii="맑은 고딕" w:eastAsia="맑은 고딕" w:hAnsi="맑은 고딕" w:cs="맑은 고딕"/>
          <w:b/>
          <w:sz w:val="24"/>
          <w:szCs w:val="24"/>
        </w:rPr>
        <w:drawing>
          <wp:inline distT="180" distB="180" distL="180" distR="180">
            <wp:extent cx="5731200" cy="3898900"/>
            <wp:effectExtent l="9525" t="9525" r="9525" b="9525"/>
            <wp:docPr id="1037" name="shape1037"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5731200" cy="3898900"/>
                    </a:xfrm>
                    <a:prstGeom prst="rect"/>
                    <a:ln>
                      <a:solidFill>
                        <a:schemeClr val="lt1">
                          <a:alpha val="100000"/>
                        </a:schemeClr>
                      </a:solidFill>
                    </a:ln>
                  </pic:spPr>
                </pic:pic>
              </a:graphicData>
            </a:graphic>
          </wp:inline>
        </w:drawing>
      </w:r>
    </w:p>
    <w:p>
      <w:pPr>
        <w:jc w:val="both"/>
        <w:rPr>
          <w:rFonts w:ascii="맑은 고딕" w:eastAsia="맑은 고딕" w:hAnsi="맑은 고딕" w:cs="맑은 고딕"/>
          <w:sz w:val="20"/>
          <w:szCs w:val="20"/>
        </w:rPr>
      </w:pPr>
    </w:p>
    <w:p>
      <w:pPr>
        <w:jc w:val="both"/>
        <w:rPr>
          <w:rFonts w:ascii="맑은 고딕" w:eastAsia="맑은 고딕" w:hAnsi="맑은 고딕" w:cs="맑은 고딕"/>
          <w:sz w:val="20"/>
          <w:szCs w:val="20"/>
        </w:rPr>
      </w:pPr>
      <w:r>
        <w:rPr>
          <w:rFonts w:ascii="맑은 고딕" w:eastAsia="맑은 고딕" w:hAnsi="맑은 고딕" w:cs="맑은 고딕"/>
          <w:sz w:val="20"/>
          <w:szCs w:val="20"/>
          <w:rtl w:val="off"/>
        </w:rPr>
        <w:t>#분석내용: 코로나 확진자 수와 온라인 쇼핑몰 거래액을 상관분석했다. 2020년의 코로나 확진자 수는 모든 상품군의 합계평균, 음·식료품 그리고 음식서비스 거래액과 양의 상관관계를 갖고 있다. 그 중에서도 음식서비스 거래액은 가장 유의미한 Pearson 상관계수(0.847***)를 보인다. 농축수산물 거래액의 상관계수는 0.548이었다. 코로나19 발생 이후 온라인 쇼핑몰에서 모든 상품군의 거래액이 증가하는 추세를 보였다.</w:t>
      </w:r>
    </w:p>
    <w:p>
      <w:pPr>
        <w:jc w:val="both"/>
        <w:rPr>
          <w:rFonts w:ascii="맑은 고딕" w:eastAsia="맑은 고딕" w:hAnsi="맑은 고딕" w:cs="맑은 고딕"/>
          <w:sz w:val="20"/>
          <w:szCs w:val="20"/>
        </w:rPr>
      </w:pPr>
      <w:r>
        <w:rPr>
          <w:rFonts w:ascii="맑은 고딕" w:eastAsia="맑은 고딕" w:hAnsi="맑은 고딕" w:cs="맑은 고딕"/>
          <w:sz w:val="20"/>
          <w:szCs w:val="20"/>
          <w:rtl w:val="off"/>
        </w:rPr>
        <w:t xml:space="preserve"> 2021년 코로나 확진자수와 온라인 쇼핑몰 거래액의 상관성을 분석했을 때는 음·식료품(0.657*)과 음식서비스(0.812**)만이 유의미한 상관성을 나타냈다. 합계 평균의 상관계수는 0.617로 큰 상관성을 보이지 않았다. 코로나 확진자 수와 음·식료품 및 음식서비스 거래액과는 유의미한 상관관계를 보였다. </w:t>
      </w:r>
    </w:p>
    <w:p>
      <w:pPr>
        <w:jc w:val="both"/>
        <w:rPr>
          <w:rFonts w:ascii="맑은 고딕" w:eastAsia="맑은 고딕" w:hAnsi="맑은 고딕" w:cs="맑은 고딕"/>
          <w:b/>
        </w:rPr>
      </w:pPr>
      <w:r>
        <w:rPr>
          <w:rFonts w:ascii="맑은 고딕" w:eastAsia="맑은 고딕" w:hAnsi="맑은 고딕" w:cs="맑은 고딕"/>
          <w:sz w:val="20"/>
          <w:szCs w:val="20"/>
          <w:rtl w:val="off"/>
        </w:rPr>
        <w:t xml:space="preserve"> 이는 코로나 확진자 수가 늘어남에 따라 온라인 쇼핑몰에서의 타 거래액은 크게 증가하지 않았지만 음·식료품 및 음식서비스 상품군에서의 거래액이 상승했음을 보인다. 전년도(2020년)에 비해 식품군에서의 소비는 꾸준히 증가하는 추세에 있다고 추론할 수 있다. </w:t>
      </w:r>
    </w:p>
    <w:p>
      <w:pPr>
        <w:ind w:left="720" w:firstLine="0"/>
        <w:jc w:val="both"/>
        <w:rPr>
          <w:rFonts w:ascii="맑은 고딕" w:eastAsia="맑은 고딕" w:hAnsi="맑은 고딕" w:cs="맑은 고딕"/>
          <w:b/>
        </w:rPr>
      </w:pPr>
    </w:p>
    <w:p>
      <w:pPr>
        <w:ind w:left="720" w:firstLine="0"/>
        <w:jc w:val="both"/>
        <w:rPr>
          <w:rFonts w:ascii="맑은 고딕" w:eastAsia="맑은 고딕" w:hAnsi="맑은 고딕" w:cs="맑은 고딕"/>
          <w:b/>
          <w:sz w:val="20"/>
          <w:szCs w:val="20"/>
        </w:rPr>
      </w:pPr>
      <w:r>
        <w:rPr>
          <w:rFonts w:ascii="맑은 고딕" w:eastAsia="맑은 고딕" w:hAnsi="맑은 고딕" w:cs="맑은 고딕"/>
          <w:b/>
          <w:sz w:val="20"/>
          <w:szCs w:val="20"/>
          <w:rtl w:val="off"/>
        </w:rPr>
        <w:t>5.2.3. 온라인식품 거래액과 유행기별 코로나 확진자 수 (2020-2021) 상관분석</w:t>
      </w:r>
    </w:p>
    <w:p>
      <w:pPr>
        <w:ind w:left="720" w:firstLine="0"/>
        <w:jc w:val="both"/>
        <w:rPr>
          <w:rFonts w:ascii="맑은 고딕" w:eastAsia="맑은 고딕" w:hAnsi="맑은 고딕" w:cs="맑은 고딕"/>
          <w:b/>
          <w:sz w:val="20"/>
          <w:szCs w:val="20"/>
        </w:rPr>
      </w:pPr>
    </w:p>
    <w:p>
      <w:pPr>
        <w:jc w:val="both"/>
        <w:rPr>
          <w:rFonts w:ascii="맑은 고딕" w:eastAsia="맑은 고딕" w:hAnsi="맑은 고딕" w:cs="맑은 고딕"/>
          <w:sz w:val="20"/>
          <w:szCs w:val="20"/>
        </w:rPr>
      </w:pPr>
      <w:r>
        <w:rPr>
          <w:rFonts w:ascii="맑은 고딕" w:eastAsia="맑은 고딕" w:hAnsi="맑은 고딕" w:cs="맑은 고딕"/>
          <w:sz w:val="20"/>
          <w:szCs w:val="20"/>
          <w:rtl w:val="off"/>
        </w:rPr>
        <w:t xml:space="preserve">#분석내용: 총 4차 유행기(2020-2021)로 나눈 각 기간 동안 발생한 코로나 확진자 수와 온라인 식품 거래액을 상관분석했다. </w:t>
      </w:r>
    </w:p>
    <w:p>
      <w:pPr>
        <w:jc w:val="center"/>
        <w:rPr>
          <w:rFonts w:ascii="맑은 고딕" w:eastAsia="맑은 고딕" w:hAnsi="맑은 고딕" w:cs="맑은 고딕"/>
          <w:sz w:val="20"/>
          <w:szCs w:val="20"/>
        </w:rPr>
      </w:pPr>
    </w:p>
    <w:tbl>
      <w:tblPr>
        <w:tblStyle w:val="Table2"/>
        <w:tblW w:w="77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jc w:val="center"/>
        <w:tblLayout w:type="fixed"/>
      </w:tblPr>
      <w:tblGrid>
        <w:gridCol w:w="1755"/>
        <w:gridCol w:w="1500"/>
        <w:gridCol w:w="1500"/>
        <w:gridCol w:w="1500"/>
        <w:gridCol w:w="1500"/>
      </w:tblGrid>
      <w:tr>
        <w:trPr>
          <w:cantSplit/>
          <w:trHeight w:val="483" w:hRule="atLeast"/>
        </w:trPr>
        <w:tc>
          <w:tcPr>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vAlign w:val="top"/>
          </w:tcPr>
          <w:p>
            <w:pPr>
              <w:ind w:left="0" w:right="0" w:firstLine="0"/>
              <w:keepNext w:val="off"/>
              <w:keepLines w:val="off"/>
              <w:pageBreakBefore w:val="off"/>
              <w:widowControl w:val="off"/>
              <w:jc w:val="center"/>
              <w:pBdr>
                <w:between w:val="nil"/>
                <w:top w:val="nil"/>
                <w:left w:val="nil"/>
                <w:bottom w:val="nil"/>
                <w:right w:val="nil"/>
              </w:pBdr>
              <w:shd w:val="clear" w:color="auto" w:fill="auto"/>
              <w:spacing w:after="0" w:before="0" w:line="240" w:lineRule="auto"/>
              <w:rPr>
                <w:rFonts w:ascii="맑은 고딕" w:eastAsia="맑은 고딕" w:hAnsi="맑은 고딕" w:cs="맑은 고딕"/>
                <w:b/>
                <w:i/>
                <w:sz w:val="20"/>
                <w:szCs w:val="20"/>
              </w:rPr>
            </w:pPr>
            <w:r>
              <w:rPr>
                <w:rFonts w:ascii="맑은 고딕" w:eastAsia="맑은 고딕" w:hAnsi="맑은 고딕" w:cs="맑은 고딕"/>
                <w:b/>
                <w:i/>
                <w:sz w:val="20"/>
                <w:szCs w:val="20"/>
                <w:rtl w:val="off"/>
              </w:rPr>
              <w:t>유행기</w:t>
            </w:r>
          </w:p>
        </w:tc>
        <w:tc>
          <w:tcPr>
            <w:tcBorders>
              <w:top w:val="single" w:sz="12" w:space="0" w:color="000000"/>
              <w:left w:val="single" w:sz="12" w:space="0" w:color="000000"/>
              <w:bottom w:val="single" w:sz="12" w:space="0" w:color="000000"/>
            </w:tcBorders>
            <w:shd w:val="clear" w:color="auto" w:fill="auto"/>
            <w:tcMar>
              <w:top w:w="100" w:type="dxa"/>
              <w:left w:w="100" w:type="dxa"/>
              <w:bottom w:w="100" w:type="dxa"/>
              <w:right w:w="100" w:type="dxa"/>
            </w:tcMar>
            <w:vAlign w:val="top"/>
          </w:tcPr>
          <w:p>
            <w:pPr>
              <w:ind w:left="0" w:right="0" w:firstLine="0"/>
              <w:keepNext w:val="off"/>
              <w:keepLines w:val="off"/>
              <w:pageBreakBefore w:val="off"/>
              <w:widowControl w:val="off"/>
              <w:jc w:val="center"/>
              <w:pBdr>
                <w:between w:val="nil"/>
                <w:top w:val="nil"/>
                <w:left w:val="nil"/>
                <w:bottom w:val="nil"/>
                <w:right w:val="nil"/>
              </w:pBdr>
              <w:shd w:val="clear" w:color="auto" w:fill="auto"/>
              <w:spacing w:after="0" w:before="0" w:line="240" w:lineRule="auto"/>
              <w:rPr>
                <w:rFonts w:ascii="맑은 고딕" w:eastAsia="맑은 고딕" w:hAnsi="맑은 고딕" w:cs="맑은 고딕"/>
                <w:b/>
                <w:i/>
                <w:sz w:val="20"/>
                <w:szCs w:val="20"/>
              </w:rPr>
            </w:pPr>
            <w:r>
              <w:rPr>
                <w:rFonts w:ascii="맑은 고딕" w:eastAsia="맑은 고딕" w:hAnsi="맑은 고딕" w:cs="맑은 고딕"/>
                <w:b/>
                <w:i/>
                <w:sz w:val="20"/>
                <w:szCs w:val="20"/>
                <w:rtl w:val="off"/>
              </w:rPr>
              <w:t xml:space="preserve">합계평균 </w:t>
            </w:r>
          </w:p>
        </w:tc>
        <w:tc>
          <w:tcPr>
            <w:tcBorders>
              <w:top w:val="single" w:sz="12" w:space="0" w:color="000000"/>
              <w:bottom w:val="single" w:sz="12" w:space="0" w:color="000000"/>
            </w:tcBorders>
            <w:shd w:val="clear" w:color="auto" w:fill="auto"/>
            <w:tcMar>
              <w:top w:w="100" w:type="dxa"/>
              <w:left w:w="100" w:type="dxa"/>
              <w:bottom w:w="100" w:type="dxa"/>
              <w:right w:w="100" w:type="dxa"/>
            </w:tcMar>
            <w:vAlign w:val="top"/>
          </w:tcPr>
          <w:p>
            <w:pPr>
              <w:ind w:left="0" w:right="0" w:firstLine="0"/>
              <w:keepNext w:val="off"/>
              <w:keepLines w:val="off"/>
              <w:pageBreakBefore w:val="off"/>
              <w:widowControl w:val="off"/>
              <w:jc w:val="center"/>
              <w:pBdr>
                <w:between w:val="nil"/>
                <w:top w:val="nil"/>
                <w:left w:val="nil"/>
                <w:bottom w:val="nil"/>
                <w:right w:val="nil"/>
              </w:pBdr>
              <w:shd w:val="clear" w:color="auto" w:fill="auto"/>
              <w:spacing w:after="0" w:before="0" w:line="240" w:lineRule="auto"/>
              <w:rPr>
                <w:rFonts w:ascii="맑은 고딕" w:eastAsia="맑은 고딕" w:hAnsi="맑은 고딕" w:cs="맑은 고딕"/>
                <w:b/>
                <w:i/>
                <w:sz w:val="20"/>
                <w:szCs w:val="20"/>
              </w:rPr>
            </w:pPr>
            <w:r>
              <w:rPr>
                <w:rFonts w:ascii="맑은 고딕" w:eastAsia="맑은 고딕" w:hAnsi="맑은 고딕" w:cs="맑은 고딕"/>
                <w:b/>
                <w:i/>
                <w:sz w:val="20"/>
                <w:szCs w:val="20"/>
                <w:rtl w:val="off"/>
              </w:rPr>
              <w:t xml:space="preserve">음·식료품 </w:t>
            </w:r>
          </w:p>
        </w:tc>
        <w:tc>
          <w:tcPr>
            <w:tcBorders>
              <w:top w:val="single" w:sz="12" w:space="0" w:color="000000"/>
              <w:bottom w:val="single" w:sz="12" w:space="0" w:color="000000"/>
            </w:tcBorders>
            <w:shd w:val="clear" w:color="auto" w:fill="auto"/>
            <w:tcMar>
              <w:top w:w="100" w:type="dxa"/>
              <w:left w:w="100" w:type="dxa"/>
              <w:bottom w:w="100" w:type="dxa"/>
              <w:right w:w="100" w:type="dxa"/>
            </w:tcMar>
            <w:vAlign w:val="top"/>
          </w:tcPr>
          <w:p>
            <w:pPr>
              <w:ind w:left="0" w:right="0" w:firstLine="0"/>
              <w:keepNext w:val="off"/>
              <w:keepLines w:val="off"/>
              <w:pageBreakBefore w:val="off"/>
              <w:widowControl w:val="off"/>
              <w:jc w:val="center"/>
              <w:pBdr>
                <w:between w:val="nil"/>
                <w:top w:val="nil"/>
                <w:left w:val="nil"/>
                <w:bottom w:val="nil"/>
                <w:right w:val="nil"/>
              </w:pBdr>
              <w:shd w:val="clear" w:color="auto" w:fill="auto"/>
              <w:spacing w:after="0" w:before="0" w:line="240" w:lineRule="auto"/>
              <w:rPr>
                <w:rFonts w:ascii="맑은 고딕" w:eastAsia="맑은 고딕" w:hAnsi="맑은 고딕" w:cs="맑은 고딕"/>
                <w:b/>
                <w:i/>
                <w:sz w:val="20"/>
                <w:szCs w:val="20"/>
              </w:rPr>
            </w:pPr>
            <w:r>
              <w:rPr>
                <w:rFonts w:ascii="맑은 고딕" w:eastAsia="맑은 고딕" w:hAnsi="맑은 고딕" w:cs="맑은 고딕"/>
                <w:b/>
                <w:i/>
                <w:sz w:val="20"/>
                <w:szCs w:val="20"/>
                <w:rtl w:val="off"/>
              </w:rPr>
              <w:t xml:space="preserve">농축수산물 </w:t>
            </w:r>
          </w:p>
        </w:tc>
        <w:tc>
          <w:tcPr>
            <w:tcBorders>
              <w:top w:val="single" w:sz="12" w:space="0" w:color="000000"/>
              <w:bottom w:val="single" w:sz="12" w:space="0" w:color="000000"/>
              <w:right w:val="single" w:sz="12" w:space="0" w:color="000000"/>
            </w:tcBorders>
            <w:shd w:val="clear" w:color="auto" w:fill="auto"/>
            <w:tcMar>
              <w:top w:w="100" w:type="dxa"/>
              <w:left w:w="100" w:type="dxa"/>
              <w:bottom w:w="100" w:type="dxa"/>
              <w:right w:w="100" w:type="dxa"/>
            </w:tcMar>
            <w:vAlign w:val="top"/>
          </w:tcPr>
          <w:p>
            <w:pPr>
              <w:ind w:left="0" w:right="0" w:firstLine="0"/>
              <w:keepNext w:val="off"/>
              <w:keepLines w:val="off"/>
              <w:pageBreakBefore w:val="off"/>
              <w:widowControl w:val="off"/>
              <w:jc w:val="center"/>
              <w:pBdr>
                <w:between w:val="nil"/>
                <w:top w:val="nil"/>
                <w:left w:val="nil"/>
                <w:bottom w:val="nil"/>
                <w:right w:val="nil"/>
              </w:pBdr>
              <w:shd w:val="clear" w:color="auto" w:fill="auto"/>
              <w:spacing w:after="0" w:before="0" w:line="240" w:lineRule="auto"/>
              <w:rPr>
                <w:rFonts w:ascii="맑은 고딕" w:eastAsia="맑은 고딕" w:hAnsi="맑은 고딕" w:cs="맑은 고딕"/>
                <w:b/>
                <w:i/>
                <w:sz w:val="20"/>
                <w:szCs w:val="20"/>
              </w:rPr>
            </w:pPr>
            <w:r>
              <w:rPr>
                <w:rFonts w:ascii="맑은 고딕" w:eastAsia="맑은 고딕" w:hAnsi="맑은 고딕" w:cs="맑은 고딕"/>
                <w:b/>
                <w:i/>
                <w:sz w:val="20"/>
                <w:szCs w:val="20"/>
                <w:rtl w:val="off"/>
              </w:rPr>
              <w:t xml:space="preserve">음식서비스 </w:t>
            </w:r>
          </w:p>
        </w:tc>
      </w:tr>
      <w:tr>
        <w:trPr>
          <w:cantSplit/>
          <w:trHeight w:val="483" w:hRule="atLeast"/>
        </w:trPr>
        <w:tc>
          <w:tcPr>
            <w:tcBorders>
              <w:top w:val="single" w:sz="12" w:space="0" w:color="000000"/>
              <w:left w:val="single" w:sz="12" w:space="0" w:color="000000"/>
              <w:right w:val="single" w:sz="12" w:space="0" w:color="000000"/>
            </w:tcBorders>
            <w:shd w:val="clear" w:color="auto" w:fill="auto"/>
            <w:tcMar>
              <w:top w:w="100" w:type="dxa"/>
              <w:left w:w="100" w:type="dxa"/>
              <w:bottom w:w="100" w:type="dxa"/>
              <w:right w:w="100" w:type="dxa"/>
            </w:tcMar>
            <w:vAlign w:val="top"/>
          </w:tcPr>
          <w:p>
            <w:pPr>
              <w:ind w:left="0" w:right="0" w:firstLine="0"/>
              <w:keepNext w:val="off"/>
              <w:keepLines w:val="off"/>
              <w:pageBreakBefore w:val="off"/>
              <w:widowControl w:val="off"/>
              <w:jc w:val="center"/>
              <w:pBdr>
                <w:between w:val="nil"/>
                <w:top w:val="nil"/>
                <w:left w:val="nil"/>
                <w:bottom w:val="nil"/>
                <w:right w:val="nil"/>
              </w:pBdr>
              <w:shd w:val="clear" w:color="auto" w:fill="auto"/>
              <w:spacing w:after="0" w:before="0" w:line="240" w:lineRule="auto"/>
              <w:rPr>
                <w:rFonts w:ascii="맑은 고딕" w:eastAsia="맑은 고딕" w:hAnsi="맑은 고딕" w:cs="맑은 고딕"/>
                <w:sz w:val="20"/>
                <w:szCs w:val="20"/>
              </w:rPr>
            </w:pPr>
            <w:r>
              <w:rPr>
                <w:rFonts w:ascii="맑은 고딕" w:eastAsia="맑은 고딕" w:hAnsi="맑은 고딕" w:cs="맑은 고딕"/>
                <w:b/>
                <w:sz w:val="20"/>
                <w:szCs w:val="20"/>
                <w:rtl w:val="off"/>
              </w:rPr>
              <w:t>1차</w:t>
            </w:r>
            <w:r>
              <w:rPr>
                <w:rFonts w:ascii="맑은 고딕" w:eastAsia="맑은 고딕" w:hAnsi="맑은 고딕" w:cs="맑은 고딕"/>
                <w:sz w:val="20"/>
                <w:szCs w:val="20"/>
                <w:rtl w:val="off"/>
              </w:rPr>
              <w:t xml:space="preserve"> (1~3월)</w:t>
            </w:r>
          </w:p>
        </w:tc>
        <w:tc>
          <w:tcPr>
            <w:tcBorders>
              <w:top w:val="single" w:sz="12" w:space="0" w:color="000000"/>
              <w:left w:val="single" w:sz="12" w:space="0" w:color="000000"/>
            </w:tcBorders>
            <w:shd w:val="clear" w:color="auto" w:fill="auto"/>
            <w:tcMar>
              <w:top w:w="100" w:type="dxa"/>
              <w:left w:w="100" w:type="dxa"/>
              <w:bottom w:w="100" w:type="dxa"/>
              <w:right w:w="100" w:type="dxa"/>
            </w:tcMar>
            <w:vAlign w:val="top"/>
          </w:tcPr>
          <w:p>
            <w:pPr>
              <w:ind w:left="0" w:right="0" w:firstLine="0"/>
              <w:keepNext w:val="off"/>
              <w:keepLines w:val="off"/>
              <w:pageBreakBefore w:val="off"/>
              <w:widowControl w:val="off"/>
              <w:jc w:val="center"/>
              <w:pBdr>
                <w:between w:val="nil"/>
                <w:top w:val="nil"/>
                <w:left w:val="nil"/>
                <w:bottom w:val="nil"/>
                <w:right w:val="nil"/>
              </w:pBdr>
              <w:shd w:val="clear" w:color="auto" w:fill="auto"/>
              <w:spacing w:after="0" w:before="0" w:line="240" w:lineRule="auto"/>
              <w:rPr>
                <w:rFonts w:ascii="맑은 고딕" w:eastAsia="맑은 고딕" w:hAnsi="맑은 고딕" w:cs="맑은 고딕"/>
                <w:sz w:val="20"/>
                <w:szCs w:val="20"/>
              </w:rPr>
            </w:pPr>
            <w:r>
              <w:rPr>
                <w:rFonts w:ascii="맑은 고딕" w:eastAsia="맑은 고딕" w:hAnsi="맑은 고딕" w:cs="맑은 고딕"/>
                <w:sz w:val="20"/>
                <w:szCs w:val="20"/>
                <w:rtl w:val="off"/>
              </w:rPr>
              <w:t>0.33</w:t>
            </w:r>
          </w:p>
        </w:tc>
        <w:tc>
          <w:tcPr>
            <w:tcBorders>
              <w:top w:val="single" w:sz="12" w:space="0" w:color="000000"/>
            </w:tcBorders>
            <w:shd w:val="clear" w:color="auto" w:fill="auto"/>
            <w:tcMar>
              <w:top w:w="100" w:type="dxa"/>
              <w:left w:w="100" w:type="dxa"/>
              <w:bottom w:w="100" w:type="dxa"/>
              <w:right w:w="100" w:type="dxa"/>
            </w:tcMar>
            <w:vAlign w:val="top"/>
          </w:tcPr>
          <w:p>
            <w:pPr>
              <w:ind w:left="0" w:right="0" w:firstLine="0"/>
              <w:keepNext w:val="off"/>
              <w:keepLines w:val="off"/>
              <w:pageBreakBefore w:val="off"/>
              <w:widowControl w:val="off"/>
              <w:jc w:val="center"/>
              <w:pBdr>
                <w:between w:val="nil"/>
                <w:top w:val="nil"/>
                <w:left w:val="nil"/>
                <w:bottom w:val="nil"/>
                <w:right w:val="nil"/>
              </w:pBdr>
              <w:shd w:val="clear" w:color="auto" w:fill="auto"/>
              <w:spacing w:after="0" w:before="0" w:line="240" w:lineRule="auto"/>
              <w:rPr>
                <w:rFonts w:ascii="맑은 고딕" w:eastAsia="맑은 고딕" w:hAnsi="맑은 고딕" w:cs="맑은 고딕"/>
                <w:sz w:val="20"/>
                <w:szCs w:val="20"/>
              </w:rPr>
            </w:pPr>
            <w:r>
              <w:rPr>
                <w:rFonts w:ascii="맑은 고딕" w:eastAsia="맑은 고딕" w:hAnsi="맑은 고딕" w:cs="맑은 고딕"/>
                <w:sz w:val="20"/>
                <w:szCs w:val="20"/>
                <w:rtl w:val="off"/>
              </w:rPr>
              <w:t>0.94</w:t>
            </w:r>
          </w:p>
        </w:tc>
        <w:tc>
          <w:tcPr>
            <w:tcBorders>
              <w:top w:val="single" w:sz="12" w:space="0" w:color="000000"/>
            </w:tcBorders>
            <w:shd w:val="clear" w:color="auto" w:fill="auto"/>
            <w:tcMar>
              <w:top w:w="100" w:type="dxa"/>
              <w:left w:w="100" w:type="dxa"/>
              <w:bottom w:w="100" w:type="dxa"/>
              <w:right w:w="100" w:type="dxa"/>
            </w:tcMar>
            <w:vAlign w:val="top"/>
          </w:tcPr>
          <w:p>
            <w:pPr>
              <w:ind w:left="0" w:right="0" w:firstLine="0"/>
              <w:keepNext w:val="off"/>
              <w:keepLines w:val="off"/>
              <w:pageBreakBefore w:val="off"/>
              <w:widowControl w:val="off"/>
              <w:jc w:val="center"/>
              <w:pBdr>
                <w:between w:val="nil"/>
                <w:top w:val="nil"/>
                <w:left w:val="nil"/>
                <w:bottom w:val="nil"/>
                <w:right w:val="nil"/>
              </w:pBdr>
              <w:shd w:val="clear" w:color="auto" w:fill="auto"/>
              <w:spacing w:after="0" w:before="0" w:line="240" w:lineRule="auto"/>
              <w:rPr>
                <w:rFonts w:ascii="맑은 고딕" w:eastAsia="맑은 고딕" w:hAnsi="맑은 고딕" w:cs="맑은 고딕"/>
                <w:sz w:val="20"/>
                <w:szCs w:val="20"/>
              </w:rPr>
            </w:pPr>
            <w:r>
              <w:rPr>
                <w:rFonts w:ascii="맑은 고딕" w:eastAsia="맑은 고딕" w:hAnsi="맑은 고딕" w:cs="맑은 고딕"/>
                <w:sz w:val="20"/>
                <w:szCs w:val="20"/>
                <w:rtl w:val="off"/>
              </w:rPr>
              <w:t>0.50</w:t>
            </w:r>
          </w:p>
        </w:tc>
        <w:tc>
          <w:tcPr>
            <w:tcBorders>
              <w:top w:val="single" w:sz="12" w:space="0" w:color="000000"/>
              <w:right w:val="single" w:sz="12" w:space="0" w:color="000000"/>
            </w:tcBorders>
            <w:shd w:val="clear" w:color="auto" w:fill="auto"/>
            <w:tcMar>
              <w:top w:w="100" w:type="dxa"/>
              <w:left w:w="100" w:type="dxa"/>
              <w:bottom w:w="100" w:type="dxa"/>
              <w:right w:w="100" w:type="dxa"/>
            </w:tcMar>
            <w:vAlign w:val="top"/>
          </w:tcPr>
          <w:p>
            <w:pPr>
              <w:ind w:left="0" w:right="0" w:firstLine="0"/>
              <w:keepNext w:val="off"/>
              <w:keepLines w:val="off"/>
              <w:pageBreakBefore w:val="off"/>
              <w:widowControl w:val="off"/>
              <w:jc w:val="center"/>
              <w:pBdr>
                <w:between w:val="nil"/>
                <w:top w:val="nil"/>
                <w:left w:val="nil"/>
                <w:bottom w:val="nil"/>
                <w:right w:val="nil"/>
              </w:pBdr>
              <w:shd w:val="clear" w:color="auto" w:fill="auto"/>
              <w:spacing w:after="0" w:before="0" w:line="240" w:lineRule="auto"/>
              <w:rPr>
                <w:rFonts w:ascii="맑은 고딕" w:eastAsia="맑은 고딕" w:hAnsi="맑은 고딕" w:cs="맑은 고딕"/>
                <w:sz w:val="20"/>
                <w:szCs w:val="20"/>
              </w:rPr>
            </w:pPr>
            <w:r>
              <w:rPr>
                <w:rFonts w:ascii="맑은 고딕" w:eastAsia="맑은 고딕" w:hAnsi="맑은 고딕" w:cs="맑은 고딕"/>
                <w:sz w:val="20"/>
                <w:szCs w:val="20"/>
                <w:rtl w:val="off"/>
              </w:rPr>
              <w:t>0.97</w:t>
            </w:r>
          </w:p>
        </w:tc>
      </w:tr>
      <w:tr>
        <w:trPr>
          <w:cantSplit/>
          <w:trHeight w:val="483" w:hRule="atLeast"/>
        </w:trPr>
        <w:tc>
          <w:tcPr>
            <w:tcBorders>
              <w:left w:val="single" w:sz="12" w:space="0" w:color="000000"/>
              <w:right w:val="single" w:sz="12" w:space="0" w:color="000000"/>
            </w:tcBorders>
            <w:shd w:val="clear" w:color="auto" w:fill="auto"/>
            <w:tcMar>
              <w:top w:w="100" w:type="dxa"/>
              <w:left w:w="100" w:type="dxa"/>
              <w:bottom w:w="100" w:type="dxa"/>
              <w:right w:w="100" w:type="dxa"/>
            </w:tcMar>
            <w:vAlign w:val="top"/>
          </w:tcPr>
          <w:p>
            <w:pPr>
              <w:ind w:left="0" w:right="0" w:firstLine="0"/>
              <w:keepNext w:val="off"/>
              <w:keepLines w:val="off"/>
              <w:pageBreakBefore w:val="off"/>
              <w:widowControl w:val="off"/>
              <w:jc w:val="center"/>
              <w:pBdr>
                <w:between w:val="nil"/>
                <w:top w:val="nil"/>
                <w:left w:val="nil"/>
                <w:bottom w:val="nil"/>
                <w:right w:val="nil"/>
              </w:pBdr>
              <w:shd w:val="clear" w:color="auto" w:fill="auto"/>
              <w:spacing w:after="0" w:before="0" w:line="240" w:lineRule="auto"/>
              <w:rPr>
                <w:rFonts w:ascii="맑은 고딕" w:eastAsia="맑은 고딕" w:hAnsi="맑은 고딕" w:cs="맑은 고딕"/>
                <w:sz w:val="20"/>
                <w:szCs w:val="20"/>
              </w:rPr>
            </w:pPr>
            <w:r>
              <w:rPr>
                <w:rFonts w:ascii="맑은 고딕" w:eastAsia="맑은 고딕" w:hAnsi="맑은 고딕" w:cs="맑은 고딕"/>
                <w:b/>
                <w:sz w:val="20"/>
                <w:szCs w:val="20"/>
                <w:rtl w:val="off"/>
              </w:rPr>
              <w:t>2차</w:t>
            </w:r>
            <w:r>
              <w:rPr>
                <w:rFonts w:ascii="맑은 고딕" w:eastAsia="맑은 고딕" w:hAnsi="맑은 고딕" w:cs="맑은 고딕"/>
                <w:sz w:val="20"/>
                <w:szCs w:val="20"/>
                <w:rtl w:val="off"/>
              </w:rPr>
              <w:t xml:space="preserve"> (9~12월)</w:t>
            </w:r>
          </w:p>
        </w:tc>
        <w:tc>
          <w:tcPr>
            <w:tcBorders>
              <w:left w:val="single" w:sz="12" w:space="0" w:color="000000"/>
            </w:tcBorders>
            <w:shd w:val="clear" w:color="auto" w:fill="auto"/>
            <w:tcMar>
              <w:top w:w="100" w:type="dxa"/>
              <w:left w:w="100" w:type="dxa"/>
              <w:bottom w:w="100" w:type="dxa"/>
              <w:right w:w="100" w:type="dxa"/>
            </w:tcMar>
            <w:vAlign w:val="top"/>
          </w:tcPr>
          <w:p>
            <w:pPr>
              <w:ind w:left="0" w:right="0" w:firstLine="0"/>
              <w:keepNext w:val="off"/>
              <w:keepLines w:val="off"/>
              <w:pageBreakBefore w:val="off"/>
              <w:widowControl w:val="off"/>
              <w:jc w:val="center"/>
              <w:pBdr>
                <w:between w:val="nil"/>
                <w:top w:val="nil"/>
                <w:left w:val="nil"/>
                <w:bottom w:val="nil"/>
                <w:right w:val="nil"/>
              </w:pBdr>
              <w:shd w:val="clear" w:color="auto" w:fill="auto"/>
              <w:spacing w:after="0" w:before="0" w:line="240" w:lineRule="auto"/>
              <w:rPr>
                <w:rFonts w:ascii="맑은 고딕" w:eastAsia="맑은 고딕" w:hAnsi="맑은 고딕" w:cs="맑은 고딕"/>
                <w:sz w:val="20"/>
                <w:szCs w:val="20"/>
              </w:rPr>
            </w:pPr>
            <w:r>
              <w:rPr>
                <w:rFonts w:ascii="맑은 고딕" w:eastAsia="맑은 고딕" w:hAnsi="맑은 고딕" w:cs="맑은 고딕"/>
                <w:sz w:val="20"/>
                <w:szCs w:val="20"/>
                <w:rtl w:val="off"/>
              </w:rPr>
              <w:t>0.93</w:t>
            </w:r>
          </w:p>
        </w:tc>
        <w:tc>
          <w:tcPr>
            <w:shd w:val="clear" w:color="auto" w:fill="auto"/>
            <w:tcMar>
              <w:top w:w="100" w:type="dxa"/>
              <w:left w:w="100" w:type="dxa"/>
              <w:bottom w:w="100" w:type="dxa"/>
              <w:right w:w="100" w:type="dxa"/>
            </w:tcMar>
            <w:vAlign w:val="top"/>
          </w:tcPr>
          <w:p>
            <w:pPr>
              <w:ind w:left="0" w:right="0" w:firstLine="0"/>
              <w:keepNext w:val="off"/>
              <w:keepLines w:val="off"/>
              <w:pageBreakBefore w:val="off"/>
              <w:widowControl w:val="off"/>
              <w:jc w:val="center"/>
              <w:pBdr>
                <w:between w:val="nil"/>
                <w:top w:val="nil"/>
                <w:left w:val="nil"/>
                <w:bottom w:val="nil"/>
                <w:right w:val="nil"/>
              </w:pBdr>
              <w:shd w:val="clear" w:color="auto" w:fill="auto"/>
              <w:spacing w:after="0" w:before="0" w:line="240" w:lineRule="auto"/>
              <w:rPr>
                <w:rFonts w:ascii="맑은 고딕" w:eastAsia="맑은 고딕" w:hAnsi="맑은 고딕" w:cs="맑은 고딕"/>
                <w:sz w:val="20"/>
                <w:szCs w:val="20"/>
              </w:rPr>
            </w:pPr>
            <w:r>
              <w:rPr>
                <w:rFonts w:ascii="맑은 고딕" w:eastAsia="맑은 고딕" w:hAnsi="맑은 고딕" w:cs="맑은 고딕"/>
                <w:sz w:val="20"/>
                <w:szCs w:val="20"/>
                <w:rtl w:val="off"/>
              </w:rPr>
              <w:t>0.51</w:t>
            </w:r>
          </w:p>
        </w:tc>
        <w:tc>
          <w:tcPr>
            <w:shd w:val="clear" w:color="auto" w:fill="auto"/>
            <w:tcMar>
              <w:top w:w="100" w:type="dxa"/>
              <w:left w:w="100" w:type="dxa"/>
              <w:bottom w:w="100" w:type="dxa"/>
              <w:right w:w="100" w:type="dxa"/>
            </w:tcMar>
            <w:vAlign w:val="top"/>
          </w:tcPr>
          <w:p>
            <w:pPr>
              <w:ind w:left="0" w:right="0" w:firstLine="0"/>
              <w:keepNext w:val="off"/>
              <w:keepLines w:val="off"/>
              <w:pageBreakBefore w:val="off"/>
              <w:widowControl w:val="off"/>
              <w:jc w:val="center"/>
              <w:pBdr>
                <w:between w:val="nil"/>
                <w:top w:val="nil"/>
                <w:left w:val="nil"/>
                <w:bottom w:val="nil"/>
                <w:right w:val="nil"/>
              </w:pBdr>
              <w:shd w:val="clear" w:color="auto" w:fill="auto"/>
              <w:spacing w:after="0" w:before="0" w:line="240" w:lineRule="auto"/>
              <w:rPr>
                <w:rFonts w:ascii="맑은 고딕" w:eastAsia="맑은 고딕" w:hAnsi="맑은 고딕" w:cs="맑은 고딕"/>
                <w:sz w:val="20"/>
                <w:szCs w:val="20"/>
              </w:rPr>
            </w:pPr>
            <w:r>
              <w:rPr>
                <w:rFonts w:ascii="맑은 고딕" w:eastAsia="맑은 고딕" w:hAnsi="맑은 고딕" w:cs="맑은 고딕"/>
                <w:sz w:val="20"/>
                <w:szCs w:val="20"/>
                <w:rtl w:val="off"/>
              </w:rPr>
              <w:t>0.25</w:t>
            </w:r>
          </w:p>
        </w:tc>
        <w:tc>
          <w:tcPr>
            <w:tcBorders>
              <w:right w:val="single" w:sz="12" w:space="0" w:color="000000"/>
            </w:tcBorders>
            <w:shd w:val="clear" w:color="auto" w:fill="auto"/>
            <w:tcMar>
              <w:top w:w="100" w:type="dxa"/>
              <w:left w:w="100" w:type="dxa"/>
              <w:bottom w:w="100" w:type="dxa"/>
              <w:right w:w="100" w:type="dxa"/>
            </w:tcMar>
            <w:vAlign w:val="top"/>
          </w:tcPr>
          <w:p>
            <w:pPr>
              <w:ind w:left="0" w:right="0" w:firstLine="0"/>
              <w:keepNext w:val="off"/>
              <w:keepLines w:val="off"/>
              <w:pageBreakBefore w:val="off"/>
              <w:widowControl w:val="off"/>
              <w:jc w:val="center"/>
              <w:pBdr>
                <w:between w:val="nil"/>
                <w:top w:val="nil"/>
                <w:left w:val="nil"/>
                <w:bottom w:val="nil"/>
                <w:right w:val="nil"/>
              </w:pBdr>
              <w:shd w:val="clear" w:color="auto" w:fill="auto"/>
              <w:spacing w:after="0" w:before="0" w:line="240" w:lineRule="auto"/>
              <w:rPr>
                <w:rFonts w:ascii="맑은 고딕" w:eastAsia="맑은 고딕" w:hAnsi="맑은 고딕" w:cs="맑은 고딕"/>
                <w:sz w:val="20"/>
                <w:szCs w:val="20"/>
              </w:rPr>
            </w:pPr>
            <w:r>
              <w:rPr>
                <w:rFonts w:ascii="맑은 고딕" w:eastAsia="맑은 고딕" w:hAnsi="맑은 고딕" w:cs="맑은 고딕"/>
                <w:sz w:val="20"/>
                <w:szCs w:val="20"/>
                <w:rtl w:val="off"/>
              </w:rPr>
              <w:t>0.99</w:t>
            </w:r>
          </w:p>
        </w:tc>
      </w:tr>
      <w:tr>
        <w:trPr>
          <w:cantSplit/>
          <w:trHeight w:val="483" w:hRule="atLeast"/>
        </w:trPr>
        <w:tc>
          <w:tcPr>
            <w:tcBorders>
              <w:left w:val="single" w:sz="12" w:space="0" w:color="000000"/>
              <w:right w:val="single" w:sz="12" w:space="0" w:color="000000"/>
            </w:tcBorders>
            <w:shd w:val="clear" w:color="auto" w:fill="auto"/>
            <w:tcMar>
              <w:top w:w="100" w:type="dxa"/>
              <w:left w:w="100" w:type="dxa"/>
              <w:bottom w:w="100" w:type="dxa"/>
              <w:right w:w="100" w:type="dxa"/>
            </w:tcMar>
            <w:vAlign w:val="top"/>
          </w:tcPr>
          <w:p>
            <w:pPr>
              <w:ind w:left="0" w:right="0" w:firstLine="0"/>
              <w:keepNext w:val="off"/>
              <w:keepLines w:val="off"/>
              <w:pageBreakBefore w:val="off"/>
              <w:widowControl w:val="off"/>
              <w:jc w:val="center"/>
              <w:pBdr>
                <w:between w:val="nil"/>
                <w:top w:val="nil"/>
                <w:left w:val="nil"/>
                <w:bottom w:val="nil"/>
                <w:right w:val="nil"/>
              </w:pBdr>
              <w:shd w:val="clear" w:color="auto" w:fill="auto"/>
              <w:spacing w:after="0" w:before="0" w:line="240" w:lineRule="auto"/>
              <w:rPr>
                <w:rFonts w:ascii="맑은 고딕" w:eastAsia="맑은 고딕" w:hAnsi="맑은 고딕" w:cs="맑은 고딕"/>
                <w:sz w:val="20"/>
                <w:szCs w:val="20"/>
              </w:rPr>
            </w:pPr>
            <w:r>
              <w:rPr>
                <w:rFonts w:ascii="맑은 고딕" w:eastAsia="맑은 고딕" w:hAnsi="맑은 고딕" w:cs="맑은 고딕"/>
                <w:b/>
                <w:sz w:val="20"/>
                <w:szCs w:val="20"/>
                <w:rtl w:val="off"/>
              </w:rPr>
              <w:t>3차</w:t>
            </w:r>
            <w:r>
              <w:rPr>
                <w:rFonts w:ascii="맑은 고딕" w:eastAsia="맑은 고딕" w:hAnsi="맑은 고딕" w:cs="맑은 고딕"/>
                <w:sz w:val="20"/>
                <w:szCs w:val="20"/>
                <w:rtl w:val="off"/>
              </w:rPr>
              <w:t xml:space="preserve"> (1~6월)</w:t>
            </w:r>
          </w:p>
        </w:tc>
        <w:tc>
          <w:tcPr>
            <w:tcBorders>
              <w:left w:val="single" w:sz="12" w:space="0" w:color="000000"/>
            </w:tcBorders>
            <w:shd w:val="clear" w:color="auto" w:fill="auto"/>
            <w:tcMar>
              <w:top w:w="100" w:type="dxa"/>
              <w:left w:w="100" w:type="dxa"/>
              <w:bottom w:w="100" w:type="dxa"/>
              <w:right w:w="100" w:type="dxa"/>
            </w:tcMar>
            <w:vAlign w:val="top"/>
          </w:tcPr>
          <w:p>
            <w:pPr>
              <w:ind w:left="0" w:right="0" w:firstLine="0"/>
              <w:keepNext w:val="off"/>
              <w:keepLines w:val="off"/>
              <w:pageBreakBefore w:val="off"/>
              <w:widowControl w:val="off"/>
              <w:jc w:val="center"/>
              <w:pBdr>
                <w:between w:val="nil"/>
                <w:top w:val="nil"/>
                <w:left w:val="nil"/>
                <w:bottom w:val="nil"/>
                <w:right w:val="nil"/>
              </w:pBdr>
              <w:shd w:val="clear" w:color="auto" w:fill="auto"/>
              <w:spacing w:after="0" w:before="0" w:line="240" w:lineRule="auto"/>
              <w:rPr>
                <w:rFonts w:ascii="맑은 고딕" w:eastAsia="맑은 고딕" w:hAnsi="맑은 고딕" w:cs="맑은 고딕"/>
                <w:sz w:val="20"/>
                <w:szCs w:val="20"/>
              </w:rPr>
            </w:pPr>
            <w:r>
              <w:rPr>
                <w:rFonts w:ascii="맑은 고딕" w:eastAsia="맑은 고딕" w:hAnsi="맑은 고딕" w:cs="맑은 고딕"/>
                <w:sz w:val="20"/>
                <w:szCs w:val="20"/>
                <w:rtl w:val="off"/>
              </w:rPr>
              <w:t>0.41</w:t>
            </w:r>
          </w:p>
        </w:tc>
        <w:tc>
          <w:tcPr>
            <w:shd w:val="clear" w:color="auto" w:fill="auto"/>
            <w:tcMar>
              <w:top w:w="100" w:type="dxa"/>
              <w:left w:w="100" w:type="dxa"/>
              <w:bottom w:w="100" w:type="dxa"/>
              <w:right w:w="100" w:type="dxa"/>
            </w:tcMar>
            <w:vAlign w:val="top"/>
          </w:tcPr>
          <w:p>
            <w:pPr>
              <w:ind w:left="0" w:right="0" w:firstLine="0"/>
              <w:keepNext w:val="off"/>
              <w:keepLines w:val="off"/>
              <w:pageBreakBefore w:val="off"/>
              <w:widowControl w:val="off"/>
              <w:jc w:val="center"/>
              <w:pBdr>
                <w:between w:val="nil"/>
                <w:top w:val="nil"/>
                <w:left w:val="nil"/>
                <w:bottom w:val="nil"/>
                <w:right w:val="nil"/>
              </w:pBdr>
              <w:shd w:val="clear" w:color="auto" w:fill="auto"/>
              <w:spacing w:after="0" w:before="0" w:line="240" w:lineRule="auto"/>
              <w:rPr>
                <w:rFonts w:ascii="맑은 고딕" w:eastAsia="맑은 고딕" w:hAnsi="맑은 고딕" w:cs="맑은 고딕"/>
                <w:sz w:val="20"/>
                <w:szCs w:val="20"/>
              </w:rPr>
            </w:pPr>
            <w:r>
              <w:rPr>
                <w:rFonts w:ascii="맑은 고딕" w:eastAsia="맑은 고딕" w:hAnsi="맑은 고딕" w:cs="맑은 고딕"/>
                <w:sz w:val="20"/>
                <w:szCs w:val="20"/>
                <w:rtl w:val="off"/>
              </w:rPr>
              <w:t>0.34</w:t>
            </w:r>
          </w:p>
        </w:tc>
        <w:tc>
          <w:tcPr>
            <w:shd w:val="clear" w:color="auto" w:fill="auto"/>
            <w:tcMar>
              <w:top w:w="100" w:type="dxa"/>
              <w:left w:w="100" w:type="dxa"/>
              <w:bottom w:w="100" w:type="dxa"/>
              <w:right w:w="100" w:type="dxa"/>
            </w:tcMar>
            <w:vAlign w:val="top"/>
          </w:tcPr>
          <w:p>
            <w:pPr>
              <w:ind w:left="0" w:right="0" w:firstLine="0"/>
              <w:keepNext w:val="off"/>
              <w:keepLines w:val="off"/>
              <w:pageBreakBefore w:val="off"/>
              <w:widowControl w:val="off"/>
              <w:jc w:val="center"/>
              <w:pBdr>
                <w:between w:val="nil"/>
                <w:top w:val="nil"/>
                <w:left w:val="nil"/>
                <w:bottom w:val="nil"/>
                <w:right w:val="nil"/>
              </w:pBdr>
              <w:shd w:val="clear" w:color="auto" w:fill="auto"/>
              <w:spacing w:after="0" w:before="0" w:line="240" w:lineRule="auto"/>
              <w:rPr>
                <w:rFonts w:ascii="맑은 고딕" w:eastAsia="맑은 고딕" w:hAnsi="맑은 고딕" w:cs="맑은 고딕"/>
                <w:sz w:val="20"/>
                <w:szCs w:val="20"/>
              </w:rPr>
            </w:pPr>
            <w:r>
              <w:rPr>
                <w:rFonts w:ascii="맑은 고딕" w:eastAsia="맑은 고딕" w:hAnsi="맑은 고딕" w:cs="맑은 고딕"/>
                <w:sz w:val="20"/>
                <w:szCs w:val="20"/>
                <w:rtl w:val="off"/>
              </w:rPr>
              <w:t>-0.28</w:t>
            </w:r>
          </w:p>
        </w:tc>
        <w:tc>
          <w:tcPr>
            <w:tcBorders>
              <w:right w:val="single" w:sz="12" w:space="0" w:color="000000"/>
            </w:tcBorders>
            <w:shd w:val="clear" w:color="auto" w:fill="auto"/>
            <w:tcMar>
              <w:top w:w="100" w:type="dxa"/>
              <w:left w:w="100" w:type="dxa"/>
              <w:bottom w:w="100" w:type="dxa"/>
              <w:right w:w="100" w:type="dxa"/>
            </w:tcMar>
            <w:vAlign w:val="top"/>
          </w:tcPr>
          <w:p>
            <w:pPr>
              <w:ind w:left="0" w:right="0" w:firstLine="0"/>
              <w:keepNext w:val="off"/>
              <w:keepLines w:val="off"/>
              <w:pageBreakBefore w:val="off"/>
              <w:widowControl w:val="off"/>
              <w:jc w:val="center"/>
              <w:pBdr>
                <w:between w:val="nil"/>
                <w:top w:val="nil"/>
                <w:left w:val="nil"/>
                <w:bottom w:val="nil"/>
                <w:right w:val="nil"/>
              </w:pBdr>
              <w:shd w:val="clear" w:color="auto" w:fill="auto"/>
              <w:spacing w:after="0" w:before="0" w:line="240" w:lineRule="auto"/>
              <w:rPr>
                <w:rFonts w:ascii="맑은 고딕" w:eastAsia="맑은 고딕" w:hAnsi="맑은 고딕" w:cs="맑은 고딕"/>
                <w:sz w:val="20"/>
                <w:szCs w:val="20"/>
              </w:rPr>
            </w:pPr>
            <w:r>
              <w:rPr>
                <w:rFonts w:ascii="맑은 고딕" w:eastAsia="맑은 고딕" w:hAnsi="맑은 고딕" w:cs="맑은 고딕"/>
                <w:sz w:val="20"/>
                <w:szCs w:val="20"/>
                <w:rtl w:val="off"/>
              </w:rPr>
              <w:t>0.64</w:t>
            </w:r>
          </w:p>
        </w:tc>
      </w:tr>
      <w:tr>
        <w:trPr>
          <w:cantSplit/>
          <w:trHeight w:val="483" w:hRule="atLeast"/>
        </w:trPr>
        <w:tc>
          <w:tcPr>
            <w:tcBorders>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vAlign w:val="top"/>
          </w:tcPr>
          <w:p>
            <w:pPr>
              <w:ind w:left="0" w:right="0" w:firstLine="0"/>
              <w:keepNext w:val="off"/>
              <w:keepLines w:val="off"/>
              <w:pageBreakBefore w:val="off"/>
              <w:widowControl w:val="off"/>
              <w:jc w:val="center"/>
              <w:pBdr>
                <w:between w:val="nil"/>
                <w:top w:val="nil"/>
                <w:left w:val="nil"/>
                <w:bottom w:val="nil"/>
                <w:right w:val="nil"/>
              </w:pBdr>
              <w:shd w:val="clear" w:color="auto" w:fill="auto"/>
              <w:spacing w:after="0" w:before="0" w:line="240" w:lineRule="auto"/>
              <w:rPr>
                <w:rFonts w:ascii="맑은 고딕" w:eastAsia="맑은 고딕" w:hAnsi="맑은 고딕" w:cs="맑은 고딕"/>
                <w:sz w:val="20"/>
                <w:szCs w:val="20"/>
              </w:rPr>
            </w:pPr>
            <w:r>
              <w:rPr>
                <w:rFonts w:ascii="맑은 고딕" w:eastAsia="맑은 고딕" w:hAnsi="맑은 고딕" w:cs="맑은 고딕"/>
                <w:b/>
                <w:sz w:val="20"/>
                <w:szCs w:val="20"/>
                <w:rtl w:val="off"/>
              </w:rPr>
              <w:t>4차</w:t>
            </w:r>
            <w:r>
              <w:rPr>
                <w:rFonts w:ascii="맑은 고딕" w:eastAsia="맑은 고딕" w:hAnsi="맑은 고딕" w:cs="맑은 고딕"/>
                <w:sz w:val="20"/>
                <w:szCs w:val="20"/>
                <w:rtl w:val="off"/>
              </w:rPr>
              <w:t xml:space="preserve"> (7~10월)</w:t>
            </w:r>
          </w:p>
        </w:tc>
        <w:tc>
          <w:tcPr>
            <w:tcBorders>
              <w:left w:val="single" w:sz="12" w:space="0" w:color="000000"/>
              <w:bottom w:val="single" w:sz="12" w:space="0" w:color="000000"/>
            </w:tcBorders>
            <w:shd w:val="clear" w:color="auto" w:fill="auto"/>
            <w:tcMar>
              <w:top w:w="100" w:type="dxa"/>
              <w:left w:w="100" w:type="dxa"/>
              <w:bottom w:w="100" w:type="dxa"/>
              <w:right w:w="100" w:type="dxa"/>
            </w:tcMar>
            <w:vAlign w:val="top"/>
          </w:tcPr>
          <w:p>
            <w:pPr>
              <w:ind w:left="0" w:right="0" w:firstLine="0"/>
              <w:keepNext w:val="off"/>
              <w:keepLines w:val="off"/>
              <w:pageBreakBefore w:val="off"/>
              <w:widowControl w:val="off"/>
              <w:jc w:val="center"/>
              <w:pBdr>
                <w:between w:val="nil"/>
                <w:top w:val="nil"/>
                <w:left w:val="nil"/>
                <w:bottom w:val="nil"/>
                <w:right w:val="nil"/>
              </w:pBdr>
              <w:shd w:val="clear" w:color="auto" w:fill="auto"/>
              <w:spacing w:after="0" w:before="0" w:line="240" w:lineRule="auto"/>
              <w:rPr>
                <w:rFonts w:ascii="맑은 고딕" w:eastAsia="맑은 고딕" w:hAnsi="맑은 고딕" w:cs="맑은 고딕"/>
                <w:sz w:val="20"/>
                <w:szCs w:val="20"/>
              </w:rPr>
            </w:pPr>
            <w:r>
              <w:rPr>
                <w:rFonts w:ascii="맑은 고딕" w:eastAsia="맑은 고딕" w:hAnsi="맑은 고딕" w:cs="맑은 고딕"/>
                <w:sz w:val="20"/>
                <w:szCs w:val="20"/>
                <w:rtl w:val="off"/>
              </w:rPr>
              <w:t>-0.02</w:t>
            </w:r>
          </w:p>
        </w:tc>
        <w:tc>
          <w:tcPr>
            <w:tcBorders>
              <w:bottom w:val="single" w:sz="12" w:space="0" w:color="000000"/>
            </w:tcBorders>
            <w:shd w:val="clear" w:color="auto" w:fill="auto"/>
            <w:tcMar>
              <w:top w:w="100" w:type="dxa"/>
              <w:left w:w="100" w:type="dxa"/>
              <w:bottom w:w="100" w:type="dxa"/>
              <w:right w:w="100" w:type="dxa"/>
            </w:tcMar>
            <w:vAlign w:val="top"/>
          </w:tcPr>
          <w:p>
            <w:pPr>
              <w:ind w:left="0" w:right="0" w:firstLine="0"/>
              <w:keepNext w:val="off"/>
              <w:keepLines w:val="off"/>
              <w:pageBreakBefore w:val="off"/>
              <w:widowControl w:val="off"/>
              <w:jc w:val="center"/>
              <w:pBdr>
                <w:between w:val="nil"/>
                <w:top w:val="nil"/>
                <w:left w:val="nil"/>
                <w:bottom w:val="nil"/>
                <w:right w:val="nil"/>
              </w:pBdr>
              <w:shd w:val="clear" w:color="auto" w:fill="auto"/>
              <w:spacing w:after="0" w:before="0" w:line="240" w:lineRule="auto"/>
              <w:rPr>
                <w:rFonts w:ascii="맑은 고딕" w:eastAsia="맑은 고딕" w:hAnsi="맑은 고딕" w:cs="맑은 고딕"/>
                <w:sz w:val="20"/>
                <w:szCs w:val="20"/>
              </w:rPr>
            </w:pPr>
            <w:r>
              <w:rPr>
                <w:rFonts w:ascii="맑은 고딕" w:eastAsia="맑은 고딕" w:hAnsi="맑은 고딕" w:cs="맑은 고딕"/>
                <w:sz w:val="20"/>
                <w:szCs w:val="20"/>
                <w:rtl w:val="off"/>
              </w:rPr>
              <w:t>0.74</w:t>
            </w:r>
          </w:p>
        </w:tc>
        <w:tc>
          <w:tcPr>
            <w:tcBorders>
              <w:bottom w:val="single" w:sz="12" w:space="0" w:color="000000"/>
            </w:tcBorders>
            <w:shd w:val="clear" w:color="auto" w:fill="auto"/>
            <w:tcMar>
              <w:top w:w="100" w:type="dxa"/>
              <w:left w:w="100" w:type="dxa"/>
              <w:bottom w:w="100" w:type="dxa"/>
              <w:right w:w="100" w:type="dxa"/>
            </w:tcMar>
            <w:vAlign w:val="top"/>
          </w:tcPr>
          <w:p>
            <w:pPr>
              <w:ind w:left="0" w:right="0" w:firstLine="0"/>
              <w:keepNext w:val="off"/>
              <w:keepLines w:val="off"/>
              <w:pageBreakBefore w:val="off"/>
              <w:widowControl w:val="off"/>
              <w:jc w:val="center"/>
              <w:pBdr>
                <w:between w:val="nil"/>
                <w:top w:val="nil"/>
                <w:left w:val="nil"/>
                <w:bottom w:val="nil"/>
                <w:right w:val="nil"/>
              </w:pBdr>
              <w:shd w:val="clear" w:color="auto" w:fill="auto"/>
              <w:spacing w:after="0" w:before="0" w:line="240" w:lineRule="auto"/>
              <w:rPr>
                <w:rFonts w:ascii="맑은 고딕" w:eastAsia="맑은 고딕" w:hAnsi="맑은 고딕" w:cs="맑은 고딕"/>
                <w:sz w:val="20"/>
                <w:szCs w:val="20"/>
              </w:rPr>
            </w:pPr>
            <w:r>
              <w:rPr>
                <w:rFonts w:ascii="맑은 고딕" w:eastAsia="맑은 고딕" w:hAnsi="맑은 고딕" w:cs="맑은 고딕"/>
                <w:sz w:val="20"/>
                <w:szCs w:val="20"/>
                <w:rtl w:val="off"/>
              </w:rPr>
              <w:t>0.84</w:t>
            </w:r>
          </w:p>
        </w:tc>
        <w:tc>
          <w:tcPr>
            <w:tcBorders>
              <w:bottom w:val="single" w:sz="12" w:space="0" w:color="000000"/>
              <w:right w:val="single" w:sz="12" w:space="0" w:color="000000"/>
            </w:tcBorders>
            <w:shd w:val="clear" w:color="auto" w:fill="auto"/>
            <w:tcMar>
              <w:top w:w="100" w:type="dxa"/>
              <w:left w:w="100" w:type="dxa"/>
              <w:bottom w:w="100" w:type="dxa"/>
              <w:right w:w="100" w:type="dxa"/>
            </w:tcMar>
            <w:vAlign w:val="top"/>
          </w:tcPr>
          <w:p>
            <w:pPr>
              <w:ind w:left="0" w:right="0" w:firstLine="0"/>
              <w:keepNext w:val="off"/>
              <w:keepLines w:val="off"/>
              <w:pageBreakBefore w:val="off"/>
              <w:widowControl w:val="off"/>
              <w:jc w:val="center"/>
              <w:pBdr>
                <w:between w:val="nil"/>
                <w:top w:val="nil"/>
                <w:left w:val="nil"/>
                <w:bottom w:val="nil"/>
                <w:right w:val="nil"/>
              </w:pBdr>
              <w:shd w:val="clear" w:color="auto" w:fill="auto"/>
              <w:spacing w:after="0" w:before="0" w:line="240" w:lineRule="auto"/>
              <w:rPr>
                <w:rFonts w:ascii="맑은 고딕" w:eastAsia="맑은 고딕" w:hAnsi="맑은 고딕" w:cs="맑은 고딕"/>
                <w:sz w:val="20"/>
                <w:szCs w:val="20"/>
              </w:rPr>
            </w:pPr>
            <w:r>
              <w:rPr>
                <w:rFonts w:ascii="맑은 고딕" w:eastAsia="맑은 고딕" w:hAnsi="맑은 고딕" w:cs="맑은 고딕"/>
                <w:sz w:val="20"/>
                <w:szCs w:val="20"/>
                <w:rtl w:val="off"/>
              </w:rPr>
              <w:t xml:space="preserve">-0.68 </w:t>
            </w:r>
          </w:p>
        </w:tc>
      </w:tr>
    </w:tbl>
    <w:p>
      <w:pPr>
        <w:jc w:val="center"/>
        <w:rPr>
          <w:rFonts w:ascii="맑은 고딕" w:eastAsia="맑은 고딕" w:hAnsi="맑은 고딕" w:cs="맑은 고딕"/>
          <w:sz w:val="20"/>
          <w:szCs w:val="20"/>
        </w:rPr>
      </w:pPr>
    </w:p>
    <w:p>
      <w:pPr>
        <w:jc w:val="both"/>
        <w:rPr>
          <w:rFonts w:ascii="맑은 고딕" w:eastAsia="맑은 고딕" w:hAnsi="맑은 고딕" w:cs="맑은 고딕"/>
          <w:sz w:val="20"/>
          <w:szCs w:val="20"/>
        </w:rPr>
      </w:pPr>
      <w:r>
        <w:rPr>
          <w:rFonts w:ascii="맑은 고딕" w:eastAsia="맑은 고딕" w:hAnsi="맑은 고딕" w:cs="맑은 고딕"/>
          <w:sz w:val="20"/>
          <w:szCs w:val="20"/>
          <w:rtl w:val="off"/>
        </w:rPr>
        <w:t xml:space="preserve"> 전체 기간 중 합계 평균 상관계수가 가장 높은 기간은 2차 유행기(r=0.93)였으며, 음·식료품에 대한 상관계수는 1차 유행기(0.94)에 가장 높았다. 농축수산물에 대한 상관계수는 4차 유행기(0.84)에 높게 나타났다. 1차(0.97)), 2차 유행기(0.99)에는 음식서비스에 대한 상관계수가 모두 높았다. 두 항목 이상 높은 상관성을 보인 시기는 1차와 2차 유행기였다. </w:t>
      </w:r>
    </w:p>
    <w:p>
      <w:pPr>
        <w:jc w:val="both"/>
        <w:rPr>
          <w:rFonts w:ascii="맑은 고딕" w:eastAsia="맑은 고딕" w:hAnsi="맑은 고딕" w:cs="맑은 고딕"/>
          <w:sz w:val="20"/>
          <w:szCs w:val="20"/>
        </w:rPr>
      </w:pPr>
      <w:r>
        <w:rPr>
          <w:rFonts w:ascii="맑은 고딕" w:eastAsia="맑은 고딕" w:hAnsi="맑은 고딕" w:cs="맑은 고딕"/>
          <w:sz w:val="20"/>
          <w:szCs w:val="20"/>
          <w:rtl w:val="off"/>
        </w:rPr>
        <w:t xml:space="preserve"> 음식서비스는 3차 유행기에 들어 상대적으로 낮은 상관성(0.64)을 보였으며, 4차 유행기에는 음의 상관(-0.68)을 나타냈다. 1차부터 3차까지 상관성이 낮았던 농축수산물은 4차 유행기에 높은 상관성(0.84)을 보였다. </w:t>
      </w:r>
    </w:p>
    <w:p>
      <w:pPr>
        <w:ind w:left="0" w:firstLine="0"/>
        <w:jc w:val="both"/>
        <w:rPr>
          <w:rFonts w:ascii="맑은 고딕" w:eastAsia="맑은 고딕" w:hAnsi="맑은 고딕" w:cs="맑은 고딕"/>
          <w:b/>
          <w:sz w:val="20"/>
          <w:szCs w:val="20"/>
        </w:rPr>
      </w:pPr>
    </w:p>
    <w:p>
      <w:pPr>
        <w:ind w:left="0" w:firstLine="0"/>
        <w:jc w:val="both"/>
        <w:rPr>
          <w:rFonts w:ascii="맑은 고딕" w:eastAsia="맑은 고딕" w:hAnsi="맑은 고딕" w:cs="맑은 고딕"/>
          <w:b/>
        </w:rPr>
      </w:pPr>
    </w:p>
    <w:p>
      <w:pPr>
        <w:ind w:left="0" w:firstLine="0"/>
        <w:jc w:val="both"/>
        <w:rPr>
          <w:rFonts w:ascii="맑은 고딕" w:eastAsia="맑은 고딕" w:hAnsi="맑은 고딕" w:cs="맑은 고딕"/>
          <w:b/>
        </w:rPr>
      </w:pPr>
    </w:p>
    <w:p>
      <w:pPr>
        <w:ind w:left="0" w:firstLine="0"/>
        <w:jc w:val="both"/>
        <w:rPr>
          <w:rFonts w:ascii="맑은 고딕" w:eastAsia="맑은 고딕" w:hAnsi="맑은 고딕" w:cs="맑은 고딕"/>
          <w:b/>
        </w:rPr>
      </w:pPr>
    </w:p>
    <w:p>
      <w:pPr>
        <w:ind w:left="0" w:firstLine="720"/>
        <w:jc w:val="both"/>
        <w:rPr>
          <w:rFonts w:ascii="맑은 고딕" w:eastAsia="맑은 고딕" w:hAnsi="맑은 고딕" w:cs="맑은 고딕"/>
          <w:b/>
        </w:rPr>
      </w:pPr>
      <w:r>
        <w:rPr>
          <w:rFonts w:ascii="맑은 고딕" w:eastAsia="맑은 고딕" w:hAnsi="맑은 고딕" w:cs="맑은 고딕"/>
          <w:b/>
          <w:rtl w:val="off"/>
        </w:rPr>
        <w:t>5.3. 비교분석 결과 및 시각화</w:t>
      </w:r>
    </w:p>
    <w:p>
      <w:pPr>
        <w:ind w:left="720" w:firstLine="0"/>
        <w:jc w:val="both"/>
        <w:rPr>
          <w:rFonts w:ascii="맑은 고딕" w:eastAsia="맑은 고딕" w:hAnsi="맑은 고딕" w:cs="맑은 고딕"/>
          <w:b/>
          <w:sz w:val="20"/>
          <w:szCs w:val="20"/>
        </w:rPr>
      </w:pPr>
      <w:r>
        <w:rPr>
          <w:rFonts w:ascii="맑은 고딕" w:eastAsia="맑은 고딕" w:hAnsi="맑은 고딕" w:cs="맑은 고딕"/>
          <w:b/>
          <w:sz w:val="20"/>
          <w:szCs w:val="20"/>
          <w:rtl w:val="off"/>
        </w:rPr>
        <w:t>5.3.1 코로나 전후 온라인으로 식품을 구매하는 장소(2019-2020) 비교분석</w:t>
      </w:r>
    </w:p>
    <w:p>
      <w:pPr>
        <w:ind w:left="0" w:firstLine="0"/>
        <w:jc w:val="both"/>
        <w:rPr>
          <w:rFonts w:ascii="맑은 고딕" w:eastAsia="맑은 고딕" w:hAnsi="맑은 고딕" w:cs="맑은 고딕"/>
          <w:b/>
          <w:sz w:val="20"/>
          <w:szCs w:val="20"/>
        </w:rPr>
      </w:pPr>
      <w:r>
        <w:rPr>
          <w:rFonts w:ascii="맑은 고딕" w:eastAsia="맑은 고딕" w:hAnsi="맑은 고딕" w:cs="맑은 고딕"/>
          <w:b/>
          <w:sz w:val="20"/>
          <w:szCs w:val="20"/>
        </w:rPr>
        <w:drawing>
          <wp:inline distT="180" distB="180" distL="180" distR="180">
            <wp:extent cx="5734050" cy="1594824"/>
            <wp:effectExtent l="9525" t="9525" r="9525" b="9525"/>
            <wp:docPr id="1038" name="shape1038"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14">
                      <a:extLst>
                        <a:ext uri="{28A0092B-C50C-407E-A947-70E740481C1C}">
                          <a14:useLocalDpi xmlns:a14="http://schemas.microsoft.com/office/drawing/2010/main" val="0"/>
                        </a:ext>
                      </a:extLst>
                    </a:blip>
                    <a:srcRect t="26043" b="32262"/>
                    <a:stretch>
                      <a:fillRect/>
                    </a:stretch>
                  </pic:blipFill>
                  <pic:spPr>
                    <a:xfrm>
                      <a:off x="0" y="0"/>
                      <a:ext cx="5734050" cy="1594824"/>
                    </a:xfrm>
                    <a:prstGeom prst="rect"/>
                    <a:ln>
                      <a:solidFill>
                        <a:schemeClr val="lt1">
                          <a:alpha val="100000"/>
                        </a:schemeClr>
                      </a:solidFill>
                    </a:ln>
                  </pic:spPr>
                </pic:pic>
              </a:graphicData>
            </a:graphic>
          </wp:inline>
        </w:drawing>
      </w:r>
    </w:p>
    <w:p>
      <w:pPr>
        <w:ind w:left="0" w:firstLine="0"/>
        <w:jc w:val="both"/>
        <w:rPr>
          <w:rFonts w:ascii="맑은 고딕" w:eastAsia="맑은 고딕" w:hAnsi="맑은 고딕" w:cs="맑은 고딕"/>
          <w:sz w:val="20"/>
          <w:szCs w:val="20"/>
        </w:rPr>
      </w:pPr>
      <w:r>
        <w:rPr>
          <w:rFonts w:ascii="맑은 고딕" w:eastAsia="맑은 고딕" w:hAnsi="맑은 고딕" w:cs="맑은 고딕"/>
          <w:sz w:val="20"/>
          <w:szCs w:val="20"/>
          <w:rtl w:val="off"/>
        </w:rPr>
        <w:t xml:space="preserve"> #분석내용 : 온라인 종합 쇼핑몰, 온라인 식품전문몰에서 구매하는 비중이 코로나19 발생 이후 증가했다. 대형할인점 온라인 매장에서 구매하는 비중은 코로나19 발생 이후 감소했다. 친환경 전문점 온라인 매장,카페 블로그 SNS등의 공동구매, 특정식품 온라인매장 등은 코로나전후 변화가 없다. 특산물온라인매장의 구매 비중은 코로나19 발생 이후 증가했다.</w:t>
      </w:r>
    </w:p>
    <w:p>
      <w:pPr>
        <w:ind w:left="0" w:firstLine="0"/>
        <w:jc w:val="both"/>
        <w:rPr>
          <w:rFonts w:ascii="맑은 고딕" w:eastAsia="맑은 고딕" w:hAnsi="맑은 고딕" w:cs="맑은 고딕"/>
          <w:sz w:val="20"/>
          <w:szCs w:val="20"/>
        </w:rPr>
      </w:pPr>
    </w:p>
    <w:p>
      <w:pPr>
        <w:ind w:left="0" w:firstLine="0"/>
        <w:jc w:val="both"/>
        <w:rPr>
          <w:rFonts w:ascii="맑은 고딕" w:eastAsia="맑은 고딕" w:hAnsi="맑은 고딕" w:cs="맑은 고딕"/>
          <w:b/>
          <w:sz w:val="20"/>
          <w:szCs w:val="20"/>
        </w:rPr>
      </w:pPr>
      <w:r>
        <w:rPr>
          <w:rFonts w:ascii="맑은 고딕" w:eastAsia="맑은 고딕" w:hAnsi="맑은 고딕" w:cs="맑은 고딕"/>
          <w:b/>
          <w:sz w:val="20"/>
          <w:szCs w:val="20"/>
        </w:rPr>
        <w:drawing>
          <wp:inline distT="180" distB="180" distL="180" distR="180">
            <wp:extent cx="5734050" cy="1533525"/>
            <wp:effectExtent l="9525" t="9525" r="9525" b="9525"/>
            <wp:docPr id="1039" name="shape1039"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15">
                      <a:extLst>
                        <a:ext uri="{28A0092B-C50C-407E-A947-70E740481C1C}">
                          <a14:useLocalDpi xmlns:a14="http://schemas.microsoft.com/office/drawing/2010/main" val="0"/>
                        </a:ext>
                      </a:extLst>
                    </a:blip>
                    <a:srcRect t="27431" b="32418"/>
                    <a:stretch>
                      <a:fillRect/>
                    </a:stretch>
                  </pic:blipFill>
                  <pic:spPr>
                    <a:xfrm>
                      <a:off x="0" y="0"/>
                      <a:ext cx="5734050" cy="1533525"/>
                    </a:xfrm>
                    <a:prstGeom prst="rect"/>
                    <a:ln>
                      <a:solidFill>
                        <a:schemeClr val="lt1">
                          <a:alpha val="100000"/>
                        </a:schemeClr>
                      </a:solidFill>
                    </a:ln>
                  </pic:spPr>
                </pic:pic>
              </a:graphicData>
            </a:graphic>
          </wp:inline>
        </w:drawing>
      </w:r>
    </w:p>
    <w:p>
      <w:pPr>
        <w:ind w:left="0" w:firstLine="0"/>
        <w:jc w:val="both"/>
        <w:rPr>
          <w:rFonts w:ascii="맑은 고딕" w:eastAsia="맑은 고딕" w:hAnsi="맑은 고딕" w:cs="맑은 고딕"/>
          <w:sz w:val="20"/>
          <w:szCs w:val="20"/>
        </w:rPr>
      </w:pPr>
      <w:r>
        <w:rPr>
          <w:rFonts w:ascii="맑은 고딕" w:eastAsia="맑은 고딕" w:hAnsi="맑은 고딕" w:cs="맑은 고딕"/>
          <w:sz w:val="20"/>
          <w:szCs w:val="20"/>
          <w:rtl w:val="off"/>
        </w:rPr>
        <w:t xml:space="preserve"> #분석내용: 200만원미만의 소득범위에서는 온라인 종합 쇼핑몰, 온라인 식품전문몰에서 구매하는 비중이 코로나19 발생 이후 증가했다. 대형할인점 온라인 매장에서 구매하는 비중은 코로나19 발생 이후 감소했다. 친환경 전문점 온라인 매장, 카페 블로그 SNS등의 공동구매에서 구매하는 비중은 코로나19 발생 이후 감소했다. 특산물 온라인 매장에서 구매하는 비중은 코로나19 발생 이후 증가했다. 특정식품 온라인매장에서 구매하는 비중은 코로나19 발생 이후 감소했다.</w:t>
      </w:r>
    </w:p>
    <w:p>
      <w:pPr>
        <w:ind w:left="0" w:firstLine="0"/>
        <w:jc w:val="both"/>
        <w:rPr>
          <w:rFonts w:ascii="맑은 고딕" w:eastAsia="맑은 고딕" w:hAnsi="맑은 고딕" w:cs="맑은 고딕"/>
          <w:sz w:val="20"/>
          <w:szCs w:val="20"/>
        </w:rPr>
      </w:pPr>
    </w:p>
    <w:p>
      <w:pPr>
        <w:ind w:left="0" w:firstLine="0"/>
        <w:jc w:val="both"/>
        <w:rPr>
          <w:rFonts w:ascii="맑은 고딕" w:eastAsia="맑은 고딕" w:hAnsi="맑은 고딕" w:cs="맑은 고딕"/>
          <w:b/>
          <w:sz w:val="20"/>
          <w:szCs w:val="20"/>
        </w:rPr>
      </w:pPr>
      <w:r>
        <w:rPr>
          <w:rFonts w:ascii="맑은 고딕" w:eastAsia="맑은 고딕" w:hAnsi="맑은 고딕" w:cs="맑은 고딕"/>
          <w:b/>
          <w:sz w:val="20"/>
          <w:szCs w:val="20"/>
        </w:rPr>
        <w:drawing>
          <wp:inline distT="180" distB="180" distL="180" distR="180">
            <wp:extent cx="5734050" cy="1553475"/>
            <wp:effectExtent l="9525" t="9525" r="9525" b="9525"/>
            <wp:docPr id="1040" name="shape1040"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16">
                      <a:extLst>
                        <a:ext uri="{28A0092B-C50C-407E-A947-70E740481C1C}">
                          <a14:useLocalDpi xmlns:a14="http://schemas.microsoft.com/office/drawing/2010/main" val="0"/>
                        </a:ext>
                      </a:extLst>
                    </a:blip>
                    <a:srcRect t="27205" b="32135"/>
                    <a:stretch>
                      <a:fillRect/>
                    </a:stretch>
                  </pic:blipFill>
                  <pic:spPr>
                    <a:xfrm>
                      <a:off x="0" y="0"/>
                      <a:ext cx="5734050" cy="1553475"/>
                    </a:xfrm>
                    <a:prstGeom prst="rect"/>
                    <a:ln>
                      <a:solidFill>
                        <a:schemeClr val="lt1">
                          <a:alpha val="100000"/>
                        </a:schemeClr>
                      </a:solidFill>
                    </a:ln>
                  </pic:spPr>
                </pic:pic>
              </a:graphicData>
            </a:graphic>
          </wp:inline>
        </w:drawing>
      </w:r>
    </w:p>
    <w:p>
      <w:pPr>
        <w:ind w:left="0" w:firstLine="0"/>
        <w:jc w:val="both"/>
        <w:rPr>
          <w:rFonts w:ascii="맑은 고딕" w:eastAsia="맑은 고딕" w:hAnsi="맑은 고딕" w:cs="맑은 고딕"/>
          <w:sz w:val="20"/>
          <w:szCs w:val="20"/>
        </w:rPr>
      </w:pPr>
      <w:r>
        <w:rPr>
          <w:rFonts w:ascii="맑은 고딕" w:eastAsia="맑은 고딕" w:hAnsi="맑은 고딕" w:cs="맑은 고딕"/>
          <w:sz w:val="20"/>
          <w:szCs w:val="20"/>
          <w:rtl w:val="off"/>
        </w:rPr>
        <w:t xml:space="preserve"> #분석내용: 200~300만원 미만의 소득범위에서는 온라인 종합쇼핑몰,대형할인점 온라인매장, 특정식품온라인매장 구매비중이 코로나19 발생 이후 감소했다. 온라인 식품 전문몰, 특산물 온라인 매장 구매 비중은 증가했다. 친환경 전문점 온라인 매장, 카페 블로그SNS등의 공동구매, 코로나19 전후 변화가 없다.</w:t>
      </w:r>
    </w:p>
    <w:p>
      <w:pPr>
        <w:ind w:left="720" w:firstLine="0"/>
        <w:jc w:val="both"/>
        <w:rPr>
          <w:rFonts w:ascii="맑은 고딕" w:eastAsia="맑은 고딕" w:hAnsi="맑은 고딕" w:cs="맑은 고딕"/>
          <w:b/>
          <w:sz w:val="20"/>
          <w:szCs w:val="20"/>
        </w:rPr>
      </w:pPr>
    </w:p>
    <w:p>
      <w:pPr>
        <w:ind w:left="0" w:firstLine="0"/>
        <w:jc w:val="both"/>
        <w:rPr>
          <w:rFonts w:ascii="맑은 고딕" w:eastAsia="맑은 고딕" w:hAnsi="맑은 고딕" w:cs="맑은 고딕"/>
          <w:b/>
          <w:sz w:val="20"/>
          <w:szCs w:val="20"/>
        </w:rPr>
      </w:pPr>
      <w:r>
        <w:rPr>
          <w:rFonts w:ascii="맑은 고딕" w:eastAsia="맑은 고딕" w:hAnsi="맑은 고딕" w:cs="맑은 고딕"/>
          <w:b/>
          <w:sz w:val="20"/>
          <w:szCs w:val="20"/>
        </w:rPr>
        <w:drawing>
          <wp:inline distT="180" distB="180" distL="180" distR="180">
            <wp:extent cx="5734050" cy="1554376"/>
            <wp:effectExtent l="9525" t="9525" r="9525" b="9525"/>
            <wp:docPr id="1041" name="shape1041"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17">
                      <a:extLst>
                        <a:ext uri="{28A0092B-C50C-407E-A947-70E740481C1C}">
                          <a14:useLocalDpi xmlns:a14="http://schemas.microsoft.com/office/drawing/2010/main" val="0"/>
                        </a:ext>
                      </a:extLst>
                    </a:blip>
                    <a:srcRect t="26932" b="32371"/>
                    <a:stretch>
                      <a:fillRect/>
                    </a:stretch>
                  </pic:blipFill>
                  <pic:spPr>
                    <a:xfrm>
                      <a:off x="0" y="0"/>
                      <a:ext cx="5734050" cy="1554376"/>
                    </a:xfrm>
                    <a:prstGeom prst="rect"/>
                    <a:ln>
                      <a:solidFill>
                        <a:schemeClr val="lt1">
                          <a:alpha val="100000"/>
                        </a:schemeClr>
                      </a:solidFill>
                    </a:ln>
                  </pic:spPr>
                </pic:pic>
              </a:graphicData>
            </a:graphic>
          </wp:inline>
        </w:drawing>
      </w:r>
    </w:p>
    <w:p>
      <w:pPr>
        <w:ind w:left="0" w:firstLine="0"/>
        <w:jc w:val="both"/>
        <w:rPr>
          <w:rFonts w:ascii="맑은 고딕" w:eastAsia="맑은 고딕" w:hAnsi="맑은 고딕" w:cs="맑은 고딕"/>
          <w:b/>
          <w:sz w:val="20"/>
          <w:szCs w:val="20"/>
        </w:rPr>
      </w:pPr>
      <w:r>
        <w:rPr>
          <w:rFonts w:ascii="맑은 고딕" w:eastAsia="맑은 고딕" w:hAnsi="맑은 고딕" w:cs="맑은 고딕"/>
          <w:sz w:val="20"/>
          <w:szCs w:val="20"/>
          <w:rtl w:val="off"/>
        </w:rPr>
        <w:t xml:space="preserve"> #분석내용: 300~400만원 미만의 소득범위에서는 온라인 종합쇼핑몰, 온라인 식품 전문몰, 특정식품 온라인매장, 카페 블로그 SNS등의 공동 구매 등에서 구매하는 비중이 코로나19 발생 이후 증가했다. 대형할인 온라인매장, 친환경 전문점 온라인 매장, 특산물 온라인 매장에서 구매하는 비중은 코로나 19 발생 이후 증가했다.</w:t>
      </w:r>
    </w:p>
    <w:p>
      <w:pPr>
        <w:ind w:left="0" w:firstLine="0"/>
        <w:jc w:val="both"/>
        <w:rPr>
          <w:rFonts w:ascii="맑은 고딕" w:eastAsia="맑은 고딕" w:hAnsi="맑은 고딕" w:cs="맑은 고딕"/>
          <w:b/>
          <w:sz w:val="20"/>
          <w:szCs w:val="20"/>
        </w:rPr>
      </w:pPr>
      <w:r>
        <w:rPr>
          <w:rFonts w:ascii="맑은 고딕" w:eastAsia="맑은 고딕" w:hAnsi="맑은 고딕" w:cs="맑은 고딕"/>
          <w:b/>
          <w:sz w:val="20"/>
          <w:szCs w:val="20"/>
        </w:rPr>
        <w:drawing>
          <wp:inline distT="180" distB="180" distL="180" distR="180">
            <wp:extent cx="5734050" cy="1547690"/>
            <wp:effectExtent l="9525" t="9525" r="9525" b="9525"/>
            <wp:docPr id="1042" name="shape1042"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18">
                      <a:extLst>
                        <a:ext uri="{28A0092B-C50C-407E-A947-70E740481C1C}">
                          <a14:useLocalDpi xmlns:a14="http://schemas.microsoft.com/office/drawing/2010/main" val="0"/>
                        </a:ext>
                      </a:extLst>
                    </a:blip>
                    <a:srcRect t="27552" b="31994"/>
                    <a:stretch>
                      <a:fillRect/>
                    </a:stretch>
                  </pic:blipFill>
                  <pic:spPr>
                    <a:xfrm>
                      <a:off x="0" y="0"/>
                      <a:ext cx="5734050" cy="1547690"/>
                    </a:xfrm>
                    <a:prstGeom prst="rect"/>
                    <a:ln>
                      <a:solidFill>
                        <a:schemeClr val="lt1">
                          <a:alpha val="100000"/>
                        </a:schemeClr>
                      </a:solidFill>
                    </a:ln>
                  </pic:spPr>
                </pic:pic>
              </a:graphicData>
            </a:graphic>
          </wp:inline>
        </w:drawing>
      </w:r>
    </w:p>
    <w:p>
      <w:pPr>
        <w:ind w:left="0" w:firstLine="0"/>
        <w:jc w:val="both"/>
        <w:rPr>
          <w:rFonts w:ascii="맑은 고딕" w:eastAsia="맑은 고딕" w:hAnsi="맑은 고딕" w:cs="맑은 고딕"/>
          <w:sz w:val="20"/>
          <w:szCs w:val="20"/>
        </w:rPr>
      </w:pPr>
      <w:r>
        <w:rPr>
          <w:rFonts w:ascii="맑은 고딕" w:eastAsia="맑은 고딕" w:hAnsi="맑은 고딕" w:cs="맑은 고딕"/>
          <w:sz w:val="20"/>
          <w:szCs w:val="20"/>
          <w:rtl w:val="off"/>
        </w:rPr>
        <w:t xml:space="preserve"> #분석내용: 400~500만원 미만의 소득범위에서는 온라인 종합쇼핑몰, 대형할인점 온라인 매장. 특산물 온라인 매장에서 구매하는 비중이 코로나19 발생 이후 감소했다. 온라인 식품 전문몰, 친환경 전문점 온라인 매장에서 구매하는 비중은 코로나 이후 증가했다. 카페 블로그 SNS 등의 공동구매는 코로나19 발생 전후 변화가 없다.</w:t>
      </w:r>
    </w:p>
    <w:p>
      <w:pPr>
        <w:ind w:left="0" w:firstLine="0"/>
        <w:jc w:val="both"/>
        <w:rPr>
          <w:rFonts w:ascii="맑은 고딕" w:eastAsia="맑은 고딕" w:hAnsi="맑은 고딕" w:cs="맑은 고딕"/>
          <w:sz w:val="20"/>
          <w:szCs w:val="20"/>
        </w:rPr>
      </w:pPr>
    </w:p>
    <w:p>
      <w:pPr>
        <w:ind w:left="0" w:firstLine="0"/>
        <w:jc w:val="both"/>
        <w:rPr>
          <w:rFonts w:ascii="맑은 고딕" w:eastAsia="맑은 고딕" w:hAnsi="맑은 고딕" w:cs="맑은 고딕"/>
          <w:b/>
          <w:sz w:val="20"/>
          <w:szCs w:val="20"/>
        </w:rPr>
      </w:pPr>
      <w:r>
        <w:rPr>
          <w:rFonts w:ascii="맑은 고딕" w:eastAsia="맑은 고딕" w:hAnsi="맑은 고딕" w:cs="맑은 고딕"/>
          <w:b/>
          <w:sz w:val="20"/>
          <w:szCs w:val="20"/>
        </w:rPr>
        <w:drawing>
          <wp:inline distT="180" distB="180" distL="180" distR="180">
            <wp:extent cx="5734050" cy="1534425"/>
            <wp:effectExtent l="9525" t="9525" r="9525" b="9525"/>
            <wp:docPr id="1043" name="shape1043"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19">
                      <a:extLst>
                        <a:ext uri="{28A0092B-C50C-407E-A947-70E740481C1C}">
                          <a14:useLocalDpi xmlns:a14="http://schemas.microsoft.com/office/drawing/2010/main" val="0"/>
                        </a:ext>
                      </a:extLst>
                    </a:blip>
                    <a:srcRect t="27454" b="32384"/>
                    <a:stretch>
                      <a:fillRect/>
                    </a:stretch>
                  </pic:blipFill>
                  <pic:spPr>
                    <a:xfrm>
                      <a:off x="0" y="0"/>
                      <a:ext cx="5734050" cy="1534425"/>
                    </a:xfrm>
                    <a:prstGeom prst="rect"/>
                    <a:ln>
                      <a:solidFill>
                        <a:schemeClr val="lt1">
                          <a:alpha val="100000"/>
                        </a:schemeClr>
                      </a:solidFill>
                    </a:ln>
                  </pic:spPr>
                </pic:pic>
              </a:graphicData>
            </a:graphic>
          </wp:inline>
        </w:drawing>
      </w:r>
    </w:p>
    <w:p>
      <w:pPr>
        <w:ind w:left="0" w:firstLine="0"/>
        <w:jc w:val="both"/>
        <w:rPr>
          <w:rFonts w:ascii="맑은 고딕" w:eastAsia="맑은 고딕" w:hAnsi="맑은 고딕" w:cs="맑은 고딕"/>
          <w:sz w:val="20"/>
          <w:szCs w:val="20"/>
        </w:rPr>
      </w:pPr>
      <w:r>
        <w:rPr>
          <w:rFonts w:ascii="맑은 고딕" w:eastAsia="맑은 고딕" w:hAnsi="맑은 고딕" w:cs="맑은 고딕"/>
          <w:sz w:val="20"/>
          <w:szCs w:val="20"/>
          <w:rtl w:val="off"/>
        </w:rPr>
        <w:t xml:space="preserve"> #분석내용: 500~600만원 미만의 소득범위에서는 온라인 종합 쇼핑몰, 온라인 식품 전문몰, 친환경 전문점 온라인 매장에서 구매하는 비중이 코로나19 발생 이후 증가했다. 대형할인점 온라인 매장, 친환경 전문점 온라인 매장, 카페 블로그SNS등의 공동구매, 특정식품 온라인 매장애서 구매하는 비중은 코로나19 발생 이후 감소했다.</w:t>
      </w:r>
    </w:p>
    <w:p>
      <w:pPr>
        <w:ind w:left="720" w:firstLine="0"/>
        <w:jc w:val="both"/>
        <w:rPr>
          <w:rFonts w:ascii="맑은 고딕" w:eastAsia="맑은 고딕" w:hAnsi="맑은 고딕" w:cs="맑은 고딕"/>
          <w:b/>
          <w:sz w:val="20"/>
          <w:szCs w:val="20"/>
        </w:rPr>
      </w:pPr>
    </w:p>
    <w:p>
      <w:pPr>
        <w:ind w:left="720" w:firstLine="0"/>
        <w:jc w:val="both"/>
        <w:rPr>
          <w:rFonts w:ascii="맑은 고딕" w:eastAsia="맑은 고딕" w:hAnsi="맑은 고딕" w:cs="맑은 고딕"/>
          <w:b/>
          <w:sz w:val="20"/>
          <w:szCs w:val="20"/>
        </w:rPr>
      </w:pPr>
    </w:p>
    <w:p>
      <w:pPr>
        <w:ind w:left="0" w:firstLine="0"/>
        <w:jc w:val="both"/>
        <w:rPr>
          <w:rFonts w:ascii="맑은 고딕" w:eastAsia="맑은 고딕" w:hAnsi="맑은 고딕" w:cs="맑은 고딕"/>
          <w:b/>
          <w:sz w:val="20"/>
          <w:szCs w:val="20"/>
        </w:rPr>
      </w:pPr>
      <w:r>
        <w:rPr>
          <w:rFonts w:ascii="맑은 고딕" w:eastAsia="맑은 고딕" w:hAnsi="맑은 고딕" w:cs="맑은 고딕"/>
          <w:b/>
          <w:sz w:val="20"/>
          <w:szCs w:val="20"/>
        </w:rPr>
        <w:drawing>
          <wp:inline distT="180" distB="180" distL="180" distR="180">
            <wp:extent cx="5734050" cy="1514475"/>
            <wp:effectExtent l="9525" t="9525" r="9525" b="9525"/>
            <wp:docPr id="1044" name="shape1044"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20">
                      <a:extLst>
                        <a:ext uri="{28A0092B-C50C-407E-A947-70E740481C1C}">
                          <a14:useLocalDpi xmlns:a14="http://schemas.microsoft.com/office/drawing/2010/main" val="0"/>
                        </a:ext>
                      </a:extLst>
                    </a:blip>
                    <a:srcRect t="27680" b="32668"/>
                    <a:stretch>
                      <a:fillRect/>
                    </a:stretch>
                  </pic:blipFill>
                  <pic:spPr>
                    <a:xfrm>
                      <a:off x="0" y="0"/>
                      <a:ext cx="5734050" cy="1514475"/>
                    </a:xfrm>
                    <a:prstGeom prst="rect"/>
                    <a:ln>
                      <a:solidFill>
                        <a:schemeClr val="lt1">
                          <a:alpha val="100000"/>
                        </a:schemeClr>
                      </a:solidFill>
                    </a:ln>
                  </pic:spPr>
                </pic:pic>
              </a:graphicData>
            </a:graphic>
          </wp:inline>
        </w:drawing>
      </w:r>
    </w:p>
    <w:p>
      <w:pPr>
        <w:ind w:left="0" w:firstLine="0"/>
        <w:jc w:val="both"/>
        <w:rPr>
          <w:rFonts w:ascii="맑은 고딕" w:eastAsia="맑은 고딕" w:hAnsi="맑은 고딕" w:cs="맑은 고딕"/>
          <w:sz w:val="20"/>
          <w:szCs w:val="20"/>
        </w:rPr>
      </w:pPr>
      <w:r>
        <w:rPr>
          <w:rFonts w:ascii="맑은 고딕" w:eastAsia="맑은 고딕" w:hAnsi="맑은 고딕" w:cs="맑은 고딕"/>
          <w:sz w:val="20"/>
          <w:szCs w:val="20"/>
          <w:rtl w:val="off"/>
        </w:rPr>
        <w:t xml:space="preserve"> #분석내용: 600만원 이상의 소득범위에서는 온라인 종합 쇼핑몰, 온라인 식품 전문몰, 카페 블로그SNS등의 공동구매로 구매하는 비중이 코로나19 발생 이후 증가했다. 대형할인점 온라인 매장, 친환경 전문점 온라인 매장에서 구매하는 비중은 코로나 이후 감소했다. 특산물 온라인 매장은 코로나19 발생 전후 구매 비중의 변화가 없다.</w:t>
      </w:r>
    </w:p>
    <w:p>
      <w:pPr>
        <w:ind w:left="0" w:firstLine="0"/>
        <w:jc w:val="both"/>
        <w:rPr>
          <w:rFonts w:ascii="맑은 고딕" w:eastAsia="맑은 고딕" w:hAnsi="맑은 고딕" w:cs="맑은 고딕"/>
          <w:sz w:val="20"/>
          <w:szCs w:val="20"/>
        </w:rPr>
      </w:pPr>
    </w:p>
    <w:p>
      <w:pPr>
        <w:ind w:left="720" w:firstLine="0"/>
        <w:jc w:val="both"/>
        <w:rPr>
          <w:rFonts w:ascii="맑은 고딕" w:eastAsia="맑은 고딕" w:hAnsi="맑은 고딕" w:cs="맑은 고딕"/>
          <w:sz w:val="20"/>
          <w:szCs w:val="20"/>
        </w:rPr>
      </w:pPr>
      <w:r>
        <w:rPr>
          <w:rFonts w:ascii="맑은 고딕" w:eastAsia="맑은 고딕" w:hAnsi="맑은 고딕" w:cs="맑은 고딕"/>
          <w:b/>
          <w:sz w:val="20"/>
          <w:szCs w:val="20"/>
        </w:rPr>
        <w:drawing>
          <wp:inline distT="180" distB="180" distL="180" distR="180">
            <wp:extent cx="5731200" cy="2844800"/>
            <wp:effectExtent l="9525" t="9525" r="9525" b="9525"/>
            <wp:docPr id="1045" name="shape1045"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5731200" cy="2844800"/>
                    </a:xfrm>
                    <a:prstGeom prst="rect"/>
                    <a:ln>
                      <a:solidFill>
                        <a:schemeClr val="lt1">
                          <a:alpha val="100000"/>
                        </a:schemeClr>
                      </a:solidFill>
                    </a:ln>
                  </pic:spPr>
                </pic:pic>
              </a:graphicData>
            </a:graphic>
          </wp:inline>
        </w:drawing>
      </w:r>
    </w:p>
    <w:p>
      <w:pPr>
        <w:ind w:left="0" w:firstLine="0"/>
        <w:jc w:val="both"/>
        <w:rPr>
          <w:rFonts w:ascii="맑은 고딕" w:eastAsia="맑은 고딕" w:hAnsi="맑은 고딕" w:cs="맑은 고딕"/>
          <w:sz w:val="20"/>
          <w:szCs w:val="20"/>
        </w:rPr>
      </w:pPr>
      <w:r>
        <w:rPr>
          <w:rFonts w:ascii="맑은 고딕" w:eastAsia="맑은 고딕" w:hAnsi="맑은 고딕" w:cs="맑은 고딕"/>
          <w:sz w:val="20"/>
          <w:szCs w:val="20"/>
          <w:rtl w:val="off"/>
        </w:rPr>
        <w:t xml:space="preserve">  #종합 분석:</w:t>
      </w:r>
    </w:p>
    <w:p>
      <w:pPr>
        <w:jc w:val="both"/>
        <w:rPr>
          <w:rFonts w:ascii="맑은 고딕" w:eastAsia="맑은 고딕" w:hAnsi="맑은 고딕" w:cs="맑은 고딕"/>
          <w:sz w:val="20"/>
          <w:szCs w:val="20"/>
        </w:rPr>
      </w:pPr>
      <w:r>
        <w:rPr>
          <w:rFonts w:ascii="맑은 고딕" w:eastAsia="맑은 고딕" w:hAnsi="맑은 고딕" w:cs="맑은 고딕"/>
          <w:sz w:val="20"/>
          <w:szCs w:val="20"/>
          <w:rtl w:val="off"/>
        </w:rPr>
        <w:t xml:space="preserve"> 코로나19 발생 이후 소득 전구간에서 온라인 종합 쇼핑몰 구매장소 비율이 높게 나타났다. 대형할인점 온라인 매장은 상대적으로 비율이 낮아졌다. 소득이 200만원 미만인경우와 소득이 600만원이상인 경우를 비교해보면 코로나 이후 공통적으로 온라인 종합 쇼핑몰, 온라인 식품 전문몰에서 구매하는 비율이 증가했다. 한편 대형할인점 온라인 매장은 비율이 평균 9.7% 감소했다. 1인가구의 경우도 이와 유사한 경향을 보여 온라인 종합쇼핑몰, 온라인 식품전문몰에서 구매비율이 증가하고, 대형할인점 온라인 매장은 구매비율이 감소했다. 이를통해 1인가구 및 모든 소득범위에서 대형할인점 온라인 매장에서 감소분이 온라인 종합쇼핑몰과 온라인 식품전문몰로 이동했다고 볼 수있다. </w:t>
      </w:r>
    </w:p>
    <w:p>
      <w:pPr>
        <w:ind w:left="720" w:firstLine="0"/>
        <w:jc w:val="both"/>
        <w:rPr>
          <w:rFonts w:ascii="맑은 고딕" w:eastAsia="맑은 고딕" w:hAnsi="맑은 고딕" w:cs="맑은 고딕"/>
          <w:sz w:val="20"/>
          <w:szCs w:val="20"/>
        </w:rPr>
      </w:pPr>
    </w:p>
    <w:p>
      <w:pPr>
        <w:ind w:left="0" w:firstLine="0"/>
        <w:jc w:val="both"/>
        <w:rPr>
          <w:rFonts w:ascii="맑은 고딕" w:eastAsia="맑은 고딕" w:hAnsi="맑은 고딕" w:cs="맑은 고딕"/>
          <w:b/>
          <w:sz w:val="20"/>
          <w:szCs w:val="20"/>
        </w:rPr>
      </w:pPr>
    </w:p>
    <w:p>
      <w:pPr>
        <w:ind w:left="720" w:firstLine="0"/>
        <w:jc w:val="both"/>
        <w:rPr>
          <w:rFonts w:ascii="맑은 고딕" w:eastAsia="맑은 고딕" w:hAnsi="맑은 고딕" w:cs="맑은 고딕"/>
          <w:b/>
          <w:sz w:val="20"/>
          <w:szCs w:val="20"/>
        </w:rPr>
      </w:pPr>
      <w:r>
        <w:rPr>
          <w:rFonts w:ascii="맑은 고딕" w:eastAsia="맑은 고딕" w:hAnsi="맑은 고딕" w:cs="맑은 고딕"/>
          <w:b/>
          <w:sz w:val="20"/>
          <w:szCs w:val="20"/>
          <w:rtl w:val="off"/>
        </w:rPr>
        <w:t>5.3.2. 코로나 전후 온라인으로 가공식품 구입 변화 (2019-2020) 비교분석</w:t>
      </w:r>
    </w:p>
    <w:p>
      <w:pPr>
        <w:ind w:left="0" w:firstLine="0"/>
        <w:jc w:val="both"/>
        <w:rPr>
          <w:rFonts w:ascii="맑은 고딕" w:eastAsia="맑은 고딕" w:hAnsi="맑은 고딕" w:cs="맑은 고딕"/>
          <w:b/>
          <w:sz w:val="20"/>
          <w:szCs w:val="20"/>
        </w:rPr>
      </w:pPr>
      <w:r>
        <w:rPr>
          <w:rFonts w:ascii="맑은 고딕" w:eastAsia="맑은 고딕" w:hAnsi="맑은 고딕" w:cs="맑은 고딕"/>
          <w:b/>
          <w:sz w:val="20"/>
          <w:szCs w:val="20"/>
        </w:rPr>
        <w:drawing>
          <wp:inline distT="180" distB="180" distL="180" distR="180">
            <wp:extent cx="5734050" cy="1794112"/>
            <wp:effectExtent l="9525" t="9525" r="9525" b="9525"/>
            <wp:docPr id="1046" name="shape1046"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22">
                      <a:extLst>
                        <a:ext uri="{28A0092B-C50C-407E-A947-70E740481C1C}">
                          <a14:useLocalDpi xmlns:a14="http://schemas.microsoft.com/office/drawing/2010/main" val="0"/>
                        </a:ext>
                      </a:extLst>
                    </a:blip>
                    <a:srcRect t="23780" b="29302"/>
                    <a:stretch>
                      <a:fillRect/>
                    </a:stretch>
                  </pic:blipFill>
                  <pic:spPr>
                    <a:xfrm>
                      <a:off x="0" y="0"/>
                      <a:ext cx="5734050" cy="1794112"/>
                    </a:xfrm>
                    <a:prstGeom prst="rect"/>
                    <a:ln>
                      <a:solidFill>
                        <a:schemeClr val="lt1">
                          <a:alpha val="100000"/>
                        </a:schemeClr>
                      </a:solidFill>
                    </a:ln>
                  </pic:spPr>
                </pic:pic>
              </a:graphicData>
            </a:graphic>
          </wp:inline>
        </w:drawing>
      </w:r>
    </w:p>
    <w:p>
      <w:pPr>
        <w:ind w:left="0" w:firstLine="0"/>
        <w:jc w:val="both"/>
        <w:rPr>
          <w:rFonts w:ascii="맑은 고딕" w:eastAsia="맑은 고딕" w:hAnsi="맑은 고딕" w:cs="맑은 고딕"/>
          <w:sz w:val="20"/>
          <w:szCs w:val="20"/>
        </w:rPr>
      </w:pPr>
      <w:r>
        <w:rPr>
          <w:rFonts w:ascii="맑은 고딕" w:eastAsia="맑은 고딕" w:hAnsi="맑은 고딕" w:cs="맑은 고딕"/>
          <w:sz w:val="20"/>
          <w:szCs w:val="20"/>
          <w:rtl w:val="off"/>
        </w:rPr>
        <w:t>#분석내용: 코로나19 발생 이후 1인가구의 온라인 가공식품 구입은 약간 증가했다.</w:t>
      </w:r>
    </w:p>
    <w:p>
      <w:pPr>
        <w:ind w:left="0" w:firstLine="0"/>
        <w:jc w:val="both"/>
        <w:rPr>
          <w:rFonts w:ascii="맑은 고딕" w:eastAsia="맑은 고딕" w:hAnsi="맑은 고딕" w:cs="맑은 고딕"/>
          <w:b/>
          <w:sz w:val="20"/>
          <w:szCs w:val="20"/>
        </w:rPr>
      </w:pPr>
    </w:p>
    <w:p>
      <w:pPr>
        <w:ind w:left="0" w:firstLine="0"/>
        <w:jc w:val="both"/>
        <w:rPr>
          <w:rFonts w:ascii="맑은 고딕" w:eastAsia="맑은 고딕" w:hAnsi="맑은 고딕" w:cs="맑은 고딕"/>
          <w:b/>
          <w:sz w:val="20"/>
          <w:szCs w:val="20"/>
        </w:rPr>
      </w:pPr>
      <w:r>
        <w:rPr>
          <w:rFonts w:ascii="맑은 고딕" w:eastAsia="맑은 고딕" w:hAnsi="맑은 고딕" w:cs="맑은 고딕"/>
          <w:b/>
          <w:sz w:val="20"/>
          <w:szCs w:val="20"/>
        </w:rPr>
        <w:drawing>
          <wp:inline distT="180" distB="180" distL="180" distR="180">
            <wp:extent cx="5734050" cy="1752600"/>
            <wp:effectExtent l="9525" t="9525" r="9525" b="9525"/>
            <wp:docPr id="1047" name="shape1047"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23">
                      <a:extLst>
                        <a:ext uri="{28A0092B-C50C-407E-A947-70E740481C1C}">
                          <a14:useLocalDpi xmlns:a14="http://schemas.microsoft.com/office/drawing/2010/main" val="0"/>
                        </a:ext>
                      </a:extLst>
                    </a:blip>
                    <a:srcRect t="24688" b="29426"/>
                    <a:stretch>
                      <a:fillRect/>
                    </a:stretch>
                  </pic:blipFill>
                  <pic:spPr>
                    <a:xfrm>
                      <a:off x="0" y="0"/>
                      <a:ext cx="5734050" cy="1752600"/>
                    </a:xfrm>
                    <a:prstGeom prst="rect"/>
                    <a:ln>
                      <a:solidFill>
                        <a:schemeClr val="lt1">
                          <a:alpha val="100000"/>
                        </a:schemeClr>
                      </a:solidFill>
                    </a:ln>
                  </pic:spPr>
                </pic:pic>
              </a:graphicData>
            </a:graphic>
          </wp:inline>
        </w:drawing>
      </w:r>
    </w:p>
    <w:p>
      <w:pPr>
        <w:ind w:left="0" w:firstLine="0"/>
        <w:jc w:val="both"/>
        <w:rPr>
          <w:rFonts w:ascii="맑은 고딕" w:eastAsia="맑은 고딕" w:hAnsi="맑은 고딕" w:cs="맑은 고딕"/>
          <w:sz w:val="20"/>
          <w:szCs w:val="20"/>
        </w:rPr>
      </w:pPr>
      <w:r>
        <w:rPr>
          <w:rFonts w:ascii="맑은 고딕" w:eastAsia="맑은 고딕" w:hAnsi="맑은 고딕" w:cs="맑은 고딕"/>
          <w:sz w:val="20"/>
          <w:szCs w:val="20"/>
          <w:rtl w:val="off"/>
        </w:rPr>
        <w:t>#분석내용: 200만원 미만의 소득범위에서는 코로나19 발생 이후 온라인 가공식품 구입은 약간 증가했다.</w:t>
      </w:r>
    </w:p>
    <w:p>
      <w:pPr>
        <w:ind w:left="0" w:firstLine="0"/>
        <w:jc w:val="both"/>
        <w:rPr>
          <w:rFonts w:ascii="맑은 고딕" w:eastAsia="맑은 고딕" w:hAnsi="맑은 고딕" w:cs="맑은 고딕"/>
          <w:sz w:val="20"/>
          <w:szCs w:val="20"/>
        </w:rPr>
      </w:pPr>
    </w:p>
    <w:p>
      <w:pPr>
        <w:ind w:left="0" w:firstLine="0"/>
        <w:jc w:val="both"/>
        <w:rPr>
          <w:rFonts w:ascii="맑은 고딕" w:eastAsia="맑은 고딕" w:hAnsi="맑은 고딕" w:cs="맑은 고딕"/>
          <w:b/>
          <w:sz w:val="20"/>
          <w:szCs w:val="20"/>
        </w:rPr>
      </w:pPr>
      <w:r>
        <w:rPr>
          <w:rFonts w:ascii="맑은 고딕" w:eastAsia="맑은 고딕" w:hAnsi="맑은 고딕" w:cs="맑은 고딕"/>
          <w:b/>
          <w:sz w:val="20"/>
          <w:szCs w:val="20"/>
        </w:rPr>
        <w:drawing>
          <wp:inline distT="180" distB="180" distL="180" distR="180">
            <wp:extent cx="5734050" cy="1777681"/>
            <wp:effectExtent l="9525" t="9525" r="9525" b="9525"/>
            <wp:docPr id="1048" name="shape1048"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24">
                      <a:extLst>
                        <a:ext uri="{28A0092B-C50C-407E-A947-70E740481C1C}">
                          <a14:useLocalDpi xmlns:a14="http://schemas.microsoft.com/office/drawing/2010/main" val="0"/>
                        </a:ext>
                      </a:extLst>
                    </a:blip>
                    <a:srcRect t="24596" b="28804"/>
                    <a:stretch>
                      <a:fillRect/>
                    </a:stretch>
                  </pic:blipFill>
                  <pic:spPr>
                    <a:xfrm>
                      <a:off x="0" y="0"/>
                      <a:ext cx="5734050" cy="1777681"/>
                    </a:xfrm>
                    <a:prstGeom prst="rect"/>
                    <a:ln>
                      <a:solidFill>
                        <a:schemeClr val="lt1">
                          <a:alpha val="100000"/>
                        </a:schemeClr>
                      </a:solidFill>
                    </a:ln>
                  </pic:spPr>
                </pic:pic>
              </a:graphicData>
            </a:graphic>
          </wp:inline>
        </w:drawing>
      </w:r>
      <w:r>
        <w:rPr>
          <w:rFonts w:ascii="맑은 고딕" w:eastAsia="맑은 고딕" w:hAnsi="맑은 고딕" w:cs="맑은 고딕"/>
          <w:b/>
          <w:sz w:val="20"/>
          <w:szCs w:val="20"/>
          <w:rtl w:val="off"/>
        </w:rPr>
        <w:t xml:space="preserve"> </w:t>
      </w:r>
    </w:p>
    <w:p>
      <w:pPr>
        <w:ind w:left="0" w:firstLine="0"/>
        <w:jc w:val="both"/>
        <w:rPr>
          <w:rFonts w:ascii="맑은 고딕" w:eastAsia="맑은 고딕" w:hAnsi="맑은 고딕" w:cs="맑은 고딕"/>
          <w:sz w:val="20"/>
          <w:szCs w:val="20"/>
        </w:rPr>
      </w:pPr>
      <w:r>
        <w:rPr>
          <w:rFonts w:ascii="맑은 고딕" w:eastAsia="맑은 고딕" w:hAnsi="맑은 고딕" w:cs="맑은 고딕"/>
          <w:sz w:val="20"/>
          <w:szCs w:val="20"/>
          <w:rtl w:val="off"/>
        </w:rPr>
        <w:t>#분석내용: 200~300만원 미만의 소득범위에서는 코로나19 발생 이후 온라인 가공식품 구입은 1년전과 변화 없다.</w:t>
      </w:r>
    </w:p>
    <w:p>
      <w:pPr>
        <w:ind w:left="0" w:firstLine="0"/>
        <w:jc w:val="both"/>
        <w:rPr>
          <w:rFonts w:ascii="맑은 고딕" w:eastAsia="맑은 고딕" w:hAnsi="맑은 고딕" w:cs="맑은 고딕"/>
          <w:sz w:val="20"/>
          <w:szCs w:val="20"/>
        </w:rPr>
      </w:pPr>
    </w:p>
    <w:p>
      <w:pPr>
        <w:ind w:left="0" w:firstLine="0"/>
        <w:jc w:val="both"/>
        <w:rPr>
          <w:rFonts w:ascii="맑은 고딕" w:eastAsia="맑은 고딕" w:hAnsi="맑은 고딕" w:cs="맑은 고딕"/>
          <w:b/>
          <w:sz w:val="20"/>
          <w:szCs w:val="20"/>
        </w:rPr>
      </w:pPr>
      <w:r>
        <w:rPr>
          <w:rFonts w:ascii="맑은 고딕" w:eastAsia="맑은 고딕" w:hAnsi="맑은 고딕" w:cs="맑은 고딕"/>
          <w:b/>
          <w:sz w:val="20"/>
          <w:szCs w:val="20"/>
        </w:rPr>
        <w:drawing>
          <wp:inline distT="180" distB="180" distL="180" distR="180">
            <wp:extent cx="5734050" cy="1783713"/>
            <wp:effectExtent l="9525" t="9525" r="9525" b="9525"/>
            <wp:docPr id="1049" name="shape1049"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25">
                      <a:extLst>
                        <a:ext uri="{28A0092B-C50C-407E-A947-70E740481C1C}">
                          <a14:useLocalDpi xmlns:a14="http://schemas.microsoft.com/office/drawing/2010/main" val="0"/>
                        </a:ext>
                      </a:extLst>
                    </a:blip>
                    <a:srcRect t="24255" b="29085"/>
                    <a:stretch>
                      <a:fillRect/>
                    </a:stretch>
                  </pic:blipFill>
                  <pic:spPr>
                    <a:xfrm>
                      <a:off x="0" y="0"/>
                      <a:ext cx="5734050" cy="1783713"/>
                    </a:xfrm>
                    <a:prstGeom prst="rect"/>
                    <a:ln>
                      <a:solidFill>
                        <a:schemeClr val="lt1">
                          <a:alpha val="100000"/>
                        </a:schemeClr>
                      </a:solidFill>
                    </a:ln>
                  </pic:spPr>
                </pic:pic>
              </a:graphicData>
            </a:graphic>
          </wp:inline>
        </w:drawing>
      </w:r>
    </w:p>
    <w:p>
      <w:pPr>
        <w:ind w:left="0" w:firstLine="0"/>
        <w:jc w:val="both"/>
        <w:rPr>
          <w:rFonts w:ascii="맑은 고딕" w:eastAsia="맑은 고딕" w:hAnsi="맑은 고딕" w:cs="맑은 고딕"/>
          <w:sz w:val="20"/>
          <w:szCs w:val="20"/>
        </w:rPr>
      </w:pPr>
      <w:r>
        <w:rPr>
          <w:rFonts w:ascii="맑은 고딕" w:eastAsia="맑은 고딕" w:hAnsi="맑은 고딕" w:cs="맑은 고딕"/>
          <w:sz w:val="20"/>
          <w:szCs w:val="20"/>
          <w:rtl w:val="off"/>
        </w:rPr>
        <w:t>#분석내용: 300~400만원 미만의 소득범위에서는 코로나19 발생 이후 온라인 가공식품 구입은 약간 증가했다.</w:t>
      </w:r>
    </w:p>
    <w:p>
      <w:pPr>
        <w:ind w:left="720" w:firstLine="0"/>
        <w:jc w:val="both"/>
        <w:rPr>
          <w:rFonts w:ascii="맑은 고딕" w:eastAsia="맑은 고딕" w:hAnsi="맑은 고딕" w:cs="맑은 고딕"/>
          <w:b/>
          <w:sz w:val="20"/>
          <w:szCs w:val="20"/>
        </w:rPr>
      </w:pPr>
    </w:p>
    <w:p>
      <w:pPr>
        <w:ind w:left="720" w:firstLine="0"/>
        <w:jc w:val="both"/>
        <w:rPr>
          <w:rFonts w:ascii="맑은 고딕" w:eastAsia="맑은 고딕" w:hAnsi="맑은 고딕" w:cs="맑은 고딕"/>
          <w:b/>
          <w:sz w:val="20"/>
          <w:szCs w:val="20"/>
        </w:rPr>
      </w:pPr>
    </w:p>
    <w:p>
      <w:pPr>
        <w:ind w:left="0" w:firstLine="0"/>
        <w:jc w:val="both"/>
        <w:rPr>
          <w:rFonts w:ascii="맑은 고딕" w:eastAsia="맑은 고딕" w:hAnsi="맑은 고딕" w:cs="맑은 고딕"/>
          <w:b/>
          <w:sz w:val="20"/>
          <w:szCs w:val="20"/>
        </w:rPr>
      </w:pPr>
      <w:r>
        <w:rPr>
          <w:rFonts w:ascii="맑은 고딕" w:eastAsia="맑은 고딕" w:hAnsi="맑은 고딕" w:cs="맑은 고딕"/>
          <w:b/>
          <w:sz w:val="20"/>
          <w:szCs w:val="20"/>
        </w:rPr>
        <w:drawing>
          <wp:inline distT="180" distB="180" distL="180" distR="180">
            <wp:extent cx="5734050" cy="1819275"/>
            <wp:effectExtent l="9525" t="9525" r="9525" b="9525"/>
            <wp:docPr id="1050" name="shape1050"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26">
                      <a:extLst>
                        <a:ext uri="{28A0092B-C50C-407E-A947-70E740481C1C}">
                          <a14:useLocalDpi xmlns:a14="http://schemas.microsoft.com/office/drawing/2010/main" val="0"/>
                        </a:ext>
                      </a:extLst>
                    </a:blip>
                    <a:srcRect t="23192" b="29177"/>
                    <a:stretch>
                      <a:fillRect/>
                    </a:stretch>
                  </pic:blipFill>
                  <pic:spPr>
                    <a:xfrm>
                      <a:off x="0" y="0"/>
                      <a:ext cx="5734050" cy="1819275"/>
                    </a:xfrm>
                    <a:prstGeom prst="rect"/>
                    <a:ln>
                      <a:solidFill>
                        <a:schemeClr val="lt1">
                          <a:alpha val="100000"/>
                        </a:schemeClr>
                      </a:solidFill>
                    </a:ln>
                  </pic:spPr>
                </pic:pic>
              </a:graphicData>
            </a:graphic>
          </wp:inline>
        </w:drawing>
      </w:r>
    </w:p>
    <w:p>
      <w:pPr>
        <w:ind w:left="0" w:firstLine="0"/>
        <w:jc w:val="both"/>
        <w:rPr>
          <w:rFonts w:ascii="맑은 고딕" w:eastAsia="맑은 고딕" w:hAnsi="맑은 고딕" w:cs="맑은 고딕"/>
          <w:sz w:val="20"/>
          <w:szCs w:val="20"/>
        </w:rPr>
      </w:pPr>
      <w:r>
        <w:rPr>
          <w:rFonts w:ascii="맑은 고딕" w:eastAsia="맑은 고딕" w:hAnsi="맑은 고딕" w:cs="맑은 고딕"/>
          <w:sz w:val="20"/>
          <w:szCs w:val="20"/>
          <w:rtl w:val="off"/>
        </w:rPr>
        <w:t>#분석내용: 400~500만원 미만의 소득범위에서는 코로나19 발생 이후 온라인 가공식품 구입은 약간 증가했다.</w:t>
      </w:r>
    </w:p>
    <w:p>
      <w:pPr>
        <w:ind w:left="0" w:firstLine="0"/>
        <w:jc w:val="both"/>
        <w:rPr>
          <w:rFonts w:ascii="맑은 고딕" w:eastAsia="맑은 고딕" w:hAnsi="맑은 고딕" w:cs="맑은 고딕"/>
          <w:sz w:val="20"/>
          <w:szCs w:val="20"/>
        </w:rPr>
      </w:pPr>
    </w:p>
    <w:p>
      <w:pPr>
        <w:ind w:left="0" w:firstLine="0"/>
        <w:jc w:val="both"/>
        <w:rPr>
          <w:rFonts w:ascii="맑은 고딕" w:eastAsia="맑은 고딕" w:hAnsi="맑은 고딕" w:cs="맑은 고딕"/>
          <w:b/>
          <w:sz w:val="20"/>
          <w:szCs w:val="20"/>
        </w:rPr>
      </w:pPr>
      <w:r>
        <w:rPr>
          <w:rFonts w:ascii="맑은 고딕" w:eastAsia="맑은 고딕" w:hAnsi="맑은 고딕" w:cs="맑은 고딕"/>
          <w:b/>
          <w:sz w:val="20"/>
          <w:szCs w:val="20"/>
        </w:rPr>
        <w:drawing>
          <wp:inline distT="180" distB="180" distL="180" distR="180">
            <wp:extent cx="5734050" cy="1796731"/>
            <wp:effectExtent l="9525" t="9525" r="9525" b="9525"/>
            <wp:docPr id="1051" name="shape1051"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27">
                      <a:extLst>
                        <a:ext uri="{28A0092B-C50C-407E-A947-70E740481C1C}">
                          <a14:useLocalDpi xmlns:a14="http://schemas.microsoft.com/office/drawing/2010/main" val="0"/>
                        </a:ext>
                      </a:extLst>
                    </a:blip>
                    <a:srcRect t="24098" b="28897"/>
                    <a:stretch>
                      <a:fillRect/>
                    </a:stretch>
                  </pic:blipFill>
                  <pic:spPr>
                    <a:xfrm>
                      <a:off x="0" y="0"/>
                      <a:ext cx="5734050" cy="1796731"/>
                    </a:xfrm>
                    <a:prstGeom prst="rect"/>
                    <a:ln>
                      <a:solidFill>
                        <a:schemeClr val="lt1">
                          <a:alpha val="100000"/>
                        </a:schemeClr>
                      </a:solidFill>
                    </a:ln>
                  </pic:spPr>
                </pic:pic>
              </a:graphicData>
            </a:graphic>
          </wp:inline>
        </w:drawing>
      </w:r>
    </w:p>
    <w:p>
      <w:pPr>
        <w:ind w:left="0" w:firstLine="0"/>
        <w:jc w:val="both"/>
        <w:rPr>
          <w:rFonts w:ascii="맑은 고딕" w:eastAsia="맑은 고딕" w:hAnsi="맑은 고딕" w:cs="맑은 고딕"/>
          <w:sz w:val="20"/>
          <w:szCs w:val="20"/>
        </w:rPr>
      </w:pPr>
      <w:r>
        <w:rPr>
          <w:rFonts w:ascii="맑은 고딕" w:eastAsia="맑은 고딕" w:hAnsi="맑은 고딕" w:cs="맑은 고딕"/>
          <w:sz w:val="20"/>
          <w:szCs w:val="20"/>
          <w:rtl w:val="off"/>
        </w:rPr>
        <w:t>#분석내용: 500~600만원 미만의 소득범위에서는 코로나19 발생 이후 온라인 가공식품 구입은 약간 증가했다.</w:t>
      </w:r>
    </w:p>
    <w:p>
      <w:pPr>
        <w:ind w:left="0" w:firstLine="0"/>
        <w:jc w:val="both"/>
        <w:rPr>
          <w:rFonts w:ascii="맑은 고딕" w:eastAsia="맑은 고딕" w:hAnsi="맑은 고딕" w:cs="맑은 고딕"/>
          <w:b/>
          <w:sz w:val="20"/>
          <w:szCs w:val="20"/>
        </w:rPr>
      </w:pPr>
    </w:p>
    <w:p>
      <w:pPr>
        <w:ind w:left="0" w:firstLine="0"/>
        <w:jc w:val="both"/>
        <w:rPr>
          <w:rFonts w:ascii="맑은 고딕" w:eastAsia="맑은 고딕" w:hAnsi="맑은 고딕" w:cs="맑은 고딕"/>
          <w:b/>
          <w:sz w:val="20"/>
          <w:szCs w:val="20"/>
        </w:rPr>
      </w:pPr>
      <w:r>
        <w:rPr>
          <w:rFonts w:ascii="맑은 고딕" w:eastAsia="맑은 고딕" w:hAnsi="맑은 고딕" w:cs="맑은 고딕"/>
          <w:b/>
          <w:sz w:val="20"/>
          <w:szCs w:val="20"/>
        </w:rPr>
        <w:drawing>
          <wp:inline distT="180" distB="180" distL="180" distR="180">
            <wp:extent cx="5734050" cy="1783467"/>
            <wp:effectExtent l="9525" t="9525" r="9525" b="9525"/>
            <wp:docPr id="1052" name="shape1052"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28">
                      <a:extLst>
                        <a:ext uri="{28A0092B-C50C-407E-A947-70E740481C1C}">
                          <a14:useLocalDpi xmlns:a14="http://schemas.microsoft.com/office/drawing/2010/main" val="0"/>
                        </a:ext>
                      </a:extLst>
                    </a:blip>
                    <a:srcRect t="23940" b="29366"/>
                    <a:stretch>
                      <a:fillRect/>
                    </a:stretch>
                  </pic:blipFill>
                  <pic:spPr>
                    <a:xfrm>
                      <a:off x="0" y="0"/>
                      <a:ext cx="5734050" cy="1783467"/>
                    </a:xfrm>
                    <a:prstGeom prst="rect"/>
                    <a:ln>
                      <a:solidFill>
                        <a:schemeClr val="lt1">
                          <a:alpha val="100000"/>
                        </a:schemeClr>
                      </a:solidFill>
                    </a:ln>
                  </pic:spPr>
                </pic:pic>
              </a:graphicData>
            </a:graphic>
          </wp:inline>
        </w:drawing>
      </w:r>
    </w:p>
    <w:p>
      <w:pPr>
        <w:ind w:left="0" w:firstLine="0"/>
        <w:jc w:val="both"/>
        <w:rPr>
          <w:rFonts w:ascii="맑은 고딕" w:eastAsia="맑은 고딕" w:hAnsi="맑은 고딕" w:cs="맑은 고딕"/>
          <w:sz w:val="20"/>
          <w:szCs w:val="20"/>
        </w:rPr>
      </w:pPr>
      <w:r>
        <w:rPr>
          <w:rFonts w:ascii="맑은 고딕" w:eastAsia="맑은 고딕" w:hAnsi="맑은 고딕" w:cs="맑은 고딕"/>
          <w:sz w:val="20"/>
          <w:szCs w:val="20"/>
          <w:rtl w:val="off"/>
        </w:rPr>
        <w:t>#분석내용: 600만원 이상의 소득범위에서는 코로나19 발생 이후 온라인 가공식품 구입은 약간 증가했다.</w:t>
      </w:r>
    </w:p>
    <w:p>
      <w:pPr>
        <w:ind w:left="0" w:firstLine="0"/>
        <w:jc w:val="both"/>
        <w:rPr>
          <w:rFonts w:ascii="맑은 고딕" w:eastAsia="맑은 고딕" w:hAnsi="맑은 고딕" w:cs="맑은 고딕"/>
          <w:b/>
          <w:sz w:val="20"/>
          <w:szCs w:val="20"/>
        </w:rPr>
      </w:pPr>
    </w:p>
    <w:p>
      <w:pPr>
        <w:jc w:val="both"/>
        <w:rPr>
          <w:rFonts w:ascii="맑은 고딕" w:eastAsia="맑은 고딕" w:hAnsi="맑은 고딕" w:cs="맑은 고딕"/>
          <w:b/>
          <w:sz w:val="20"/>
          <w:szCs w:val="20"/>
        </w:rPr>
      </w:pPr>
      <w:r>
        <w:rPr>
          <w:rFonts w:ascii="맑은 고딕" w:eastAsia="맑은 고딕" w:hAnsi="맑은 고딕" w:cs="맑은 고딕"/>
          <w:b/>
          <w:sz w:val="20"/>
          <w:szCs w:val="20"/>
        </w:rPr>
        <w:drawing>
          <wp:inline distT="180" distB="180" distL="180" distR="180">
            <wp:extent cx="5731200" cy="2844800"/>
            <wp:effectExtent l="9525" t="9525" r="9525" b="9525"/>
            <wp:docPr id="1053" name="shape1053"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5731200" cy="2844800"/>
                    </a:xfrm>
                    <a:prstGeom prst="rect"/>
                    <a:ln>
                      <a:solidFill>
                        <a:schemeClr val="lt1">
                          <a:alpha val="100000"/>
                        </a:schemeClr>
                      </a:solidFill>
                    </a:ln>
                  </pic:spPr>
                </pic:pic>
              </a:graphicData>
            </a:graphic>
          </wp:inline>
        </w:drawing>
      </w:r>
    </w:p>
    <w:p>
      <w:pPr>
        <w:ind w:left="0" w:firstLine="0"/>
        <w:jc w:val="both"/>
        <w:rPr>
          <w:rFonts w:ascii="맑은 고딕" w:eastAsia="맑은 고딕" w:hAnsi="맑은 고딕" w:cs="맑은 고딕"/>
          <w:sz w:val="20"/>
          <w:szCs w:val="20"/>
        </w:rPr>
      </w:pPr>
      <w:r>
        <w:rPr>
          <w:rFonts w:ascii="맑은 고딕" w:eastAsia="맑은 고딕" w:hAnsi="맑은 고딕" w:cs="맑은 고딕"/>
          <w:sz w:val="20"/>
          <w:szCs w:val="20"/>
          <w:rtl w:val="off"/>
        </w:rPr>
        <w:t>#종합분석:</w:t>
      </w:r>
    </w:p>
    <w:p>
      <w:pPr>
        <w:jc w:val="both"/>
        <w:rPr>
          <w:rFonts w:ascii="맑은 고딕" w:eastAsia="맑은 고딕" w:hAnsi="맑은 고딕" w:cs="맑은 고딕"/>
          <w:sz w:val="20"/>
          <w:szCs w:val="20"/>
        </w:rPr>
      </w:pPr>
      <w:r>
        <w:rPr>
          <w:rFonts w:ascii="맑은 고딕" w:eastAsia="맑은 고딕" w:hAnsi="맑은 고딕" w:cs="맑은 고딕"/>
          <w:sz w:val="20"/>
          <w:szCs w:val="20"/>
          <w:rtl w:val="off"/>
        </w:rPr>
        <w:t xml:space="preserve"> 코로나19 발생 이후 소득전체구간에서 온라인 가공식품의 구입변화 응답중 ‘약간 증가하였다’ 비중이 공통적으로 평균 8.6%증가했다.</w:t>
      </w:r>
      <w:r>
        <w:rPr>
          <w:rFonts w:ascii="맑은 고딕" w:eastAsia="맑은 고딕" w:hAnsi="맑은 고딕" w:cs="맑은 고딕"/>
          <w:b/>
          <w:sz w:val="20"/>
          <w:szCs w:val="20"/>
          <w:rtl w:val="off"/>
        </w:rPr>
        <w:t xml:space="preserve"> </w:t>
      </w:r>
      <w:r>
        <w:rPr>
          <w:rFonts w:ascii="맑은 고딕" w:eastAsia="맑은 고딕" w:hAnsi="맑은 고딕" w:cs="맑은 고딕"/>
          <w:sz w:val="20"/>
          <w:szCs w:val="20"/>
          <w:rtl w:val="off"/>
        </w:rPr>
        <w:t>1인가구의 경우 코로나19 발생 이전보다 온라인 가공식품의 구입이 약간 증가했다고 응답한 비율이 5.9% 증가했다. 이를 통해 코로나19 발생 이후 온라인 가공식품의 구입이 더 증가할 것임을 알 수 있다.</w:t>
      </w:r>
    </w:p>
    <w:p>
      <w:pPr>
        <w:ind w:left="0" w:firstLine="0"/>
        <w:jc w:val="both"/>
        <w:rPr>
          <w:rFonts w:ascii="맑은 고딕" w:eastAsia="맑은 고딕" w:hAnsi="맑은 고딕" w:cs="맑은 고딕"/>
          <w:sz w:val="20"/>
          <w:szCs w:val="20"/>
        </w:rPr>
      </w:pPr>
    </w:p>
    <w:p>
      <w:pPr>
        <w:ind w:left="720" w:firstLine="0"/>
        <w:jc w:val="both"/>
        <w:rPr>
          <w:rFonts w:ascii="맑은 고딕" w:eastAsia="맑은 고딕" w:hAnsi="맑은 고딕" w:cs="맑은 고딕"/>
          <w:b/>
          <w:sz w:val="20"/>
          <w:szCs w:val="20"/>
        </w:rPr>
      </w:pPr>
      <w:r>
        <w:rPr>
          <w:rFonts w:ascii="맑은 고딕" w:eastAsia="맑은 고딕" w:hAnsi="맑은 고딕" w:cs="맑은 고딕"/>
          <w:b/>
          <w:sz w:val="20"/>
          <w:szCs w:val="20"/>
          <w:rtl w:val="off"/>
        </w:rPr>
        <w:t>5.3.3. 코로나 전후 온라인으로 많이 구입하는 가공식품 품목(2019-2020) 비교분석</w:t>
      </w:r>
    </w:p>
    <w:p>
      <w:pPr>
        <w:ind w:left="0" w:firstLine="0"/>
        <w:jc w:val="both"/>
        <w:rPr>
          <w:rFonts w:ascii="맑은 고딕" w:eastAsia="맑은 고딕" w:hAnsi="맑은 고딕" w:cs="맑은 고딕"/>
          <w:sz w:val="20"/>
          <w:szCs w:val="20"/>
        </w:rPr>
      </w:pPr>
    </w:p>
    <w:p>
      <w:pPr>
        <w:ind w:left="0" w:firstLine="0"/>
        <w:jc w:val="both"/>
        <w:rPr>
          <w:rFonts w:ascii="맑은 고딕" w:eastAsia="맑은 고딕" w:hAnsi="맑은 고딕" w:cs="맑은 고딕"/>
          <w:sz w:val="20"/>
          <w:szCs w:val="20"/>
        </w:rPr>
      </w:pPr>
      <w:r>
        <w:rPr>
          <w:rFonts w:ascii="맑은 고딕" w:eastAsia="맑은 고딕" w:hAnsi="맑은 고딕" w:cs="맑은 고딕"/>
          <w:sz w:val="20"/>
          <w:szCs w:val="20"/>
        </w:rPr>
        <w:drawing>
          <wp:inline distT="30" distB="30" distL="30" distR="30">
            <wp:extent cx="4320000" cy="2880000"/>
            <wp:effectExtent l="9525" t="9525" r="9525" b="9525"/>
            <wp:docPr id="1054" name="shape1054"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4320000" cy="2880000"/>
                    </a:xfrm>
                    <a:prstGeom prst="rect"/>
                    <a:ln>
                      <a:solidFill>
                        <a:schemeClr val="lt1">
                          <a:alpha val="100000"/>
                        </a:schemeClr>
                      </a:solidFill>
                    </a:ln>
                  </pic:spPr>
                </pic:pic>
              </a:graphicData>
            </a:graphic>
          </wp:inline>
        </w:drawing>
      </w:r>
    </w:p>
    <w:p>
      <w:pPr>
        <w:ind w:left="0" w:firstLine="0"/>
        <w:jc w:val="both"/>
        <w:rPr>
          <w:rFonts w:ascii="맑은 고딕" w:eastAsia="맑은 고딕" w:hAnsi="맑은 고딕" w:cs="맑은 고딕"/>
          <w:sz w:val="20"/>
          <w:szCs w:val="20"/>
        </w:rPr>
      </w:pPr>
      <w:r>
        <w:rPr>
          <w:rFonts w:ascii="맑은 고딕" w:eastAsia="맑은 고딕" w:hAnsi="맑은 고딕" w:cs="맑은 고딕"/>
          <w:sz w:val="20"/>
          <w:szCs w:val="20"/>
          <w:rtl w:val="off"/>
        </w:rPr>
        <w:t>#분석내용: 1인가구는 육류가공품(1.4%), 조미수산가공품(1,4%), 빵/떡(1.8%), 간편식(5%), 면류(2.2%) 등의 온라인 가공식품에 코로나19 발생 이후 지출액 비중이 증가했다.</w:t>
      </w:r>
    </w:p>
    <w:p>
      <w:pPr>
        <w:ind w:left="0" w:firstLine="0"/>
        <w:jc w:val="both"/>
        <w:rPr>
          <w:rFonts w:ascii="맑은 고딕" w:eastAsia="맑은 고딕" w:hAnsi="맑은 고딕" w:cs="맑은 고딕"/>
          <w:sz w:val="20"/>
          <w:szCs w:val="20"/>
        </w:rPr>
      </w:pPr>
    </w:p>
    <w:p>
      <w:pPr>
        <w:ind w:left="0" w:firstLine="0"/>
        <w:jc w:val="both"/>
        <w:rPr>
          <w:rFonts w:ascii="맑은 고딕" w:eastAsia="맑은 고딕" w:hAnsi="맑은 고딕" w:cs="맑은 고딕"/>
          <w:sz w:val="20"/>
          <w:szCs w:val="20"/>
        </w:rPr>
      </w:pPr>
      <w:r>
        <w:rPr>
          <w:rFonts w:ascii="맑은 고딕" w:eastAsia="맑은 고딕" w:hAnsi="맑은 고딕" w:cs="맑은 고딕"/>
          <w:sz w:val="20"/>
          <w:szCs w:val="20"/>
        </w:rPr>
        <w:drawing>
          <wp:inline distT="30" distB="30" distL="30" distR="30">
            <wp:extent cx="4320000" cy="2880000"/>
            <wp:effectExtent l="9525" t="9525" r="9525" b="9525"/>
            <wp:docPr id="1055" name="shape1055"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31">
                      <a:extLst>
                        <a:ext uri="{28A0092B-C50C-407E-A947-70E740481C1C}">
                          <a14:useLocalDpi xmlns:a14="http://schemas.microsoft.com/office/drawing/2010/main" val="0"/>
                        </a:ext>
                      </a:extLst>
                    </a:blip>
                    <a:srcRect/>
                    <a:stretch>
                      <a:fillRect/>
                    </a:stretch>
                  </pic:blipFill>
                  <pic:spPr>
                    <a:xfrm>
                      <a:off x="0" y="0"/>
                      <a:ext cx="4320000" cy="2880000"/>
                    </a:xfrm>
                    <a:prstGeom prst="rect"/>
                    <a:ln>
                      <a:solidFill>
                        <a:schemeClr val="lt1">
                          <a:alpha val="100000"/>
                        </a:schemeClr>
                      </a:solidFill>
                    </a:ln>
                  </pic:spPr>
                </pic:pic>
              </a:graphicData>
            </a:graphic>
          </wp:inline>
        </w:drawing>
      </w:r>
    </w:p>
    <w:p>
      <w:pPr>
        <w:ind w:left="0" w:firstLine="0"/>
        <w:jc w:val="both"/>
        <w:rPr>
          <w:rFonts w:ascii="맑은 고딕" w:eastAsia="맑은 고딕" w:hAnsi="맑은 고딕" w:cs="맑은 고딕"/>
          <w:sz w:val="20"/>
          <w:szCs w:val="20"/>
        </w:rPr>
      </w:pPr>
      <w:r>
        <w:rPr>
          <w:rFonts w:ascii="맑은 고딕" w:eastAsia="맑은 고딕" w:hAnsi="맑은 고딕" w:cs="맑은 고딕"/>
          <w:sz w:val="20"/>
          <w:szCs w:val="20"/>
          <w:rtl w:val="off"/>
        </w:rPr>
        <w:t>#분석내용: 소득범위 200만원 미만인 경우 조미수산가공품(1.8%), 빵/떡(1.6%), 간편식(5.2%), 면류(5.2%), 주류(0.1%)등의 온라인 가공식품에 코로나19 발생 이후 지출액 비중이 증가했다.</w:t>
      </w:r>
    </w:p>
    <w:p>
      <w:pPr>
        <w:ind w:left="0" w:firstLine="0"/>
        <w:jc w:val="both"/>
        <w:rPr>
          <w:rFonts w:ascii="맑은 고딕" w:eastAsia="맑은 고딕" w:hAnsi="맑은 고딕" w:cs="맑은 고딕"/>
          <w:sz w:val="20"/>
          <w:szCs w:val="20"/>
        </w:rPr>
      </w:pPr>
    </w:p>
    <w:p>
      <w:pPr>
        <w:ind w:left="0" w:firstLine="0"/>
        <w:jc w:val="both"/>
        <w:rPr>
          <w:rFonts w:ascii="맑은 고딕" w:eastAsia="맑은 고딕" w:hAnsi="맑은 고딕" w:cs="맑은 고딕"/>
          <w:sz w:val="20"/>
          <w:szCs w:val="20"/>
        </w:rPr>
      </w:pPr>
      <w:r>
        <w:rPr>
          <w:rFonts w:ascii="맑은 고딕" w:eastAsia="맑은 고딕" w:hAnsi="맑은 고딕" w:cs="맑은 고딕"/>
          <w:sz w:val="20"/>
          <w:szCs w:val="20"/>
        </w:rPr>
        <w:drawing>
          <wp:inline distT="30" distB="30" distL="30" distR="30">
            <wp:extent cx="4320000" cy="2880000"/>
            <wp:effectExtent l="9525" t="9525" r="9525" b="9525"/>
            <wp:docPr id="1056" name="shape1056"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32">
                      <a:extLst>
                        <a:ext uri="{28A0092B-C50C-407E-A947-70E740481C1C}">
                          <a14:useLocalDpi xmlns:a14="http://schemas.microsoft.com/office/drawing/2010/main" val="0"/>
                        </a:ext>
                      </a:extLst>
                    </a:blip>
                    <a:srcRect/>
                    <a:stretch>
                      <a:fillRect/>
                    </a:stretch>
                  </pic:blipFill>
                  <pic:spPr>
                    <a:xfrm>
                      <a:off x="0" y="0"/>
                      <a:ext cx="4320000" cy="2880000"/>
                    </a:xfrm>
                    <a:prstGeom prst="rect"/>
                    <a:ln>
                      <a:solidFill>
                        <a:schemeClr val="lt1">
                          <a:alpha val="100000"/>
                        </a:schemeClr>
                      </a:solidFill>
                    </a:ln>
                  </pic:spPr>
                </pic:pic>
              </a:graphicData>
            </a:graphic>
          </wp:inline>
        </w:drawing>
      </w:r>
    </w:p>
    <w:p>
      <w:pPr>
        <w:ind w:left="0" w:firstLine="0"/>
        <w:jc w:val="both"/>
        <w:rPr>
          <w:rFonts w:ascii="맑은 고딕" w:eastAsia="맑은 고딕" w:hAnsi="맑은 고딕" w:cs="맑은 고딕"/>
          <w:sz w:val="20"/>
          <w:szCs w:val="20"/>
        </w:rPr>
      </w:pPr>
      <w:r>
        <w:rPr>
          <w:rFonts w:ascii="맑은 고딕" w:eastAsia="맑은 고딕" w:hAnsi="맑은 고딕" w:cs="맑은 고딕"/>
          <w:sz w:val="20"/>
          <w:szCs w:val="20"/>
          <w:rtl w:val="off"/>
        </w:rPr>
        <w:t>#분석내용: 소득범위 200~300만원 미만인 경우 간편식(4.7%), 빵/떡(1.0%), 육류가공품 (1.6%) 등의 온라인 가공식품에 코로나19 발생 이후 지출액 비중이 증가했다.</w:t>
      </w:r>
    </w:p>
    <w:p>
      <w:pPr>
        <w:ind w:left="0" w:firstLine="0"/>
        <w:jc w:val="both"/>
        <w:rPr>
          <w:rFonts w:ascii="맑은 고딕" w:eastAsia="맑은 고딕" w:hAnsi="맑은 고딕" w:cs="맑은 고딕"/>
          <w:sz w:val="20"/>
          <w:szCs w:val="20"/>
        </w:rPr>
      </w:pPr>
    </w:p>
    <w:p>
      <w:pPr>
        <w:ind w:left="0" w:firstLine="0"/>
        <w:jc w:val="both"/>
        <w:rPr>
          <w:rFonts w:ascii="맑은 고딕" w:eastAsia="맑은 고딕" w:hAnsi="맑은 고딕" w:cs="맑은 고딕"/>
          <w:b/>
        </w:rPr>
      </w:pPr>
      <w:r>
        <w:rPr>
          <w:rFonts w:ascii="맑은 고딕" w:eastAsia="맑은 고딕" w:hAnsi="맑은 고딕" w:cs="맑은 고딕"/>
          <w:b/>
        </w:rPr>
        <w:drawing>
          <wp:inline distT="30" distB="30" distL="30" distR="30">
            <wp:extent cx="4320000" cy="2880000"/>
            <wp:effectExtent l="9525" t="9525" r="9525" b="9525"/>
            <wp:docPr id="1057" name="shape1057"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33">
                      <a:extLst>
                        <a:ext uri="{28A0092B-C50C-407E-A947-70E740481C1C}">
                          <a14:useLocalDpi xmlns:a14="http://schemas.microsoft.com/office/drawing/2010/main" val="0"/>
                        </a:ext>
                      </a:extLst>
                    </a:blip>
                    <a:srcRect/>
                    <a:stretch>
                      <a:fillRect/>
                    </a:stretch>
                  </pic:blipFill>
                  <pic:spPr>
                    <a:xfrm>
                      <a:off x="0" y="0"/>
                      <a:ext cx="4320000" cy="2880000"/>
                    </a:xfrm>
                    <a:prstGeom prst="rect"/>
                    <a:ln>
                      <a:solidFill>
                        <a:schemeClr val="lt1">
                          <a:alpha val="100000"/>
                        </a:schemeClr>
                      </a:solidFill>
                    </a:ln>
                  </pic:spPr>
                </pic:pic>
              </a:graphicData>
            </a:graphic>
          </wp:inline>
        </w:drawing>
      </w:r>
    </w:p>
    <w:p>
      <w:pPr>
        <w:ind w:left="0" w:firstLine="0"/>
        <w:jc w:val="both"/>
        <w:rPr>
          <w:rFonts w:ascii="맑은 고딕" w:eastAsia="맑은 고딕" w:hAnsi="맑은 고딕" w:cs="맑은 고딕"/>
          <w:sz w:val="20"/>
          <w:szCs w:val="20"/>
        </w:rPr>
      </w:pPr>
      <w:r>
        <w:rPr>
          <w:rFonts w:ascii="맑은 고딕" w:eastAsia="맑은 고딕" w:hAnsi="맑은 고딕" w:cs="맑은 고딕"/>
          <w:sz w:val="20"/>
          <w:szCs w:val="20"/>
          <w:rtl w:val="off"/>
        </w:rPr>
        <w:t>#분석내용: 소득범위 300~400만원 미만인 경우 육류가공품(0.5%), 조미수산가공품(1.5%), 유가공품(1.6%), 빵/떡(1.0%), 간편식(4.7%), 면류(3.0%),  주류(0.7%) 등의 온라인 가공식품에 코로나19 발생 이후 지출액 비중이 증가했다.</w:t>
      </w:r>
    </w:p>
    <w:p>
      <w:pPr>
        <w:ind w:left="0" w:firstLine="0"/>
        <w:jc w:val="both"/>
        <w:rPr>
          <w:rFonts w:ascii="맑은 고딕" w:eastAsia="맑은 고딕" w:hAnsi="맑은 고딕" w:cs="맑은 고딕"/>
          <w:sz w:val="20"/>
          <w:szCs w:val="20"/>
        </w:rPr>
      </w:pPr>
    </w:p>
    <w:p>
      <w:pPr>
        <w:ind w:left="0" w:firstLine="0"/>
        <w:jc w:val="both"/>
        <w:rPr>
          <w:rFonts w:ascii="맑은 고딕" w:eastAsia="맑은 고딕" w:hAnsi="맑은 고딕" w:cs="맑은 고딕"/>
          <w:b/>
        </w:rPr>
      </w:pPr>
      <w:r>
        <w:rPr>
          <w:rFonts w:ascii="맑은 고딕" w:eastAsia="맑은 고딕" w:hAnsi="맑은 고딕" w:cs="맑은 고딕"/>
          <w:b/>
        </w:rPr>
        <w:drawing>
          <wp:inline distT="30" distB="30" distL="30" distR="30">
            <wp:extent cx="4320000" cy="2880000"/>
            <wp:effectExtent l="9525" t="9525" r="9525" b="9525"/>
            <wp:docPr id="1058" name="shape1058"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34">
                      <a:extLst>
                        <a:ext uri="{28A0092B-C50C-407E-A947-70E740481C1C}">
                          <a14:useLocalDpi xmlns:a14="http://schemas.microsoft.com/office/drawing/2010/main" val="0"/>
                        </a:ext>
                      </a:extLst>
                    </a:blip>
                    <a:srcRect/>
                    <a:stretch>
                      <a:fillRect/>
                    </a:stretch>
                  </pic:blipFill>
                  <pic:spPr>
                    <a:xfrm>
                      <a:off x="0" y="0"/>
                      <a:ext cx="4320000" cy="2880000"/>
                    </a:xfrm>
                    <a:prstGeom prst="rect"/>
                    <a:ln>
                      <a:solidFill>
                        <a:schemeClr val="lt1">
                          <a:alpha val="100000"/>
                        </a:schemeClr>
                      </a:solidFill>
                    </a:ln>
                  </pic:spPr>
                </pic:pic>
              </a:graphicData>
            </a:graphic>
          </wp:inline>
        </w:drawing>
      </w:r>
    </w:p>
    <w:p>
      <w:pPr>
        <w:ind w:left="0" w:firstLine="0"/>
        <w:jc w:val="both"/>
        <w:rPr>
          <w:rFonts w:ascii="맑은 고딕" w:eastAsia="맑은 고딕" w:hAnsi="맑은 고딕" w:cs="맑은 고딕"/>
          <w:sz w:val="20"/>
          <w:szCs w:val="20"/>
        </w:rPr>
      </w:pPr>
      <w:r>
        <w:rPr>
          <w:rFonts w:ascii="맑은 고딕" w:eastAsia="맑은 고딕" w:hAnsi="맑은 고딕" w:cs="맑은 고딕"/>
          <w:sz w:val="20"/>
          <w:szCs w:val="20"/>
          <w:rtl w:val="off"/>
        </w:rPr>
        <w:t>#분석내용: 소득범위 400~500만원 미만인 경우 육류가공품(1.1%), 조미수산가공품(1.9%), 빵/떡(1.4%), 간편식(4.7%), 면류(0.9%), 주류(0.3%) 등의 온라인 가공식품에 코로나19 발생 이후 지출액 비중이 증가했다.</w:t>
      </w:r>
    </w:p>
    <w:p>
      <w:pPr>
        <w:jc w:val="both"/>
        <w:rPr>
          <w:rFonts w:ascii="맑은 고딕" w:eastAsia="맑은 고딕" w:hAnsi="맑은 고딕" w:cs="맑은 고딕"/>
          <w:b/>
          <w:sz w:val="24"/>
          <w:szCs w:val="24"/>
        </w:rPr>
      </w:pPr>
    </w:p>
    <w:p>
      <w:pPr>
        <w:jc w:val="both"/>
        <w:rPr>
          <w:rFonts w:ascii="맑은 고딕" w:eastAsia="맑은 고딕" w:hAnsi="맑은 고딕" w:cs="맑은 고딕"/>
          <w:b/>
          <w:sz w:val="24"/>
          <w:szCs w:val="24"/>
        </w:rPr>
      </w:pPr>
      <w:r>
        <w:rPr>
          <w:rFonts w:ascii="맑은 고딕" w:eastAsia="맑은 고딕" w:hAnsi="맑은 고딕" w:cs="맑은 고딕"/>
          <w:b/>
          <w:sz w:val="24"/>
          <w:szCs w:val="24"/>
        </w:rPr>
        <w:drawing>
          <wp:inline distT="30" distB="30" distL="30" distR="30">
            <wp:extent cx="4320000" cy="2880000"/>
            <wp:effectExtent l="9525" t="9525" r="9525" b="9525"/>
            <wp:docPr id="1059" name="shape1059"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35">
                      <a:extLst>
                        <a:ext uri="{28A0092B-C50C-407E-A947-70E740481C1C}">
                          <a14:useLocalDpi xmlns:a14="http://schemas.microsoft.com/office/drawing/2010/main" val="0"/>
                        </a:ext>
                      </a:extLst>
                    </a:blip>
                    <a:srcRect/>
                    <a:stretch>
                      <a:fillRect/>
                    </a:stretch>
                  </pic:blipFill>
                  <pic:spPr>
                    <a:xfrm>
                      <a:off x="0" y="0"/>
                      <a:ext cx="4320000" cy="2880000"/>
                    </a:xfrm>
                    <a:prstGeom prst="rect"/>
                    <a:ln>
                      <a:solidFill>
                        <a:schemeClr val="lt1">
                          <a:alpha val="100000"/>
                        </a:schemeClr>
                      </a:solidFill>
                    </a:ln>
                  </pic:spPr>
                </pic:pic>
              </a:graphicData>
            </a:graphic>
          </wp:inline>
        </w:drawing>
      </w:r>
    </w:p>
    <w:p>
      <w:pPr>
        <w:ind w:left="0" w:firstLine="0"/>
        <w:jc w:val="both"/>
        <w:rPr>
          <w:rFonts w:ascii="맑은 고딕" w:eastAsia="맑은 고딕" w:hAnsi="맑은 고딕" w:cs="맑은 고딕"/>
          <w:sz w:val="20"/>
          <w:szCs w:val="20"/>
        </w:rPr>
      </w:pPr>
      <w:r>
        <w:rPr>
          <w:rFonts w:ascii="맑은 고딕" w:eastAsia="맑은 고딕" w:hAnsi="맑은 고딕" w:cs="맑은 고딕"/>
          <w:sz w:val="20"/>
          <w:szCs w:val="20"/>
          <w:rtl w:val="off"/>
        </w:rPr>
        <w:t>#분석내용: 소득범위 500~600만원 미만인 경우 육류가공품(1.1%), 조미수산가공품(0.4%), 유가공품(2.6%), 빵/떡(2.2%), 간편식(7.9%), 다류(0.9%) 등의 온라인 가공식품에 코로나19 이후 지출액 비중이 증가했다.</w:t>
      </w:r>
    </w:p>
    <w:p>
      <w:pPr>
        <w:jc w:val="both"/>
        <w:rPr>
          <w:rFonts w:ascii="맑은 고딕" w:eastAsia="맑은 고딕" w:hAnsi="맑은 고딕" w:cs="맑은 고딕"/>
          <w:b/>
          <w:sz w:val="24"/>
          <w:szCs w:val="24"/>
        </w:rPr>
      </w:pPr>
    </w:p>
    <w:p>
      <w:pPr>
        <w:jc w:val="both"/>
        <w:rPr>
          <w:rFonts w:ascii="맑은 고딕" w:eastAsia="맑은 고딕" w:hAnsi="맑은 고딕" w:cs="맑은 고딕"/>
          <w:b/>
          <w:sz w:val="24"/>
          <w:szCs w:val="24"/>
        </w:rPr>
      </w:pPr>
      <w:r>
        <w:rPr>
          <w:rFonts w:ascii="맑은 고딕" w:eastAsia="맑은 고딕" w:hAnsi="맑은 고딕" w:cs="맑은 고딕"/>
          <w:b/>
          <w:sz w:val="24"/>
          <w:szCs w:val="24"/>
        </w:rPr>
        <w:drawing>
          <wp:inline distT="30" distB="30" distL="30" distR="30">
            <wp:extent cx="4320000" cy="2880000"/>
            <wp:effectExtent l="9525" t="9525" r="9525" b="9525"/>
            <wp:docPr id="1060" name="shape1060"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36">
                      <a:extLst>
                        <a:ext uri="{28A0092B-C50C-407E-A947-70E740481C1C}">
                          <a14:useLocalDpi xmlns:a14="http://schemas.microsoft.com/office/drawing/2010/main" val="0"/>
                        </a:ext>
                      </a:extLst>
                    </a:blip>
                    <a:srcRect/>
                    <a:stretch>
                      <a:fillRect/>
                    </a:stretch>
                  </pic:blipFill>
                  <pic:spPr>
                    <a:xfrm>
                      <a:off x="0" y="0"/>
                      <a:ext cx="4320000" cy="2880000"/>
                    </a:xfrm>
                    <a:prstGeom prst="rect"/>
                    <a:ln>
                      <a:solidFill>
                        <a:schemeClr val="lt1">
                          <a:alpha val="100000"/>
                        </a:schemeClr>
                      </a:solidFill>
                    </a:ln>
                  </pic:spPr>
                </pic:pic>
              </a:graphicData>
            </a:graphic>
          </wp:inline>
        </w:drawing>
      </w:r>
    </w:p>
    <w:p>
      <w:pPr>
        <w:ind w:left="0" w:firstLine="0"/>
        <w:jc w:val="both"/>
        <w:rPr>
          <w:rFonts w:ascii="맑은 고딕" w:eastAsia="맑은 고딕" w:hAnsi="맑은 고딕" w:cs="맑은 고딕"/>
          <w:sz w:val="20"/>
          <w:szCs w:val="20"/>
        </w:rPr>
      </w:pPr>
      <w:r>
        <w:rPr>
          <w:rFonts w:ascii="맑은 고딕" w:eastAsia="맑은 고딕" w:hAnsi="맑은 고딕" w:cs="맑은 고딕"/>
          <w:sz w:val="20"/>
          <w:szCs w:val="20"/>
          <w:rtl w:val="off"/>
        </w:rPr>
        <w:t>#분석내용: 소득범위 600만원 이상인 경우 육류가공품(0.2%), 조미수산가공품(0.7%) 유가공품(1.0%), 빵/떡(2.6%), 간편식(8.2%), 면류(1.2%) 등의 온라인 가공식품에 코로나19 발생 이후 지출액 비중이 증가했다.</w:t>
      </w:r>
    </w:p>
    <w:p>
      <w:pPr>
        <w:ind w:left="0" w:firstLine="0"/>
        <w:jc w:val="both"/>
        <w:rPr>
          <w:rFonts w:ascii="맑은 고딕" w:eastAsia="맑은 고딕" w:hAnsi="맑은 고딕" w:cs="맑은 고딕"/>
          <w:sz w:val="20"/>
          <w:szCs w:val="20"/>
        </w:rPr>
      </w:pPr>
    </w:p>
    <w:p>
      <w:pPr>
        <w:jc w:val="both"/>
        <w:rPr>
          <w:rFonts w:ascii="맑은 고딕" w:eastAsia="맑은 고딕" w:hAnsi="맑은 고딕" w:cs="맑은 고딕"/>
          <w:sz w:val="20"/>
          <w:szCs w:val="20"/>
        </w:rPr>
      </w:pPr>
      <w:r>
        <w:rPr>
          <w:rFonts w:ascii="맑은 고딕" w:eastAsia="맑은 고딕" w:hAnsi="맑은 고딕" w:cs="맑은 고딕"/>
          <w:sz w:val="20"/>
          <w:szCs w:val="20"/>
        </w:rPr>
        <w:drawing>
          <wp:inline distT="180" distB="180" distL="180" distR="180">
            <wp:extent cx="5731200" cy="2870200"/>
            <wp:effectExtent l="9525" t="9525" r="9525" b="9525"/>
            <wp:docPr id="1061" name="shape1061"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37">
                      <a:extLst>
                        <a:ext uri="{28A0092B-C50C-407E-A947-70E740481C1C}">
                          <a14:useLocalDpi xmlns:a14="http://schemas.microsoft.com/office/drawing/2010/main" val="0"/>
                        </a:ext>
                      </a:extLst>
                    </a:blip>
                    <a:srcRect/>
                    <a:stretch>
                      <a:fillRect/>
                    </a:stretch>
                  </pic:blipFill>
                  <pic:spPr>
                    <a:xfrm>
                      <a:off x="0" y="0"/>
                      <a:ext cx="5731200" cy="2870200"/>
                    </a:xfrm>
                    <a:prstGeom prst="rect"/>
                    <a:ln>
                      <a:solidFill>
                        <a:schemeClr val="lt1">
                          <a:alpha val="100000"/>
                        </a:schemeClr>
                      </a:solidFill>
                    </a:ln>
                  </pic:spPr>
                </pic:pic>
              </a:graphicData>
            </a:graphic>
          </wp:inline>
        </w:drawing>
      </w:r>
    </w:p>
    <w:p>
      <w:pPr>
        <w:ind w:left="0" w:firstLine="0"/>
        <w:jc w:val="both"/>
        <w:rPr>
          <w:rFonts w:ascii="맑은 고딕" w:eastAsia="맑은 고딕" w:hAnsi="맑은 고딕" w:cs="맑은 고딕"/>
          <w:sz w:val="20"/>
          <w:szCs w:val="20"/>
        </w:rPr>
      </w:pPr>
      <w:r>
        <w:rPr>
          <w:rFonts w:ascii="맑은 고딕" w:eastAsia="맑은 고딕" w:hAnsi="맑은 고딕" w:cs="맑은 고딕"/>
          <w:sz w:val="20"/>
          <w:szCs w:val="20"/>
          <w:rtl w:val="off"/>
        </w:rPr>
        <w:t xml:space="preserve">#종합분석: </w:t>
      </w:r>
    </w:p>
    <w:p>
      <w:pPr>
        <w:ind w:left="0" w:firstLine="0"/>
        <w:jc w:val="both"/>
        <w:rPr>
          <w:rFonts w:ascii="맑은 고딕" w:eastAsia="맑은 고딕" w:hAnsi="맑은 고딕" w:cs="맑은 고딕"/>
          <w:sz w:val="20"/>
          <w:szCs w:val="20"/>
        </w:rPr>
      </w:pPr>
      <w:r>
        <w:rPr>
          <w:rFonts w:ascii="맑은 고딕" w:eastAsia="맑은 고딕" w:hAnsi="맑은 고딕" w:cs="맑은 고딕"/>
          <w:sz w:val="20"/>
          <w:szCs w:val="20"/>
          <w:rtl w:val="off"/>
        </w:rPr>
        <w:t>소득별로 지출액 비율이 5프로 미만인 것은제외하고 그래프 시각화한결과, 코로나19 발생 이후 간편식과 면류의 지출액 비중은 소득이 올라감에 따라 감소하는 경향을 보였다. 1인가구는 육류가공품, 조미수산가공품, 빵/떡,과자, 간편식, 면류등의 온라인 가공식품에 코로나19 발생 이후 지출액 비중이 증가했다. 또한 소득별로 세부항목에대한 지출액 비중의 변화 차이가 난다. 모든 소득 범위에서 간편식의 경우 약 5%이상이 증가했다. 소득 200만원 미만의 범위인 경우 면류에서도 5%이상 증가를 보였다.</w:t>
      </w:r>
    </w:p>
    <w:p>
      <w:pPr>
        <w:jc w:val="both"/>
        <w:rPr>
          <w:lang w:eastAsia="ko-KR"/>
          <w:rFonts w:ascii="맑은 고딕" w:eastAsia="맑은 고딕" w:hAnsi="맑은 고딕" w:cs="맑은 고딕" w:hint="eastAsia"/>
          <w:b/>
          <w:sz w:val="24"/>
          <w:szCs w:val="24"/>
          <w:rtl w:val="off"/>
        </w:rPr>
      </w:pPr>
    </w:p>
    <w:p>
      <w:pPr>
        <w:jc w:val="both"/>
        <w:rPr>
          <w:rFonts w:ascii="맑은 고딕" w:eastAsia="맑은 고딕" w:hAnsi="맑은 고딕" w:cs="맑은 고딕"/>
          <w:b/>
          <w:sz w:val="24"/>
          <w:szCs w:val="24"/>
        </w:rPr>
      </w:pPr>
      <w:r>
        <w:rPr>
          <w:lang w:eastAsia="ko-KR"/>
          <w:rFonts w:ascii="맑은 고딕" w:eastAsia="맑은 고딕" w:hAnsi="맑은 고딕" w:cs="맑은 고딕"/>
          <w:b/>
          <w:sz w:val="24"/>
          <w:szCs w:val="24"/>
          <w:rtl w:val="off"/>
        </w:rPr>
        <w:t xml:space="preserve">   6. </w:t>
      </w:r>
      <w:r>
        <w:rPr>
          <w:rFonts w:ascii="맑은 고딕" w:eastAsia="맑은 고딕" w:hAnsi="맑은 고딕" w:cs="맑은 고딕"/>
          <w:b/>
          <w:sz w:val="24"/>
          <w:szCs w:val="24"/>
          <w:rtl w:val="off"/>
        </w:rPr>
        <w:t>활용방안</w:t>
      </w:r>
    </w:p>
    <w:p>
      <w:pPr>
        <w:jc w:val="both"/>
        <w:rPr>
          <w:rFonts w:ascii="맑은 고딕" w:eastAsia="맑은 고딕" w:hAnsi="맑은 고딕" w:cs="맑은 고딕"/>
          <w:sz w:val="20"/>
          <w:szCs w:val="20"/>
        </w:rPr>
      </w:pPr>
      <w:r>
        <w:rPr>
          <w:rFonts w:ascii="맑은 고딕" w:eastAsia="맑은 고딕" w:hAnsi="맑은 고딕" w:cs="맑은 고딕"/>
          <w:sz w:val="20"/>
          <w:szCs w:val="20"/>
          <w:rtl w:val="off"/>
        </w:rPr>
        <w:t xml:space="preserve"> 성별, 연령대, 소득에따라 다양한 소비패턴을 보이기 때문에 이러한 결과들을 참고하여  1인가구를 위한  온라인 가공식품 쇼핑몰 상품구성시 카테고리를 설정할수 있을것이다. 거래액 비중이 증가하는 항목들을 상품구성시 우선순위로하여 온라인 식품 쇼핑몰의 판매전략에도 활용가능 할것이다.  또한, 본 보고서의 분석결과를 통해 1인가구를 위한 온라인 쇼핑몰 식품 추천서비스에도 활용할수 있을 것으로 보인다.</w:t>
      </w:r>
    </w:p>
    <w:p>
      <w:pPr>
        <w:jc w:val="both"/>
        <w:rPr>
          <w:rFonts w:ascii="맑은 고딕" w:eastAsia="맑은 고딕" w:hAnsi="맑은 고딕" w:cs="맑은 고딕"/>
          <w:sz w:val="20"/>
          <w:szCs w:val="20"/>
        </w:rPr>
      </w:pPr>
      <w:r>
        <w:rPr>
          <w:rFonts w:ascii="맑은 고딕" w:eastAsia="맑은 고딕" w:hAnsi="맑은 고딕" w:cs="맑은 고딕"/>
          <w:sz w:val="20"/>
          <w:szCs w:val="20"/>
          <w:rtl w:val="off"/>
        </w:rPr>
        <w:t xml:space="preserve">  </w:t>
      </w:r>
    </w:p>
    <w:p>
      <w:pPr>
        <w:jc w:val="both"/>
        <w:rPr>
          <w:rFonts w:ascii="맑은 고딕" w:eastAsia="맑은 고딕" w:hAnsi="맑은 고딕" w:cs="맑은 고딕"/>
          <w:sz w:val="20"/>
          <w:szCs w:val="20"/>
        </w:rPr>
      </w:pPr>
    </w:p>
    <w:p>
      <w:pPr>
        <w:jc w:val="both"/>
        <w:rPr>
          <w:rFonts w:ascii="맑은 고딕" w:eastAsia="맑은 고딕" w:hAnsi="맑은 고딕" w:cs="맑은 고딕"/>
          <w:b/>
          <w:sz w:val="24"/>
          <w:szCs w:val="24"/>
          <w:u w:val="none" w:color="auto"/>
        </w:rPr>
      </w:pPr>
      <w:r>
        <w:rPr>
          <w:lang w:eastAsia="ko-KR"/>
          <w:rFonts w:ascii="맑은 고딕" w:eastAsia="맑은 고딕" w:hAnsi="맑은 고딕" w:cs="맑은 고딕"/>
          <w:b/>
          <w:sz w:val="24"/>
          <w:szCs w:val="24"/>
          <w:rtl w:val="off"/>
        </w:rPr>
        <w:t xml:space="preserve">    7. </w:t>
      </w:r>
      <w:r>
        <w:rPr>
          <w:rFonts w:ascii="맑은 고딕" w:eastAsia="맑은 고딕" w:hAnsi="맑은 고딕" w:cs="맑은 고딕"/>
          <w:b/>
          <w:sz w:val="24"/>
          <w:szCs w:val="24"/>
          <w:rtl w:val="off"/>
        </w:rPr>
        <w:t>참고문헌</w:t>
      </w:r>
    </w:p>
    <w:p>
      <w:pPr>
        <w:ind w:left="720" w:hanging="360"/>
        <w:jc w:val="both"/>
        <w:numPr>
          <w:ilvl w:val="0"/>
          <w:numId w:val="6"/>
        </w:numPr>
        <w:rPr>
          <w:rFonts w:ascii="맑은 고딕" w:eastAsia="맑은 고딕" w:hAnsi="맑은 고딕" w:cs="맑은 고딕"/>
          <w:sz w:val="20"/>
          <w:szCs w:val="20"/>
          <w:u w:val="none" w:color="auto"/>
        </w:rPr>
      </w:pPr>
      <w:r>
        <w:rPr>
          <w:rFonts w:ascii="맑은 고딕" w:eastAsia="맑은 고딕" w:hAnsi="맑은 고딕" w:cs="맑은 고딕"/>
          <w:sz w:val="20"/>
          <w:szCs w:val="20"/>
          <w:rtl w:val="off"/>
        </w:rPr>
        <w:t>정 인외 1, 2018 한국 1인가구 보고서, KB연구보고서</w:t>
      </w:r>
    </w:p>
    <w:p>
      <w:pPr>
        <w:jc w:val="both"/>
        <w:rPr>
          <w:rFonts w:ascii="맑은 고딕" w:eastAsia="맑은 고딕" w:hAnsi="맑은 고딕" w:cs="맑은 고딕"/>
          <w:sz w:val="20"/>
          <w:szCs w:val="20"/>
        </w:rPr>
      </w:pPr>
    </w:p>
    <w:sectPr>
      <w:pgSz w:w="11909" w:h="16834"/>
      <w:pgMar w:top="1701" w:right="1440" w:bottom="1440" w:left="1440" w:header="720" w:footer="720" w:gutter="0"/>
      <w:cols/>
      <w:docGrid w:linePitch="360"/>
      <w:footerReference w:type="default" r:id="rId38"/>
      <w:pgNumType w:start="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comment w:id="1" w:author="Jin Heo" w:date="2022-01-01T23:06:33Z">
    <w:p>
      <w:pPr>
        <w:ind w:left="0" w:right="0" w:firstLine="0"/>
        <w:keepNext w:val="off"/>
        <w:keepLines w:val="off"/>
        <w:pageBreakBefore w:val="off"/>
        <w:widowControl w:val="off"/>
        <w:jc w:val="left"/>
        <w:pBdr>
          <w:between w:val="nil"/>
          <w:top w:val="nil"/>
          <w:left w:val="nil"/>
          <w:bottom w:val="nil"/>
          <w:right w:val="nil"/>
        </w:pBdr>
        <w:shd w:val="clear" w:color="auto" w:fill="auto"/>
        <w:spacing w:after="0" w:before="0" w:line="240" w:lineRule="auto"/>
        <w:rPr>
          <w:rFonts w:ascii="Arial" w:eastAsia="Arial" w:hAnsi="Arial" w:cs="Arial"/>
          <w:b w:val="0"/>
          <w:i w:val="0"/>
          <w:smallCaps w:val="off"/>
          <w:strike w:val="off"/>
          <w:color w:val="000000"/>
          <w:sz w:val="22"/>
          <w:szCs w:val="22"/>
          <w:u w:val="none" w:color="auto"/>
          <w:shd w:val="clear" w:color="auto" w:fill="auto"/>
          <w:vertAlign w:val="baseline"/>
        </w:rPr>
      </w:pPr>
      <w:r>
        <w:rPr>
          <w:rFonts w:ascii="Arial Unicode MS" w:eastAsia="Arial Unicode MS" w:hAnsi="Arial Unicode MS" w:cs="Arial Unicode MS"/>
          <w:b w:val="0"/>
          <w:i w:val="0"/>
          <w:smallCaps w:val="off"/>
          <w:strike w:val="off"/>
          <w:color w:val="000000"/>
          <w:sz w:val="22"/>
          <w:szCs w:val="22"/>
          <w:u w:val="none" w:color="auto"/>
          <w:shd w:val="clear" w:color="auto" w:fill="auto"/>
          <w:vertAlign w:val="baseline"/>
          <w:rtl w:val="off"/>
        </w:rPr>
        <w:t>혜리씨, 스켈일링 할때 얼마 곱했는지 기입해주세요.</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맑은 고딕">
    <w:panose1 w:val="020B0503020000020004"/>
    <w:charset w:val="00"/>
    <w:notTrueType w:val="false"/>
    <w:sig w:usb0="9000002F" w:usb1="29D77CFB" w:usb2="00000012" w:usb3="00000001" w:csb0="00080001" w:csb1="00000001"/>
  </w:font>
  <w:font w:name="Arial Unicode MS">
    <w:panose1 w:val="020B0604020202020204"/>
    <w:charset w:val="00"/>
    <w:notTrueType w:val="false"/>
    <w:sig w:usb0="FFFFFFFF" w:usb1="E9FFFFFF" w:usb2="0000003F" w:usb3="00000001" w:csb0="603F01FF" w:csb1="FFFF0000"/>
  </w:font>
  <w:font w:name="Arial">
    <w:panose1 w:val="020B0604020202020204"/>
    <w:charset w:val="00"/>
    <w:notTrueType w:val="false"/>
    <w:sig w:usb0="E0002EFF" w:usb1="C000785B" w:usb2="00000009" w:usb3="00000001"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p>
    <w:pPr>
      <w:jc w:val="right"/>
      <w:rPr/>
    </w:pPr>
    <w:r>
      <w:rPr/>
      <w:fldChar w:fldCharType="begin"/>
    </w:r>
    <w:r>
      <w:rPr/>
      <w:instrText>PAGE</w:instrText>
    </w:r>
    <w:r>
      <w:rPr/>
      <w:fldChar w:fldCharType="separate"/>
    </w:r>
    <w:r>
      <w:rPr/>
      <w:fldChar w:fldCharType="end"/>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14="http://schemas.microsoft.com/office/word/2010/wordml" xmlns:wne="http://schemas.microsoft.com/office/word/2006/wordml">
  <w:abstractNum w:abstractNumId="0">
    <w:multiLevelType w:val="singleLevel"/>
    <w:lvl w:ilvl="0">
      <w:start w:val="1"/>
      <w:lvlText w:val="%1."/>
      <w:lvlJc w:val="left"/>
      <w:pPr>
        <w:ind w:left="720" w:hanging="360"/>
      </w:pPr>
      <w:rPr>
        <w:u w:val="none" w:color="auto"/>
      </w:rPr>
    </w:lvl>
    <w:lvl w:ilvl="1">
      <w:start w:val="1"/>
      <w:numFmt w:val="lowerLetter"/>
      <w:lvlText w:val="%2."/>
      <w:lvlJc w:val="left"/>
      <w:pPr>
        <w:ind w:left="1440" w:hanging="360"/>
      </w:pPr>
      <w:rPr>
        <w:u w:val="none" w:color="auto"/>
      </w:rPr>
    </w:lvl>
    <w:lvl w:ilvl="2">
      <w:start w:val="1"/>
      <w:numFmt w:val="lowerRoman"/>
      <w:lvlText w:val="%3."/>
      <w:lvlJc w:val="right"/>
      <w:pPr>
        <w:ind w:left="2160" w:hanging="360"/>
      </w:pPr>
      <w:rPr>
        <w:u w:val="none" w:color="auto"/>
      </w:rPr>
    </w:lvl>
    <w:lvl w:ilvl="3">
      <w:start w:val="1"/>
      <w:lvlText w:val="%4."/>
      <w:lvlJc w:val="left"/>
      <w:pPr>
        <w:ind w:left="2880" w:hanging="360"/>
      </w:pPr>
      <w:rPr>
        <w:u w:val="none" w:color="auto"/>
      </w:rPr>
    </w:lvl>
    <w:lvl w:ilvl="4">
      <w:start w:val="1"/>
      <w:numFmt w:val="lowerLetter"/>
      <w:lvlText w:val="%5."/>
      <w:lvlJc w:val="left"/>
      <w:pPr>
        <w:ind w:left="3600" w:hanging="360"/>
      </w:pPr>
      <w:rPr>
        <w:u w:val="none" w:color="auto"/>
      </w:rPr>
    </w:lvl>
    <w:lvl w:ilvl="5">
      <w:start w:val="1"/>
      <w:numFmt w:val="lowerRoman"/>
      <w:lvlText w:val="%6."/>
      <w:lvlJc w:val="right"/>
      <w:pPr>
        <w:ind w:left="4320" w:hanging="360"/>
      </w:pPr>
      <w:rPr>
        <w:u w:val="none" w:color="auto"/>
      </w:rPr>
    </w:lvl>
    <w:lvl w:ilvl="6">
      <w:start w:val="1"/>
      <w:lvlText w:val="%7."/>
      <w:lvlJc w:val="left"/>
      <w:pPr>
        <w:ind w:left="5040" w:hanging="360"/>
      </w:pPr>
      <w:rPr>
        <w:u w:val="none" w:color="auto"/>
      </w:rPr>
    </w:lvl>
    <w:lvl w:ilvl="7">
      <w:start w:val="1"/>
      <w:numFmt w:val="lowerLetter"/>
      <w:lvlText w:val="%8."/>
      <w:lvlJc w:val="left"/>
      <w:pPr>
        <w:ind w:left="5760" w:hanging="360"/>
      </w:pPr>
      <w:rPr>
        <w:u w:val="none" w:color="auto"/>
      </w:rPr>
    </w:lvl>
    <w:lvl w:ilvl="8">
      <w:start w:val="1"/>
      <w:numFmt w:val="lowerRoman"/>
      <w:lvlText w:val="%9."/>
      <w:lvlJc w:val="right"/>
      <w:pPr>
        <w:ind w:left="6480" w:hanging="360"/>
      </w:pPr>
      <w:rPr>
        <w:u w:val="none" w:color="auto"/>
      </w:rPr>
    </w:lvl>
  </w:abstractNum>
  <w:abstractNum w:abstractNumId="1">
    <w:multiLevelType w:val="singleLevel"/>
    <w:lvl w:ilvl="0">
      <w:start w:val="1"/>
      <w:numFmt w:val="bullet"/>
      <w:lvlText w:val="-"/>
      <w:lvlJc w:val="left"/>
      <w:pPr>
        <w:ind w:left="720" w:hanging="360"/>
      </w:pPr>
      <w:rPr>
        <w:u w:val="none" w:color="auto"/>
      </w:rPr>
    </w:lvl>
    <w:lvl w:ilvl="1">
      <w:start w:val="1"/>
      <w:numFmt w:val="bullet"/>
      <w:lvlText w:val="-"/>
      <w:lvlJc w:val="left"/>
      <w:pPr>
        <w:ind w:left="1440" w:hanging="360"/>
      </w:pPr>
      <w:rPr>
        <w:u w:val="none" w:color="auto"/>
      </w:rPr>
    </w:lvl>
    <w:lvl w:ilvl="2">
      <w:start w:val="1"/>
      <w:numFmt w:val="bullet"/>
      <w:lvlText w:val="-"/>
      <w:lvlJc w:val="left"/>
      <w:pPr>
        <w:ind w:left="2160" w:hanging="360"/>
      </w:pPr>
      <w:rPr>
        <w:u w:val="none" w:color="auto"/>
      </w:rPr>
    </w:lvl>
    <w:lvl w:ilvl="3">
      <w:start w:val="1"/>
      <w:numFmt w:val="bullet"/>
      <w:lvlText w:val="-"/>
      <w:lvlJc w:val="left"/>
      <w:pPr>
        <w:ind w:left="2880" w:hanging="360"/>
      </w:pPr>
      <w:rPr>
        <w:u w:val="none" w:color="auto"/>
      </w:rPr>
    </w:lvl>
    <w:lvl w:ilvl="4">
      <w:start w:val="1"/>
      <w:numFmt w:val="bullet"/>
      <w:lvlText w:val="-"/>
      <w:lvlJc w:val="left"/>
      <w:pPr>
        <w:ind w:left="3600" w:hanging="360"/>
      </w:pPr>
      <w:rPr>
        <w:u w:val="none" w:color="auto"/>
      </w:rPr>
    </w:lvl>
    <w:lvl w:ilvl="5">
      <w:start w:val="1"/>
      <w:numFmt w:val="bullet"/>
      <w:lvlText w:val="-"/>
      <w:lvlJc w:val="left"/>
      <w:pPr>
        <w:ind w:left="4320" w:hanging="360"/>
      </w:pPr>
      <w:rPr>
        <w:u w:val="none" w:color="auto"/>
      </w:rPr>
    </w:lvl>
    <w:lvl w:ilvl="6">
      <w:start w:val="1"/>
      <w:numFmt w:val="bullet"/>
      <w:lvlText w:val="-"/>
      <w:lvlJc w:val="left"/>
      <w:pPr>
        <w:ind w:left="5040" w:hanging="360"/>
      </w:pPr>
      <w:rPr>
        <w:u w:val="none" w:color="auto"/>
      </w:rPr>
    </w:lvl>
    <w:lvl w:ilvl="7">
      <w:start w:val="1"/>
      <w:numFmt w:val="bullet"/>
      <w:lvlText w:val="-"/>
      <w:lvlJc w:val="left"/>
      <w:pPr>
        <w:ind w:left="5760" w:hanging="360"/>
      </w:pPr>
      <w:rPr>
        <w:u w:val="none" w:color="auto"/>
      </w:rPr>
    </w:lvl>
    <w:lvl w:ilvl="8">
      <w:start w:val="1"/>
      <w:numFmt w:val="bullet"/>
      <w:lvlText w:val="-"/>
      <w:lvlJc w:val="left"/>
      <w:pPr>
        <w:ind w:left="6480" w:hanging="360"/>
      </w:pPr>
      <w:rPr>
        <w:u w:val="none" w:color="auto"/>
      </w:rPr>
    </w:lvl>
  </w:abstractNum>
  <w:abstractNum w:abstractNumId="2">
    <w:multiLevelType w:val="singleLevel"/>
    <w:lvl w:ilvl="0">
      <w:start w:val="1"/>
      <w:numFmt w:val="bullet"/>
      <w:lvlText w:val="-"/>
      <w:lvlJc w:val="left"/>
      <w:pPr>
        <w:ind w:left="720" w:hanging="360"/>
      </w:pPr>
      <w:rPr>
        <w:u w:val="none" w:color="auto"/>
      </w:rPr>
    </w:lvl>
    <w:lvl w:ilvl="1">
      <w:start w:val="1"/>
      <w:numFmt w:val="bullet"/>
      <w:lvlText w:val="-"/>
      <w:lvlJc w:val="left"/>
      <w:pPr>
        <w:ind w:left="1440" w:hanging="360"/>
      </w:pPr>
      <w:rPr>
        <w:u w:val="none" w:color="auto"/>
      </w:rPr>
    </w:lvl>
    <w:lvl w:ilvl="2">
      <w:start w:val="1"/>
      <w:numFmt w:val="bullet"/>
      <w:lvlText w:val="-"/>
      <w:lvlJc w:val="left"/>
      <w:pPr>
        <w:ind w:left="2160" w:hanging="360"/>
      </w:pPr>
      <w:rPr>
        <w:u w:val="none" w:color="auto"/>
      </w:rPr>
    </w:lvl>
    <w:lvl w:ilvl="3">
      <w:start w:val="1"/>
      <w:numFmt w:val="bullet"/>
      <w:lvlText w:val="-"/>
      <w:lvlJc w:val="left"/>
      <w:pPr>
        <w:ind w:left="2880" w:hanging="360"/>
      </w:pPr>
      <w:rPr>
        <w:u w:val="none" w:color="auto"/>
      </w:rPr>
    </w:lvl>
    <w:lvl w:ilvl="4">
      <w:start w:val="1"/>
      <w:numFmt w:val="bullet"/>
      <w:lvlText w:val="-"/>
      <w:lvlJc w:val="left"/>
      <w:pPr>
        <w:ind w:left="3600" w:hanging="360"/>
      </w:pPr>
      <w:rPr>
        <w:u w:val="none" w:color="auto"/>
      </w:rPr>
    </w:lvl>
    <w:lvl w:ilvl="5">
      <w:start w:val="1"/>
      <w:numFmt w:val="bullet"/>
      <w:lvlText w:val="-"/>
      <w:lvlJc w:val="left"/>
      <w:pPr>
        <w:ind w:left="4320" w:hanging="360"/>
      </w:pPr>
      <w:rPr>
        <w:u w:val="none" w:color="auto"/>
      </w:rPr>
    </w:lvl>
    <w:lvl w:ilvl="6">
      <w:start w:val="1"/>
      <w:numFmt w:val="bullet"/>
      <w:lvlText w:val="-"/>
      <w:lvlJc w:val="left"/>
      <w:pPr>
        <w:ind w:left="5040" w:hanging="360"/>
      </w:pPr>
      <w:rPr>
        <w:u w:val="none" w:color="auto"/>
      </w:rPr>
    </w:lvl>
    <w:lvl w:ilvl="7">
      <w:start w:val="1"/>
      <w:numFmt w:val="bullet"/>
      <w:lvlText w:val="-"/>
      <w:lvlJc w:val="left"/>
      <w:pPr>
        <w:ind w:left="5760" w:hanging="360"/>
      </w:pPr>
      <w:rPr>
        <w:u w:val="none" w:color="auto"/>
      </w:rPr>
    </w:lvl>
    <w:lvl w:ilvl="8">
      <w:start w:val="1"/>
      <w:numFmt w:val="bullet"/>
      <w:lvlText w:val="-"/>
      <w:lvlJc w:val="left"/>
      <w:pPr>
        <w:ind w:left="6480" w:hanging="360"/>
      </w:pPr>
      <w:rPr>
        <w:u w:val="none" w:color="auto"/>
      </w:rPr>
    </w:lvl>
  </w:abstractNum>
  <w:abstractNum w:abstractNumId="3">
    <w:multiLevelType w:val="singleLevel"/>
    <w:lvl w:ilvl="0">
      <w:start w:val="1"/>
      <w:numFmt w:val="bullet"/>
      <w:lvlText w:val="-"/>
      <w:lvlJc w:val="left"/>
      <w:pPr>
        <w:ind w:left="720" w:hanging="360"/>
      </w:pPr>
      <w:rPr>
        <w:u w:val="none" w:color="auto"/>
      </w:rPr>
    </w:lvl>
    <w:lvl w:ilvl="1">
      <w:start w:val="1"/>
      <w:numFmt w:val="bullet"/>
      <w:lvlText w:val="-"/>
      <w:lvlJc w:val="left"/>
      <w:pPr>
        <w:ind w:left="1440" w:hanging="360"/>
      </w:pPr>
      <w:rPr>
        <w:u w:val="none" w:color="auto"/>
      </w:rPr>
    </w:lvl>
    <w:lvl w:ilvl="2">
      <w:start w:val="1"/>
      <w:numFmt w:val="bullet"/>
      <w:lvlText w:val="-"/>
      <w:lvlJc w:val="left"/>
      <w:pPr>
        <w:ind w:left="2160" w:hanging="360"/>
      </w:pPr>
      <w:rPr>
        <w:u w:val="none" w:color="auto"/>
      </w:rPr>
    </w:lvl>
    <w:lvl w:ilvl="3">
      <w:start w:val="1"/>
      <w:numFmt w:val="bullet"/>
      <w:lvlText w:val="-"/>
      <w:lvlJc w:val="left"/>
      <w:pPr>
        <w:ind w:left="2880" w:hanging="360"/>
      </w:pPr>
      <w:rPr>
        <w:u w:val="none" w:color="auto"/>
      </w:rPr>
    </w:lvl>
    <w:lvl w:ilvl="4">
      <w:start w:val="1"/>
      <w:numFmt w:val="bullet"/>
      <w:lvlText w:val="-"/>
      <w:lvlJc w:val="left"/>
      <w:pPr>
        <w:ind w:left="3600" w:hanging="360"/>
      </w:pPr>
      <w:rPr>
        <w:u w:val="none" w:color="auto"/>
      </w:rPr>
    </w:lvl>
    <w:lvl w:ilvl="5">
      <w:start w:val="1"/>
      <w:numFmt w:val="bullet"/>
      <w:lvlText w:val="-"/>
      <w:lvlJc w:val="left"/>
      <w:pPr>
        <w:ind w:left="4320" w:hanging="360"/>
      </w:pPr>
      <w:rPr>
        <w:u w:val="none" w:color="auto"/>
      </w:rPr>
    </w:lvl>
    <w:lvl w:ilvl="6">
      <w:start w:val="1"/>
      <w:numFmt w:val="bullet"/>
      <w:lvlText w:val="-"/>
      <w:lvlJc w:val="left"/>
      <w:pPr>
        <w:ind w:left="5040" w:hanging="360"/>
      </w:pPr>
      <w:rPr>
        <w:u w:val="none" w:color="auto"/>
      </w:rPr>
    </w:lvl>
    <w:lvl w:ilvl="7">
      <w:start w:val="1"/>
      <w:numFmt w:val="bullet"/>
      <w:lvlText w:val="-"/>
      <w:lvlJc w:val="left"/>
      <w:pPr>
        <w:ind w:left="5760" w:hanging="360"/>
      </w:pPr>
      <w:rPr>
        <w:u w:val="none" w:color="auto"/>
      </w:rPr>
    </w:lvl>
    <w:lvl w:ilvl="8">
      <w:start w:val="1"/>
      <w:numFmt w:val="bullet"/>
      <w:lvlText w:val="-"/>
      <w:lvlJc w:val="left"/>
      <w:pPr>
        <w:ind w:left="6480" w:hanging="360"/>
      </w:pPr>
      <w:rPr>
        <w:u w:val="none" w:color="auto"/>
      </w:rPr>
    </w:lvl>
  </w:abstractNum>
  <w:abstractNum w:abstractNumId="4">
    <w:multiLevelType w:val="singleLevel"/>
    <w:lvl w:ilvl="0">
      <w:start w:val="1"/>
      <w:numFmt w:val="bullet"/>
      <w:lvlText w:val="-"/>
      <w:lvlJc w:val="left"/>
      <w:pPr>
        <w:ind w:left="720" w:hanging="360"/>
      </w:pPr>
      <w:rPr>
        <w:u w:val="none" w:color="auto"/>
      </w:rPr>
    </w:lvl>
    <w:lvl w:ilvl="1">
      <w:start w:val="1"/>
      <w:numFmt w:val="bullet"/>
      <w:lvlText w:val="-"/>
      <w:lvlJc w:val="left"/>
      <w:pPr>
        <w:ind w:left="1440" w:hanging="360"/>
      </w:pPr>
      <w:rPr>
        <w:u w:val="none" w:color="auto"/>
      </w:rPr>
    </w:lvl>
    <w:lvl w:ilvl="2">
      <w:start w:val="1"/>
      <w:numFmt w:val="bullet"/>
      <w:lvlText w:val="-"/>
      <w:lvlJc w:val="left"/>
      <w:pPr>
        <w:ind w:left="2160" w:hanging="360"/>
      </w:pPr>
      <w:rPr>
        <w:u w:val="none" w:color="auto"/>
      </w:rPr>
    </w:lvl>
    <w:lvl w:ilvl="3">
      <w:start w:val="1"/>
      <w:numFmt w:val="bullet"/>
      <w:lvlText w:val="-"/>
      <w:lvlJc w:val="left"/>
      <w:pPr>
        <w:ind w:left="2880" w:hanging="360"/>
      </w:pPr>
      <w:rPr>
        <w:u w:val="none" w:color="auto"/>
      </w:rPr>
    </w:lvl>
    <w:lvl w:ilvl="4">
      <w:start w:val="1"/>
      <w:numFmt w:val="bullet"/>
      <w:lvlText w:val="-"/>
      <w:lvlJc w:val="left"/>
      <w:pPr>
        <w:ind w:left="3600" w:hanging="360"/>
      </w:pPr>
      <w:rPr>
        <w:u w:val="none" w:color="auto"/>
      </w:rPr>
    </w:lvl>
    <w:lvl w:ilvl="5">
      <w:start w:val="1"/>
      <w:numFmt w:val="bullet"/>
      <w:lvlText w:val="-"/>
      <w:lvlJc w:val="left"/>
      <w:pPr>
        <w:ind w:left="4320" w:hanging="360"/>
      </w:pPr>
      <w:rPr>
        <w:u w:val="none" w:color="auto"/>
      </w:rPr>
    </w:lvl>
    <w:lvl w:ilvl="6">
      <w:start w:val="1"/>
      <w:numFmt w:val="bullet"/>
      <w:lvlText w:val="-"/>
      <w:lvlJc w:val="left"/>
      <w:pPr>
        <w:ind w:left="5040" w:hanging="360"/>
      </w:pPr>
      <w:rPr>
        <w:u w:val="none" w:color="auto"/>
      </w:rPr>
    </w:lvl>
    <w:lvl w:ilvl="7">
      <w:start w:val="1"/>
      <w:numFmt w:val="bullet"/>
      <w:lvlText w:val="-"/>
      <w:lvlJc w:val="left"/>
      <w:pPr>
        <w:ind w:left="5760" w:hanging="360"/>
      </w:pPr>
      <w:rPr>
        <w:u w:val="none" w:color="auto"/>
      </w:rPr>
    </w:lvl>
    <w:lvl w:ilvl="8">
      <w:start w:val="1"/>
      <w:numFmt w:val="bullet"/>
      <w:lvlText w:val="-"/>
      <w:lvlJc w:val="left"/>
      <w:pPr>
        <w:ind w:left="6480" w:hanging="360"/>
      </w:pPr>
      <w:rPr>
        <w:u w:val="none" w:color="auto"/>
      </w:rPr>
    </w:lvl>
  </w:abstractNum>
  <w:abstractNum w:abstractNumId="5">
    <w:multiLevelType w:val="singleLevel"/>
    <w:lvl w:ilvl="0">
      <w:start w:val="1"/>
      <w:numFmt w:val="bullet"/>
      <w:lvlText w:val="-"/>
      <w:lvlJc w:val="left"/>
      <w:pPr>
        <w:ind w:left="720" w:hanging="360"/>
      </w:pPr>
      <w:rPr>
        <w:u w:val="none" w:color="auto"/>
      </w:rPr>
    </w:lvl>
    <w:lvl w:ilvl="1">
      <w:start w:val="1"/>
      <w:numFmt w:val="bullet"/>
      <w:lvlText w:val="-"/>
      <w:lvlJc w:val="left"/>
      <w:pPr>
        <w:ind w:left="1440" w:hanging="360"/>
      </w:pPr>
      <w:rPr>
        <w:u w:val="none" w:color="auto"/>
      </w:rPr>
    </w:lvl>
    <w:lvl w:ilvl="2">
      <w:start w:val="1"/>
      <w:numFmt w:val="bullet"/>
      <w:lvlText w:val="-"/>
      <w:lvlJc w:val="left"/>
      <w:pPr>
        <w:ind w:left="2160" w:hanging="360"/>
      </w:pPr>
      <w:rPr>
        <w:u w:val="none" w:color="auto"/>
      </w:rPr>
    </w:lvl>
    <w:lvl w:ilvl="3">
      <w:start w:val="1"/>
      <w:numFmt w:val="bullet"/>
      <w:lvlText w:val="-"/>
      <w:lvlJc w:val="left"/>
      <w:pPr>
        <w:ind w:left="2880" w:hanging="360"/>
      </w:pPr>
      <w:rPr>
        <w:u w:val="none" w:color="auto"/>
      </w:rPr>
    </w:lvl>
    <w:lvl w:ilvl="4">
      <w:start w:val="1"/>
      <w:numFmt w:val="bullet"/>
      <w:lvlText w:val="-"/>
      <w:lvlJc w:val="left"/>
      <w:pPr>
        <w:ind w:left="3600" w:hanging="360"/>
      </w:pPr>
      <w:rPr>
        <w:u w:val="none" w:color="auto"/>
      </w:rPr>
    </w:lvl>
    <w:lvl w:ilvl="5">
      <w:start w:val="1"/>
      <w:numFmt w:val="bullet"/>
      <w:lvlText w:val="-"/>
      <w:lvlJc w:val="left"/>
      <w:pPr>
        <w:ind w:left="4320" w:hanging="360"/>
      </w:pPr>
      <w:rPr>
        <w:u w:val="none" w:color="auto"/>
      </w:rPr>
    </w:lvl>
    <w:lvl w:ilvl="6">
      <w:start w:val="1"/>
      <w:numFmt w:val="bullet"/>
      <w:lvlText w:val="-"/>
      <w:lvlJc w:val="left"/>
      <w:pPr>
        <w:ind w:left="5040" w:hanging="360"/>
      </w:pPr>
      <w:rPr>
        <w:u w:val="none" w:color="auto"/>
      </w:rPr>
    </w:lvl>
    <w:lvl w:ilvl="7">
      <w:start w:val="1"/>
      <w:numFmt w:val="bullet"/>
      <w:lvlText w:val="-"/>
      <w:lvlJc w:val="left"/>
      <w:pPr>
        <w:ind w:left="5760" w:hanging="360"/>
      </w:pPr>
      <w:rPr>
        <w:u w:val="none" w:color="auto"/>
      </w:rPr>
    </w:lvl>
    <w:lvl w:ilvl="8">
      <w:start w:val="1"/>
      <w:numFmt w:val="bullet"/>
      <w:lvlText w:val="-"/>
      <w:lvlJc w:val="left"/>
      <w:pPr>
        <w:ind w:left="6480" w:hanging="360"/>
      </w:pPr>
      <w:rPr>
        <w:u w:val="none" w:color="auto"/>
      </w:rPr>
    </w:lvl>
  </w:abstractNum>
  <w:num w:numId="1">
    <w:abstractNumId w:val="0"/>
  </w:num>
  <w:num w:numId="2">
    <w:abstractNumId w:val="2"/>
  </w:num>
  <w:num w:numId="3">
    <w:abstractNumId w:val="5"/>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lang w:val="ko"/>
        <w:rFonts w:ascii="Arial" w:eastAsia="Arial" w:hAnsi="Arial" w:cs="Arial"/>
        <w:sz w:val="22"/>
        <w:szCs w:val="22"/>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57" w:unhideWhenUsed="1"/>
    <w:lsdException w:name="toc 2" w:semiHidden="1" w:uiPriority="57" w:unhideWhenUsed="1"/>
    <w:lsdException w:name="toc 3" w:semiHidden="1" w:uiPriority="57" w:unhideWhenUsed="1"/>
    <w:lsdException w:name="toc 4" w:semiHidden="1" w:uiPriority="57" w:unhideWhenUsed="1"/>
    <w:lsdException w:name="toc 5" w:semiHidden="1" w:uiPriority="57" w:unhideWhenUsed="1"/>
    <w:lsdException w:name="toc 6" w:semiHidden="1" w:uiPriority="57" w:unhideWhenUsed="1"/>
    <w:lsdException w:name="toc 7" w:semiHidden="1" w:uiPriority="57" w:unhideWhenUsed="1"/>
    <w:lsdException w:name="toc 8" w:semiHidden="1" w:uiPriority="57" w:unhideWhenUsed="1"/>
    <w:lsdException w:name="toc 9" w:semiHidden="1" w:uiPriority="57"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53"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6"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7"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34" w:qFormat="1"/>
    <w:lsdException w:name="Emphasis" w:uiPriority="3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7"/>
    <w:lsdException w:name="Table Theme" w:semiHidden="1" w:unhideWhenUsed="1"/>
    <w:lsdException w:name="Placeholder Text" w:semiHidden="1"/>
    <w:lsdException w:name="No Spacing" w:uiPriority="1" w:qFormat="1"/>
    <w:lsdException w:name="Light Shading" w:uiPriority="96"/>
    <w:lsdException w:name="Light List" w:uiPriority="97"/>
    <w:lsdException w:name="Light Grid" w:uiPriority="98"/>
    <w:lsdException w:name="Medium Shading 1" w:uiPriority="99"/>
    <w:lsdException w:name="Medium Shading 2" w:uiPriority="100"/>
    <w:lsdException w:name="Medium List 1" w:uiPriority="101"/>
    <w:lsdException w:name="Medium List 2" w:uiPriority="102"/>
    <w:lsdException w:name="Medium Grid 1" w:uiPriority="103"/>
    <w:lsdException w:name="Medium Grid 2" w:uiPriority="104"/>
    <w:lsdException w:name="Medium Grid 3" w:uiPriority="105"/>
    <w:lsdException w:name="Dark List" w:uiPriority="112"/>
    <w:lsdException w:name="Colorful Shading" w:uiPriority="113"/>
    <w:lsdException w:name="Colorful List" w:uiPriority="114"/>
    <w:lsdException w:name="Colorful Grid" w:uiPriority="115"/>
    <w:lsdException w:name="Light Shading Accent 1" w:uiPriority="96"/>
    <w:lsdException w:name="Light List Accent 1" w:uiPriority="97"/>
    <w:lsdException w:name="Light Grid Accent 1" w:uiPriority="98"/>
    <w:lsdException w:name="Medium Shading 1 Accent 1" w:uiPriority="99"/>
    <w:lsdException w:name="Medium Shading 2 Accent 1" w:uiPriority="100"/>
    <w:lsdException w:name="Medium List 1 Accent 1" w:uiPriority="101"/>
    <w:lsdException w:name="Revision" w:semiHidden="1"/>
    <w:lsdException w:name="List Paragraph" w:uiPriority="52" w:qFormat="1"/>
    <w:lsdException w:name="Quote" w:uiPriority="41" w:qFormat="1"/>
    <w:lsdException w:name="Intense Quote" w:uiPriority="48" w:qFormat="1"/>
    <w:lsdException w:name="Medium List 2 Accent 1" w:uiPriority="102"/>
    <w:lsdException w:name="Medium Grid 1 Accent 1" w:uiPriority="103"/>
    <w:lsdException w:name="Medium Grid 2 Accent 1" w:uiPriority="104"/>
    <w:lsdException w:name="Medium Grid 3 Accent 1" w:uiPriority="105"/>
    <w:lsdException w:name="Dark List Accent 1" w:uiPriority="112"/>
    <w:lsdException w:name="Colorful Shading Accent 1" w:uiPriority="113"/>
    <w:lsdException w:name="Colorful List Accent 1" w:uiPriority="114"/>
    <w:lsdException w:name="Colorful Grid Accent 1" w:uiPriority="115"/>
    <w:lsdException w:name="Light Shading Accent 2" w:uiPriority="96"/>
    <w:lsdException w:name="Light List Accent 2" w:uiPriority="97"/>
    <w:lsdException w:name="Light Grid Accent 2" w:uiPriority="98"/>
    <w:lsdException w:name="Medium Shading 1 Accent 2" w:uiPriority="99"/>
    <w:lsdException w:name="Medium Shading 2 Accent 2" w:uiPriority="100"/>
    <w:lsdException w:name="Medium List 1 Accent 2" w:uiPriority="101"/>
    <w:lsdException w:name="Medium List 2 Accent 2" w:uiPriority="102"/>
    <w:lsdException w:name="Medium Grid 1 Accent 2" w:uiPriority="103"/>
    <w:lsdException w:name="Medium Grid 2 Accent 2" w:uiPriority="104"/>
    <w:lsdException w:name="Medium Grid 3 Accent 2" w:uiPriority="105"/>
    <w:lsdException w:name="Dark List Accent 2" w:uiPriority="112"/>
    <w:lsdException w:name="Colorful Shading Accent 2" w:uiPriority="113"/>
    <w:lsdException w:name="Colorful List Accent 2" w:uiPriority="114"/>
    <w:lsdException w:name="Colorful Grid Accent 2" w:uiPriority="115"/>
    <w:lsdException w:name="Light Shading Accent 3" w:uiPriority="96"/>
    <w:lsdException w:name="Light List Accent 3" w:uiPriority="97"/>
    <w:lsdException w:name="Light Grid Accent 3" w:uiPriority="98"/>
    <w:lsdException w:name="Medium Shading 1 Accent 3" w:uiPriority="99"/>
    <w:lsdException w:name="Medium Shading 2 Accent 3" w:uiPriority="100"/>
    <w:lsdException w:name="Medium List 1 Accent 3" w:uiPriority="101"/>
    <w:lsdException w:name="Medium List 2 Accent 3" w:uiPriority="102"/>
    <w:lsdException w:name="Medium Grid 1 Accent 3" w:uiPriority="103"/>
    <w:lsdException w:name="Medium Grid 2 Accent 3" w:uiPriority="104"/>
    <w:lsdException w:name="Medium Grid 3 Accent 3" w:uiPriority="105"/>
    <w:lsdException w:name="Dark List Accent 3" w:uiPriority="112"/>
    <w:lsdException w:name="Colorful Shading Accent 3" w:uiPriority="113"/>
    <w:lsdException w:name="Colorful List Accent 3" w:uiPriority="114"/>
    <w:lsdException w:name="Colorful Grid Accent 3" w:uiPriority="115"/>
    <w:lsdException w:name="Light Shading Accent 4" w:uiPriority="96"/>
    <w:lsdException w:name="Light List Accent 4" w:uiPriority="97"/>
    <w:lsdException w:name="Light Grid Accent 4" w:uiPriority="98"/>
    <w:lsdException w:name="Medium Shading 1 Accent 4" w:uiPriority="99"/>
    <w:lsdException w:name="Medium Shading 2 Accent 4" w:uiPriority="100"/>
    <w:lsdException w:name="Medium List 1 Accent 4" w:uiPriority="101"/>
    <w:lsdException w:name="Medium List 2 Accent 4" w:uiPriority="102"/>
    <w:lsdException w:name="Medium Grid 1 Accent 4" w:uiPriority="103"/>
    <w:lsdException w:name="Medium Grid 2 Accent 4" w:uiPriority="104"/>
    <w:lsdException w:name="Medium Grid 3 Accent 4" w:uiPriority="105"/>
    <w:lsdException w:name="Dark List Accent 4" w:uiPriority="112"/>
    <w:lsdException w:name="Colorful Shading Accent 4" w:uiPriority="113"/>
    <w:lsdException w:name="Colorful List Accent 4" w:uiPriority="114"/>
    <w:lsdException w:name="Colorful Grid Accent 4" w:uiPriority="115"/>
    <w:lsdException w:name="Light Shading Accent 5" w:uiPriority="96"/>
    <w:lsdException w:name="Light List Accent 5" w:uiPriority="97"/>
    <w:lsdException w:name="Light Grid Accent 5" w:uiPriority="98"/>
    <w:lsdException w:name="Medium Shading 1 Accent 5" w:uiPriority="99"/>
    <w:lsdException w:name="Medium Shading 2 Accent 5" w:uiPriority="100"/>
    <w:lsdException w:name="Medium List 1 Accent 5" w:uiPriority="101"/>
    <w:lsdException w:name="Medium List 2 Accent 5" w:uiPriority="102"/>
    <w:lsdException w:name="Medium Grid 1 Accent 5" w:uiPriority="103"/>
    <w:lsdException w:name="Medium Grid 2 Accent 5" w:uiPriority="104"/>
    <w:lsdException w:name="Medium Grid 3 Accent 5" w:uiPriority="105"/>
    <w:lsdException w:name="Dark List Accent 5" w:uiPriority="112"/>
    <w:lsdException w:name="Colorful Shading Accent 5" w:uiPriority="113"/>
    <w:lsdException w:name="Colorful List Accent 5" w:uiPriority="114"/>
    <w:lsdException w:name="Colorful Grid Accent 5" w:uiPriority="115"/>
    <w:lsdException w:name="Light Shading Accent 6" w:uiPriority="96"/>
    <w:lsdException w:name="Light List Accent 6" w:uiPriority="97"/>
    <w:lsdException w:name="Light Grid Accent 6" w:uiPriority="98"/>
    <w:lsdException w:name="Medium Shading 1 Accent 6" w:uiPriority="99"/>
    <w:lsdException w:name="Medium Shading 2 Accent 6" w:uiPriority="100"/>
    <w:lsdException w:name="Medium List 1 Accent 6" w:uiPriority="101"/>
    <w:lsdException w:name="Medium List 2 Accent 6" w:uiPriority="102"/>
    <w:lsdException w:name="Medium Grid 1 Accent 6" w:uiPriority="103"/>
    <w:lsdException w:name="Medium Grid 2 Accent 6" w:uiPriority="104"/>
    <w:lsdException w:name="Medium Grid 3 Accent 6" w:uiPriority="105"/>
    <w:lsdException w:name="Dark List Accent 6" w:uiPriority="112"/>
    <w:lsdException w:name="Colorful Shading Accent 6" w:uiPriority="113"/>
    <w:lsdException w:name="Colorful List Accent 6" w:uiPriority="114"/>
    <w:lsdException w:name="Colorful Grid Accent 6" w:uiPriority="115"/>
    <w:lsdException w:name="Subtle Emphasis" w:uiPriority="25" w:qFormat="1"/>
    <w:lsdException w:name="Intense Emphasis" w:uiPriority="33" w:qFormat="1"/>
    <w:lsdException w:name="Subtle Reference" w:uiPriority="49" w:qFormat="1"/>
    <w:lsdException w:name="Intense Reference" w:uiPriority="50" w:qFormat="1"/>
    <w:lsdException w:name="Book Title" w:uiPriority="51" w:qFormat="1"/>
    <w:lsdException w:name="Bibliography" w:semiHidden="1" w:uiPriority="55" w:unhideWhenUsed="1"/>
    <w:lsdException w:name="TOC Heading" w:semiHidden="1" w:uiPriority="57" w:unhideWhenUsed="1" w:qFormat="1"/>
    <w:lsdException w:name="Plain Table 1" w:uiPriority="65"/>
    <w:lsdException w:name="Plain Table 2" w:uiPriority="66"/>
    <w:lsdException w:name="Plain Table 3" w:uiPriority="67"/>
    <w:lsdException w:name="Plain Table 4" w:uiPriority="68"/>
    <w:lsdException w:name="Plain Table 5" w:uiPriority="69"/>
    <w:lsdException w:name="Grid Table Light" w:uiPriority="64"/>
    <w:lsdException w:name="Grid Table 1 Light" w:uiPriority="70"/>
    <w:lsdException w:name="Grid Table 2" w:uiPriority="71"/>
    <w:lsdException w:name="Grid Table 3" w:uiPriority="72"/>
    <w:lsdException w:name="Grid Table 4" w:uiPriority="73"/>
    <w:lsdException w:name="Grid Table 5 Dark" w:uiPriority="80"/>
    <w:lsdException w:name="Grid Table 6 Colorful" w:uiPriority="81"/>
    <w:lsdException w:name="Grid Table 7 Colorful" w:uiPriority="82"/>
    <w:lsdException w:name="Grid Table 1 Light Accent 1" w:uiPriority="70"/>
    <w:lsdException w:name="Grid Table 2 Accent 1" w:uiPriority="71"/>
    <w:lsdException w:name="Grid Table 3 Accent 1" w:uiPriority="72"/>
    <w:lsdException w:name="Grid Table 4 Accent 1" w:uiPriority="73"/>
    <w:lsdException w:name="Grid Table 5 Dark Accent 1" w:uiPriority="80"/>
    <w:lsdException w:name="Grid Table 6 Colorful Accent 1" w:uiPriority="81"/>
    <w:lsdException w:name="Grid Table 7 Colorful Accent 1" w:uiPriority="82"/>
    <w:lsdException w:name="Grid Table 1 Light Accent 2" w:uiPriority="70"/>
    <w:lsdException w:name="Grid Table 2 Accent 2" w:uiPriority="71"/>
    <w:lsdException w:name="Grid Table 3 Accent 2" w:uiPriority="72"/>
    <w:lsdException w:name="Grid Table 4 Accent 2" w:uiPriority="73"/>
    <w:lsdException w:name="Grid Table 5 Dark Accent 2" w:uiPriority="80"/>
    <w:lsdException w:name="Grid Table 6 Colorful Accent 2" w:uiPriority="81"/>
    <w:lsdException w:name="Grid Table 7 Colorful Accent 2" w:uiPriority="82"/>
    <w:lsdException w:name="Grid Table 1 Light Accent 3" w:uiPriority="70"/>
    <w:lsdException w:name="Grid Table 2 Accent 3" w:uiPriority="71"/>
    <w:lsdException w:name="Grid Table 3 Accent 3" w:uiPriority="72"/>
    <w:lsdException w:name="Grid Table 4 Accent 3" w:uiPriority="73"/>
    <w:lsdException w:name="Grid Table 5 Dark Accent 3" w:uiPriority="80"/>
    <w:lsdException w:name="Grid Table 6 Colorful Accent 3" w:uiPriority="81"/>
    <w:lsdException w:name="Grid Table 7 Colorful Accent 3" w:uiPriority="82"/>
    <w:lsdException w:name="Grid Table 1 Light Accent 4" w:uiPriority="70"/>
    <w:lsdException w:name="Grid Table 2 Accent 4" w:uiPriority="71"/>
    <w:lsdException w:name="Grid Table 3 Accent 4" w:uiPriority="72"/>
    <w:lsdException w:name="Grid Table 4 Accent 4" w:uiPriority="73"/>
    <w:lsdException w:name="Grid Table 5 Dark Accent 4" w:uiPriority="80"/>
    <w:lsdException w:name="Grid Table 6 Colorful Accent 4" w:uiPriority="81"/>
    <w:lsdException w:name="Grid Table 7 Colorful Accent 4" w:uiPriority="82"/>
    <w:lsdException w:name="Grid Table 1 Light Accent 5" w:uiPriority="70"/>
    <w:lsdException w:name="Grid Table 2 Accent 5" w:uiPriority="71"/>
    <w:lsdException w:name="Grid Table 3 Accent 5" w:uiPriority="72"/>
    <w:lsdException w:name="Grid Table 4 Accent 5" w:uiPriority="73"/>
    <w:lsdException w:name="Grid Table 5 Dark Accent 5" w:uiPriority="80"/>
    <w:lsdException w:name="Grid Table 6 Colorful Accent 5" w:uiPriority="81"/>
    <w:lsdException w:name="Grid Table 7 Colorful Accent 5" w:uiPriority="82"/>
    <w:lsdException w:name="Grid Table 1 Light Accent 6" w:uiPriority="70"/>
    <w:lsdException w:name="Grid Table 2 Accent 6" w:uiPriority="71"/>
    <w:lsdException w:name="Grid Table 3 Accent 6" w:uiPriority="72"/>
    <w:lsdException w:name="Grid Table 4 Accent 6" w:uiPriority="73"/>
    <w:lsdException w:name="Grid Table 5 Dark Accent 6" w:uiPriority="80"/>
    <w:lsdException w:name="Grid Table 6 Colorful Accent 6" w:uiPriority="81"/>
    <w:lsdException w:name="Grid Table 7 Colorful Accent 6" w:uiPriority="82"/>
    <w:lsdException w:name="List Table 1 Light" w:uiPriority="70"/>
    <w:lsdException w:name="List Table 2" w:uiPriority="71"/>
    <w:lsdException w:name="List Table 3" w:uiPriority="72"/>
    <w:lsdException w:name="List Table 4" w:uiPriority="73"/>
    <w:lsdException w:name="List Table 5 Dark" w:uiPriority="80"/>
    <w:lsdException w:name="List Table 6 Colorful" w:uiPriority="81"/>
    <w:lsdException w:name="List Table 7 Colorful" w:uiPriority="82"/>
    <w:lsdException w:name="List Table 1 Light Accent 1" w:uiPriority="70"/>
    <w:lsdException w:name="List Table 2 Accent 1" w:uiPriority="71"/>
    <w:lsdException w:name="List Table 3 Accent 1" w:uiPriority="72"/>
    <w:lsdException w:name="List Table 4 Accent 1" w:uiPriority="73"/>
    <w:lsdException w:name="List Table 5 Dark Accent 1" w:uiPriority="80"/>
    <w:lsdException w:name="List Table 6 Colorful Accent 1" w:uiPriority="81"/>
    <w:lsdException w:name="List Table 7 Colorful Accent 1" w:uiPriority="82"/>
    <w:lsdException w:name="List Table 1 Light Accent 2" w:uiPriority="70"/>
    <w:lsdException w:name="List Table 2 Accent 2" w:uiPriority="71"/>
    <w:lsdException w:name="List Table 3 Accent 2" w:uiPriority="72"/>
    <w:lsdException w:name="List Table 4 Accent 2" w:uiPriority="73"/>
    <w:lsdException w:name="List Table 5 Dark Accent 2" w:uiPriority="80"/>
    <w:lsdException w:name="List Table 6 Colorful Accent 2" w:uiPriority="81"/>
    <w:lsdException w:name="List Table 7 Colorful Accent 2" w:uiPriority="82"/>
    <w:lsdException w:name="List Table 1 Light Accent 3" w:uiPriority="70"/>
    <w:lsdException w:name="List Table 2 Accent 3" w:uiPriority="71"/>
    <w:lsdException w:name="List Table 3 Accent 3" w:uiPriority="72"/>
    <w:lsdException w:name="List Table 4 Accent 3" w:uiPriority="73"/>
    <w:lsdException w:name="List Table 5 Dark Accent 3" w:uiPriority="80"/>
    <w:lsdException w:name="List Table 6 Colorful Accent 3" w:uiPriority="81"/>
    <w:lsdException w:name="List Table 7 Colorful Accent 3" w:uiPriority="82"/>
    <w:lsdException w:name="List Table 1 Light Accent 4" w:uiPriority="70"/>
    <w:lsdException w:name="List Table 2 Accent 4" w:uiPriority="71"/>
    <w:lsdException w:name="List Table 3 Accent 4" w:uiPriority="72"/>
    <w:lsdException w:name="List Table 4 Accent 4" w:uiPriority="73"/>
    <w:lsdException w:name="List Table 5 Dark Accent 4" w:uiPriority="80"/>
    <w:lsdException w:name="List Table 6 Colorful Accent 4" w:uiPriority="81"/>
    <w:lsdException w:name="List Table 7 Colorful Accent 4" w:uiPriority="82"/>
    <w:lsdException w:name="List Table 1 Light Accent 5" w:uiPriority="70"/>
    <w:lsdException w:name="List Table 2 Accent 5" w:uiPriority="71"/>
    <w:lsdException w:name="List Table 3 Accent 5" w:uiPriority="72"/>
    <w:lsdException w:name="List Table 4 Accent 5" w:uiPriority="73"/>
    <w:lsdException w:name="List Table 5 Dark Accent 5" w:uiPriority="80"/>
    <w:lsdException w:name="List Table 6 Colorful Accent 5" w:uiPriority="81"/>
    <w:lsdException w:name="List Table 7 Colorful Accent 5" w:uiPriority="82"/>
    <w:lsdException w:name="List Table 1 Light Accent 6" w:uiPriority="70"/>
    <w:lsdException w:name="List Table 2 Accent 6" w:uiPriority="71"/>
    <w:lsdException w:name="List Table 3 Accent 6" w:uiPriority="72"/>
    <w:lsdException w:name="List Table 4 Accent 6" w:uiPriority="73"/>
    <w:lsdException w:name="List Table 5 Dark Accent 6" w:uiPriority="80"/>
    <w:lsdException w:name="List Table 6 Colorful Accent 6" w:uiPriority="81"/>
    <w:lsdException w:name="List Table 7 Colorful Accent 6" w:uiPriority="82"/>
  </w:latentStyles>
  <w:style w:type="paragraph" w:default="1" w:styleId="Normal">
    <w:name w:val="normal"/>
  </w:style>
  <w:style w:type="table" w:default="1" w:styleId="TableNormal">
    <w:name w:val="Table Normal"/>
  </w:style>
  <w:style w:type="paragraph" w:styleId="Heading1">
    <w:name w:val="heading 1"/>
    <w:basedOn w:val="Normal"/>
    <w:next w:val="Normal"/>
    <w:pPr>
      <w:keepNext/>
      <w:keepLines/>
      <w:pageBreakBefore w:val="off"/>
      <w:spacing w:after="120" w:before="400" w:lineRule="auto"/>
    </w:pPr>
    <w:rPr>
      <w:sz w:val="40"/>
      <w:szCs w:val="40"/>
    </w:rPr>
  </w:style>
  <w:style w:type="paragraph" w:styleId="Heading2">
    <w:name w:val="heading 2"/>
    <w:basedOn w:val="Normal"/>
    <w:next w:val="Normal"/>
    <w:pPr>
      <w:keepNext/>
      <w:keepLines/>
      <w:pageBreakBefore w:val="off"/>
      <w:spacing w:after="120" w:before="360" w:lineRule="auto"/>
    </w:pPr>
    <w:rPr>
      <w:b w:val="0"/>
      <w:sz w:val="32"/>
      <w:szCs w:val="32"/>
    </w:rPr>
  </w:style>
  <w:style w:type="paragraph" w:styleId="Heading3">
    <w:name w:val="heading 3"/>
    <w:basedOn w:val="Normal"/>
    <w:next w:val="Normal"/>
    <w:pPr>
      <w:keepNext/>
      <w:keepLines/>
      <w:pageBreakBefore w:val="off"/>
      <w:spacing w:after="80" w:before="320" w:lineRule="auto"/>
    </w:pPr>
    <w:rPr>
      <w:b w:val="0"/>
      <w:color w:val="434343"/>
      <w:sz w:val="28"/>
      <w:szCs w:val="28"/>
    </w:rPr>
  </w:style>
  <w:style w:type="paragraph" w:styleId="Heading4">
    <w:name w:val="heading 4"/>
    <w:basedOn w:val="Normal"/>
    <w:next w:val="Normal"/>
    <w:pPr>
      <w:keepNext/>
      <w:keepLines/>
      <w:pageBreakBefore w:val="off"/>
      <w:spacing w:after="80" w:before="280" w:lineRule="auto"/>
    </w:pPr>
    <w:rPr>
      <w:color w:val="666666"/>
      <w:sz w:val="24"/>
      <w:szCs w:val="24"/>
    </w:rPr>
  </w:style>
  <w:style w:type="paragraph" w:styleId="Heading5">
    <w:name w:val="heading 5"/>
    <w:basedOn w:val="Normal"/>
    <w:next w:val="Normal"/>
    <w:pPr>
      <w:keepNext/>
      <w:keepLines/>
      <w:pageBreakBefore w:val="off"/>
      <w:spacing w:after="80" w:before="240" w:lineRule="auto"/>
    </w:pPr>
    <w:rPr>
      <w:color w:val="666666"/>
      <w:sz w:val="22"/>
      <w:szCs w:val="22"/>
    </w:rPr>
  </w:style>
  <w:style w:type="paragraph" w:styleId="Heading6">
    <w:name w:val="heading 6"/>
    <w:basedOn w:val="Normal"/>
    <w:next w:val="Normal"/>
    <w:pPr>
      <w:keepNext/>
      <w:keepLines/>
      <w:pageBreakBefore w:val="off"/>
      <w:spacing w:after="80" w:before="240" w:lineRule="auto"/>
    </w:pPr>
    <w:rPr>
      <w:i/>
      <w:color w:val="666666"/>
      <w:sz w:val="22"/>
      <w:szCs w:val="22"/>
    </w:rPr>
  </w:style>
  <w:style w:type="paragraph" w:styleId="Title">
    <w:name w:val="Title"/>
    <w:basedOn w:val="Normal"/>
    <w:next w:val="Normal"/>
    <w:pPr>
      <w:keepNext/>
      <w:keepLines/>
      <w:pageBreakBefore w:val="off"/>
      <w:spacing w:after="60" w:before="0" w:lineRule="auto"/>
    </w:pPr>
    <w:rPr>
      <w:sz w:val="52"/>
      <w:szCs w:val="52"/>
    </w:rPr>
  </w:style>
  <w:style w:type="paragraph" w:styleId="Subtitle">
    <w:name w:val="Subtitle"/>
    <w:basedOn w:val="Normal"/>
    <w:next w:val="Normal"/>
    <w:pPr>
      <w:keepNext/>
      <w:keepLines/>
      <w:pageBreakBefore w:val="off"/>
      <w:spacing w:after="320" w:before="0" w:lineRule="auto"/>
    </w:pPr>
    <w:rPr>
      <w:rFonts w:ascii="Arial" w:eastAsia="Arial" w:hAnsi="Arial" w:cs="Arial"/>
      <w:i w:val="0"/>
      <w:color w:val="666666"/>
      <w:sz w:val="30"/>
      <w:szCs w:val="30"/>
    </w:rPr>
  </w:style>
  <w:style w:type="table" w:customStyle="1" w:styleId="Table1">
    <w:basedOn w:val="TableNormal"/>
    <w:tblPr>
      <w:tblCellMar>
        <w:top w:w="100" w:type="dxa"/>
        <w:left w:w="100" w:type="dxa"/>
        <w:bottom w:w="100" w:type="dxa"/>
        <w:right w:w="100" w:type="dxa"/>
      </w:tblCellMar>
      <w:tblStyleColBandSize w:val="1"/>
      <w:tblStyleRowBandSize w:val="1"/>
    </w:tblPr>
  </w:style>
  <w:style w:type="table" w:customStyle="1" w:styleId="Table2">
    <w:basedOn w:val="TableNormal"/>
    <w:tblPr>
      <w:tblCellMar>
        <w:top w:w="100" w:type="dxa"/>
        <w:left w:w="100" w:type="dxa"/>
        <w:bottom w:w="100" w:type="dxa"/>
        <w:right w:w="100" w:type="dxa"/>
      </w:tblCellMar>
      <w:tblStyleColBandSize w:val="1"/>
      <w:tblStyleRowBandSize w:val="1"/>
    </w:tblPr>
  </w:style>
  <w:style w:type="character" w:default="1" w:styleId="a3">
    <w:name w:val="Default Paragraph Font"/>
    <w:uiPriority w:val="1"/>
    <w:semiHidden/>
    <w:unhideWhenUsed/>
  </w:style>
  <w:style w:type="numbering" w:default="1" w:styleId="a5">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38" Type="http://schemas.openxmlformats.org/officeDocument/2006/relationships/footer" Target="footer1.xml" /><Relationship Id="rId1" Type="http://schemas.openxmlformats.org/officeDocument/2006/relationships/image" Target="media/image1.png" /><Relationship Id="rId2" Type="http://schemas.openxmlformats.org/officeDocument/2006/relationships/image" Target="media/image2.png" /><Relationship Id="rId3" Type="http://schemas.openxmlformats.org/officeDocument/2006/relationships/image" Target="media/image3.png" /><Relationship Id="rId4" Type="http://schemas.openxmlformats.org/officeDocument/2006/relationships/image" Target="media/image4.png" /><Relationship Id="rId5" Type="http://schemas.openxmlformats.org/officeDocument/2006/relationships/image" Target="media/image5.png" /><Relationship Id="rId6" Type="http://schemas.openxmlformats.org/officeDocument/2006/relationships/image" Target="media/image6.png" /><Relationship Id="rId7" Type="http://schemas.openxmlformats.org/officeDocument/2006/relationships/image" Target="media/image7.png" /><Relationship Id="rId8" Type="http://schemas.openxmlformats.org/officeDocument/2006/relationships/image" Target="media/image8.png" /><Relationship Id="rId9" Type="http://schemas.openxmlformats.org/officeDocument/2006/relationships/image" Target="media/image9.png" /><Relationship Id="rId10" Type="http://schemas.openxmlformats.org/officeDocument/2006/relationships/image" Target="media/image10.png" /><Relationship Id="rId11" Type="http://schemas.openxmlformats.org/officeDocument/2006/relationships/image" Target="media/image11.png" /><Relationship Id="rId12" Type="http://schemas.openxmlformats.org/officeDocument/2006/relationships/image" Target="media/image12.png" /><Relationship Id="rId13" Type="http://schemas.openxmlformats.org/officeDocument/2006/relationships/image" Target="media/image13.png" /><Relationship Id="rId14" Type="http://schemas.openxmlformats.org/officeDocument/2006/relationships/image" Target="media/image14.png" /><Relationship Id="rId15" Type="http://schemas.openxmlformats.org/officeDocument/2006/relationships/image" Target="media/image15.png" /><Relationship Id="rId16" Type="http://schemas.openxmlformats.org/officeDocument/2006/relationships/image" Target="media/image16.png" /><Relationship Id="rId17" Type="http://schemas.openxmlformats.org/officeDocument/2006/relationships/image" Target="media/image17.png" /><Relationship Id="rId18" Type="http://schemas.openxmlformats.org/officeDocument/2006/relationships/image" Target="media/image18.png" /><Relationship Id="rId19" Type="http://schemas.openxmlformats.org/officeDocument/2006/relationships/image" Target="media/image19.png" /><Relationship Id="rId20" Type="http://schemas.openxmlformats.org/officeDocument/2006/relationships/image" Target="media/image20.png" /><Relationship Id="rId21" Type="http://schemas.openxmlformats.org/officeDocument/2006/relationships/image" Target="media/image21.png" /><Relationship Id="rId22" Type="http://schemas.openxmlformats.org/officeDocument/2006/relationships/image" Target="media/image22.png" /><Relationship Id="rId23" Type="http://schemas.openxmlformats.org/officeDocument/2006/relationships/image" Target="media/image23.png" /><Relationship Id="rId24" Type="http://schemas.openxmlformats.org/officeDocument/2006/relationships/image" Target="media/image24.png" /><Relationship Id="rId25" Type="http://schemas.openxmlformats.org/officeDocument/2006/relationships/image" Target="media/image25.png" /><Relationship Id="rId26" Type="http://schemas.openxmlformats.org/officeDocument/2006/relationships/image" Target="media/image26.png" /><Relationship Id="rId27" Type="http://schemas.openxmlformats.org/officeDocument/2006/relationships/image" Target="media/image27.png" /><Relationship Id="rId28" Type="http://schemas.openxmlformats.org/officeDocument/2006/relationships/image" Target="media/image28.png" /><Relationship Id="rId29" Type="http://schemas.openxmlformats.org/officeDocument/2006/relationships/image" Target="media/image29.png" /><Relationship Id="rId30" Type="http://schemas.openxmlformats.org/officeDocument/2006/relationships/image" Target="media/image30.png" /><Relationship Id="rId31" Type="http://schemas.openxmlformats.org/officeDocument/2006/relationships/image" Target="media/image31.png" /><Relationship Id="rId32" Type="http://schemas.openxmlformats.org/officeDocument/2006/relationships/image" Target="media/image32.png" /><Relationship Id="rId33" Type="http://schemas.openxmlformats.org/officeDocument/2006/relationships/image" Target="media/image33.png" /><Relationship Id="rId34" Type="http://schemas.openxmlformats.org/officeDocument/2006/relationships/image" Target="media/image34.png" /><Relationship Id="rId35" Type="http://schemas.openxmlformats.org/officeDocument/2006/relationships/image" Target="media/image35.png" /><Relationship Id="rId36" Type="http://schemas.openxmlformats.org/officeDocument/2006/relationships/image" Target="media/image36.png" /><Relationship Id="rId37" Type="http://schemas.openxmlformats.org/officeDocument/2006/relationships/image" Target="media/image37.png" /><Relationship Id="rId39" Type="http://schemas.openxmlformats.org/officeDocument/2006/relationships/comments" Target="comments.xml" /><Relationship Id="rId40" Type="http://schemas.openxmlformats.org/officeDocument/2006/relationships/styles" Target="styles.xml" /><Relationship Id="rId41" Type="http://schemas.openxmlformats.org/officeDocument/2006/relationships/settings" Target="settings.xml" /><Relationship Id="rId42" Type="http://schemas.openxmlformats.org/officeDocument/2006/relationships/fontTable" Target="fontTable.xml" /><Relationship Id="rId43" Type="http://schemas.openxmlformats.org/officeDocument/2006/relationships/webSettings" Target="webSettings.xml" /><Relationship Id="rId44" Type="http://schemas.openxmlformats.org/officeDocument/2006/relationships/numbering" Target="numbering.xml" /><Relationship Id="rId4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FFFFFF"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flip="none"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a:tileRect/>
        </a:gradFill>
        <a:gradFill flip="none" rotWithShape="1">
          <a:gsLst>
            <a:gs pos="0">
              <a:schemeClr val="phClr">
                <a:tint val="100000"/>
                <a:shade val="100000"/>
                <a:satMod val="129999"/>
              </a:schemeClr>
            </a:gs>
            <a:gs pos="100000">
              <a:schemeClr val="phClr">
                <a:tint val="50000"/>
                <a:shade val="100000"/>
                <a:satMod val="350000"/>
              </a:schemeClr>
            </a:gs>
          </a:gsLst>
          <a:lin ang="16200000" scaled="0"/>
          <a:tileRect/>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flip="none"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a:tileRect/>
        </a:gradFill>
        <a:gradFill flip="none" rotWithShape="1">
          <a:gsLst>
            <a:gs pos="0">
              <a:schemeClr val="phClr">
                <a:tint val="100000"/>
                <a:shade val="100000"/>
                <a:satMod val="129999"/>
              </a:schemeClr>
            </a:gs>
            <a:gs pos="100000">
              <a:schemeClr val="phClr">
                <a:tint val="50000"/>
                <a:shade val="100000"/>
                <a:satMod val="350000"/>
              </a:schemeClr>
            </a:gs>
          </a:gsLst>
          <a:lin ang="162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Heo Jungho</dc:creator>
  <cp:keywords/>
  <dc:description/>
  <cp:lastModifiedBy>Heo Jungho</cp:lastModifiedBy>
  <cp:revision>1</cp:revision>
  <dcterms:modified xsi:type="dcterms:W3CDTF">2022-01-01T23:51:43Z</dcterms:modified>
  <cp:version>1000.0100.01</cp:version>
</cp:coreProperties>
</file>