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31ae142f-7144-452e-b321-1327def14fa3.png"/>
            <wp:cNvGraphicFramePr>
              <a:graphicFrameLocks noChangeAspect="true"/>
            </wp:cNvGraphicFramePr>
            <a:graphic>
              <a:graphicData uri="http://schemas.openxmlformats.org/drawingml/2006/picture">
                <pic:pic xmlns:pic="http://schemas.openxmlformats.org/drawingml/2006/picture">
                  <pic:nvPicPr>
                    <pic:cNvPr id="0" name="Picture 0" descr="131ae142f-7144-452e-b321-1327def14fa3.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Community Apprenticeship Program Plan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Program Overview
</w:t>
      </w:r>
    </w:p>
    <w:p>
      <w:pPr>
        <w:spacing w:after="120" w:before="120" w:line="336" w:lineRule="auto"/>
        <w:ind w:firstLine="0" w:start="0"/>
        <w:jc w:val="start"/>
      </w:pPr>
      <w:r>
        <w:rPr>
          <w:rFonts w:ascii="Canva Sans" w:hAnsi="Canva Sans" w:cs="Canva Sans" w:eastAsia="Canva Sans"/>
          <w:color w:val="000000"/>
          <w:sz w:val="24"/>
          <w:szCs w:val="24"/>
        </w:rPr>
        <w:t xml:space="preserve">The Community Apprenticeship Program is designed to enhance employability skills among youth aged 16-24. By providing practical training and real-world experience, this 12-week program aims to prepare participants for the workforce and increase their chances of securing meaningful employment.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Program Goals
</w:t>
      </w:r>
    </w:p>
    <w:p>
      <w:pPr>
        <w:numPr>
          <w:ilvl w:val="0"/>
          <w:numId w:val="1"/>
        </w:numPr>
        <w:spacing w:after="0" w:before="0" w:line="336" w:lineRule="auto"/>
        <w:jc w:val="start"/>
      </w:pPr>
      <w:r>
        <w:rPr>
          <w:rFonts w:ascii="Canva Sans Bold" w:hAnsi="Canva Sans Bold" w:cs="Canva Sans Bold" w:eastAsia="Canva Sans Bold"/>
          <w:b/>
          <w:bCs/>
          <w:color w:val="000000"/>
          <w:sz w:val="24"/>
          <w:szCs w:val="24"/>
        </w:rPr>
        <w:t>Enhance employability skills</w:t>
      </w:r>
      <w:r>
        <w:rPr>
          <w:rFonts w:ascii="Canva Sans" w:hAnsi="Canva Sans" w:cs="Canva Sans" w:eastAsia="Canva Sans"/>
          <w:color w:val="000000"/>
          <w:sz w:val="24"/>
          <w:szCs w:val="24"/>
        </w:rPr>
        <w:t xml:space="preserve"> among youth aged 16-24.
</w:t>
      </w:r>
    </w:p>
    <w:p>
      <w:pPr>
        <w:numPr>
          <w:ilvl w:val="0"/>
          <w:numId w:val="1"/>
        </w:numPr>
        <w:spacing w:after="0" w:before="0" w:line="336" w:lineRule="auto"/>
        <w:jc w:val="start"/>
      </w:pPr>
      <w:r>
        <w:rPr>
          <w:rFonts w:ascii="Canva Sans" w:hAnsi="Canva Sans" w:cs="Canva Sans" w:eastAsia="Canva Sans"/>
          <w:color w:val="000000"/>
          <w:sz w:val="24"/>
          <w:szCs w:val="24"/>
        </w:rPr>
        <w:t xml:space="preserve">Provide practical training in resume building and interview skills.
</w:t>
      </w:r>
    </w:p>
    <w:p>
      <w:pPr>
        <w:numPr>
          <w:ilvl w:val="0"/>
          <w:numId w:val="1"/>
        </w:numPr>
        <w:spacing w:after="0" w:before="0" w:line="336" w:lineRule="auto"/>
        <w:jc w:val="start"/>
      </w:pPr>
      <w:r>
        <w:rPr>
          <w:rFonts w:ascii="Canva Sans" w:hAnsi="Canva Sans" w:cs="Canva Sans" w:eastAsia="Canva Sans"/>
          <w:color w:val="000000"/>
          <w:sz w:val="24"/>
          <w:szCs w:val="24"/>
        </w:rPr>
        <w:t xml:space="preserve">Develop essential soft skills such as communication, teamwork, and problem-solving.
</w:t>
      </w:r>
    </w:p>
    <w:p>
      <w:pPr>
        <w:numPr>
          <w:ilvl w:val="0"/>
          <w:numId w:val="1"/>
        </w:numPr>
        <w:spacing w:after="0" w:before="0" w:line="336" w:lineRule="auto"/>
        <w:jc w:val="start"/>
      </w:pPr>
      <w:r>
        <w:rPr>
          <w:rFonts w:ascii="Canva Sans" w:hAnsi="Canva Sans" w:cs="Canva Sans" w:eastAsia="Canva Sans"/>
          <w:color w:val="000000"/>
          <w:sz w:val="24"/>
          <w:szCs w:val="24"/>
        </w:rPr>
        <w:t xml:space="preserve">Foster professional growth through mentorship with local professionals.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Duration
</w:t>
      </w:r>
    </w:p>
    <w:p>
      <w:pPr>
        <w:spacing w:after="120" w:before="120" w:line="336" w:lineRule="auto"/>
        <w:ind w:firstLine="0" w:start="0"/>
        <w:jc w:val="start"/>
      </w:pPr>
      <w:r>
        <w:rPr>
          <w:rFonts w:ascii="Canva Sans" w:hAnsi="Canva Sans" w:cs="Canva Sans" w:eastAsia="Canva Sans"/>
          <w:color w:val="000000"/>
          <w:sz w:val="24"/>
          <w:szCs w:val="24"/>
        </w:rPr>
        <w:t xml:space="preserve">The program will run for a total of </w:t>
      </w:r>
      <w:r>
        <w:rPr>
          <w:rFonts w:ascii="Canva Sans Bold" w:hAnsi="Canva Sans Bold" w:cs="Canva Sans Bold" w:eastAsia="Canva Sans Bold"/>
          <w:b/>
          <w:bCs/>
          <w:color w:val="000000"/>
          <w:sz w:val="24"/>
          <w:szCs w:val="24"/>
        </w:rPr>
        <w:t>12 weeks</w:t>
      </w:r>
      <w:r>
        <w:rPr>
          <w:rFonts w:ascii="Canva Sans" w:hAnsi="Canva Sans" w:cs="Canva Sans" w:eastAsia="Canva Sans"/>
          <w:color w:val="000000"/>
          <w:sz w:val="24"/>
          <w:szCs w:val="24"/>
        </w:rPr>
        <w:t xml:space="preserve">, offering comprehensive training and support throughout this period.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Weekly Activities
</w:t>
      </w:r>
    </w:p>
    <w:p>
      <w:pPr>
        <w:spacing w:after="120" w:before="120" w:line="336" w:lineRule="auto"/>
        <w:ind w:firstLine="0" w:start="0"/>
        <w:jc w:val="start"/>
      </w:pPr>
      <w:r>
        <w:rPr>
          <w:rFonts w:ascii="Canva Sans" w:hAnsi="Canva Sans" w:cs="Canva Sans" w:eastAsia="Canva Sans"/>
          <w:color w:val="000000"/>
          <w:sz w:val="24"/>
          <w:szCs w:val="24"/>
        </w:rPr>
        <w:t xml:space="preserve">Each week, participants will engage in a variety of workshops and activities designed to build and refine their employability skills: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Resume Building Workshops</w:t>
      </w:r>
      <w:r>
        <w:rPr>
          <w:rFonts w:ascii="Canva Sans" w:hAnsi="Canva Sans" w:cs="Canva Sans" w:eastAsia="Canva Sans"/>
          <w:color w:val="000000"/>
          <w:sz w:val="24"/>
          <w:szCs w:val="24"/>
        </w:rPr>
        <w:t xml:space="preserve">: Participants will learn how to create professional resumes that effectively showcase their skills and experiences.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Interview Skills Workshops</w:t>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P</w:t>
      </w:r>
      <w:r>
        <w:rPr>
          <w:rFonts w:ascii="Canva Sans" w:hAnsi="Canva Sans" w:cs="Canva Sans" w:eastAsia="Canva Sans"/>
          <w:color w:val="000000"/>
          <w:sz w:val="24"/>
          <w:szCs w:val="24"/>
        </w:rPr>
        <w:t>articipants will develop confidence and competence in job interview setting</w:t>
      </w:r>
      <w:r>
        <w:rPr>
          <w:rFonts w:ascii="Canva Sans" w:hAnsi="Canva Sans" w:cs="Canva Sans" w:eastAsia="Canva Sans"/>
          <w:color w:val="000000"/>
          <w:sz w:val="24"/>
          <w:szCs w:val="24"/>
        </w:rPr>
        <w:t>s through role-playing and feedback session</w:t>
      </w:r>
      <w:r>
        <w:rPr>
          <w:rFonts w:ascii="Canva Sans" w:hAnsi="Canva Sans" w:cs="Canva Sans" w:eastAsia="Canva Sans"/>
          <w:color w:val="000000"/>
          <w:sz w:val="24"/>
          <w:szCs w:val="24"/>
        </w:rPr>
        <w:t xml:space="preserve">s.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Soft Skills Development</w:t>
      </w:r>
      <w:r>
        <w:rPr>
          <w:rFonts w:ascii="Canva Sans" w:hAnsi="Canva Sans" w:cs="Canva Sans" w:eastAsia="Canva Sans"/>
          <w:color w:val="000000"/>
          <w:sz w:val="24"/>
          <w:szCs w:val="24"/>
        </w:rPr>
        <w:t xml:space="preserve">: Interactive sessions focused on enhancing communication, teamwork, and problem-solving skills.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Mentorship
</w:t>
      </w:r>
    </w:p>
    <w:p>
      <w:pPr>
        <w:spacing w:after="120" w:before="120" w:line="336" w:lineRule="auto"/>
        <w:ind w:firstLine="0" w:start="0"/>
        <w:jc w:val="start"/>
      </w:pPr>
      <w:r>
        <w:rPr>
          <w:rFonts w:ascii="Canva Sans" w:hAnsi="Canva Sans" w:cs="Canva Sans" w:eastAsia="Canva Sans"/>
          <w:color w:val="000000"/>
          <w:sz w:val="24"/>
          <w:szCs w:val="24"/>
        </w:rPr>
        <w:t xml:space="preserve">Participants will be paired with local professionals who will act as mentors throughout the program. These mentors will provide guidance, share industry insights, and support participants in their professional development journey.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Evaluation Metrics
</w:t>
      </w:r>
    </w:p>
    <w:p>
      <w:pPr>
        <w:spacing w:after="120" w:before="120" w:line="336" w:lineRule="auto"/>
        <w:ind w:firstLine="0" w:start="0"/>
        <w:jc w:val="start"/>
      </w:pPr>
      <w:r>
        <w:rPr>
          <w:rFonts w:ascii="Canva Sans" w:hAnsi="Canva Sans" w:cs="Canva Sans" w:eastAsia="Canva Sans"/>
          <w:color w:val="000000"/>
          <w:sz w:val="24"/>
          <w:szCs w:val="24"/>
        </w:rPr>
        <w:t xml:space="preserve">To ensure the effectiveness of the program, the following evaluation metrics will be used: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Attendance</w:t>
      </w:r>
      <w:r>
        <w:rPr>
          <w:rFonts w:ascii="Canva Sans" w:hAnsi="Canva Sans" w:cs="Canva Sans" w:eastAsia="Canva Sans"/>
          <w:color w:val="000000"/>
          <w:sz w:val="24"/>
          <w:szCs w:val="24"/>
        </w:rPr>
        <w:t xml:space="preserve">: Regular attendance will be monitored to ensure active participation.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Skill Assessments</w:t>
      </w:r>
      <w:r>
        <w:rPr>
          <w:rFonts w:ascii="Canva Sans" w:hAnsi="Canva Sans" w:cs="Canva Sans" w:eastAsia="Canva Sans"/>
          <w:color w:val="000000"/>
          <w:sz w:val="24"/>
          <w:szCs w:val="24"/>
        </w:rPr>
        <w:t xml:space="preserve">: Participants will be evaluated on their proficiency in key employability skills throughout the program.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Feedback Surveys</w:t>
      </w:r>
      <w:r>
        <w:rPr>
          <w:rFonts w:ascii="Canva Sans" w:hAnsi="Canva Sans" w:cs="Canva Sans" w:eastAsia="Canva Sans"/>
          <w:color w:val="000000"/>
          <w:sz w:val="24"/>
          <w:szCs w:val="24"/>
        </w:rPr>
        <w:t xml:space="preserve">: Participants and mentors will be asked to provide feedback on the program's content, delivery, and overall impact.
</w:t>
      </w:r>
    </w:p>
    <w:p>
      <w:pPr>
        <w:spacing w:after="120" w:before="120" w:line="336" w:lineRule="auto"/>
        <w:ind w:firstLine="0" w:start="0"/>
        <w:jc w:val="start"/>
      </w:pPr>
      <w:r>
        <w:rPr>
          <w:rFonts w:ascii="Canva Sans" w:hAnsi="Canva Sans" w:cs="Canva Sans" w:eastAsia="Canva Sans"/>
          <w:color w:val="000000"/>
          <w:sz w:val="24"/>
          <w:szCs w:val="24"/>
        </w:rPr>
        <w:t>By focusing on these key areas, the Community Apprenticeship Program aims to empower young individuals with the skills and confidence needed to thrive in today's competitive job market.</w:t>
      </w:r>
      <w:r>
        <w:rPr>
          <w:rFonts w:ascii="Canva Sans Bold" w:hAnsi="Canva Sans Bold" w:cs="Canva Sans Bold" w:eastAsia="Canva Sans Bold"/>
          <w:b/>
          <w:bCs/>
          <w:color w:val="000000"/>
          <w:sz w:val="64"/>
          <w:szCs w:val="6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Italics">
    <w:panose1 w:val="020B0604020202090204"/>
    <w:charset w:characterSet="1"/>
    <w:embedItalic r:id="rId3"/>
  </w:font>
  <w:font w:name="Arimo">
    <w:panose1 w:val="020B0604020202020204"/>
    <w:charset w:characterSet="1"/>
    <w:embedRegular r:id="rId4"/>
  </w:font>
  <w:font w:name="Montserrat Bold">
    <w:panose1 w:val="00000800000000000000"/>
    <w:charset w:characterSet="1"/>
    <w:embedBold r:id="rId5"/>
  </w:font>
  <w:font w:name="Montserrat Bold Italics">
    <w:panose1 w:val="00000800000000000000"/>
    <w:charset w:characterSet="1"/>
    <w:embedBoldItalic r:id="rId6"/>
  </w:font>
  <w:font w:name="Montserrat Semi-Bold">
    <w:panose1 w:val="00000700000000000000"/>
    <w:charset w:characterSet="1"/>
    <w:embedBold r:id="rId7"/>
  </w:font>
  <w:font w:name="Montserrat Extra-Light Italics">
    <w:panose1 w:val="00000300000000000000"/>
    <w:charset w:characterSet="1"/>
    <w:embedItalic r:id="rId8"/>
  </w:font>
  <w:font w:name="Montserrat Light">
    <w:panose1 w:val="00000400000000000000"/>
    <w:charset w:characterSet="1"/>
    <w:embedRegular r:id="rId9"/>
  </w:font>
  <w:font w:name="Montserrat">
    <w:panose1 w:val="00000500000000000000"/>
    <w:charset w:characterSet="1"/>
    <w:embedRegular r:id="rId10"/>
  </w:font>
  <w:font w:name="Montserrat Medium Italics">
    <w:panose1 w:val="00000600000000000000"/>
    <w:charset w:characterSet="1"/>
    <w:embedBoldItalic r:id="rId11"/>
  </w:font>
  <w:font w:name="Montserrat Semi-Bold Italics">
    <w:panose1 w:val="00000700000000000000"/>
    <w:charset w:characterSet="1"/>
    <w:embedBoldItalic r:id="rId12"/>
  </w:font>
  <w:font w:name="Montserrat Heavy Italics">
    <w:panose1 w:val="00000A00000000000000"/>
    <w:charset w:characterSet="1"/>
    <w:embedBoldItalic r:id="rId13"/>
  </w:font>
  <w:font w:name="Montserrat Light Italics">
    <w:panose1 w:val="00000400000000000000"/>
    <w:charset w:characterSet="1"/>
    <w:embedItalic r:id="rId14"/>
  </w:font>
  <w:font w:name="Montserrat Thin">
    <w:panose1 w:val="00000300000000000000"/>
    <w:charset w:characterSet="1"/>
    <w:embedRegular r:id="rId15"/>
  </w:font>
  <w:font w:name="Montserrat Italics">
    <w:panose1 w:val="00000500000000000000"/>
    <w:charset w:characterSet="1"/>
    <w:embedItalic r:id="rId16"/>
  </w:font>
  <w:font w:name="Montserrat Extra-Light">
    <w:panose1 w:val="00000300000000000000"/>
    <w:charset w:characterSet="1"/>
    <w:embedRegular r:id="rId17"/>
  </w:font>
  <w:font w:name="Montserrat Ultra-Bold Italics">
    <w:panose1 w:val="00000900000000000000"/>
    <w:charset w:characterSet="1"/>
    <w:embedBoldItalic r:id="rId18"/>
  </w:font>
  <w:font w:name="Montserrat Thin Italics">
    <w:panose1 w:val="00000300000000000000"/>
    <w:charset w:characterSet="1"/>
    <w:embedItalic r:id="rId19"/>
  </w:font>
  <w:font w:name="Montserrat Ultra-Bold">
    <w:panose1 w:val="00000900000000000000"/>
    <w:charset w:characterSet="1"/>
    <w:embedBold r:id="rId20"/>
  </w:font>
  <w:font w:name="Montserrat Medium">
    <w:panose1 w:val="00000600000000000000"/>
    <w:charset w:characterSet="1"/>
    <w:embedBold r:id="rId21"/>
  </w:font>
  <w:font w:name="Montserrat Heavy">
    <w:panose1 w:val="00000A00000000000000"/>
    <w:charset w:characterSet="1"/>
    <w:embedBold r:id="rId22"/>
  </w:font>
  <w:font w:name="Canva Sans Bold">
    <w:panose1 w:val="020B0803030501040103"/>
    <w:charset w:characterSet="1"/>
    <w:embedBold r:id="rId23"/>
  </w:font>
  <w:font w:name="Canva Sans Bold Italics">
    <w:panose1 w:val="020B0803030501040103"/>
    <w:charset w:characterSet="1"/>
    <w:embedBoldItalic r:id="rId24"/>
  </w:font>
  <w:font w:name="Canva Sans Italics">
    <w:panose1 w:val="020B0503030501040103"/>
    <w:charset w:characterSet="1"/>
    <w:embedItalic r:id="rId25"/>
  </w:font>
  <w:font w:name="Canva Sans">
    <w:panose1 w:val="020B0503030501040103"/>
    <w:charset w:characterSet="1"/>
    <w:embedRegular r:id="rId26"/>
  </w:font>
  <w:font w:name="Canva Sans Medium">
    <w:panose1 w:val="020B0603030501040103"/>
    <w:charset w:characterSet="1"/>
    <w:embedBold r:id="rId27"/>
  </w:font>
  <w:font w:name="Canva Sans Medium Italics">
    <w:panose1 w:val="020B0603030501040103"/>
    <w:charset w:characterSet="1"/>
    <w:embedBoldItalic r:id="rId28"/>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14" Target="fonts/font14.odttf" Type="http://schemas.openxmlformats.org/officeDocument/2006/relationships/font"/><Relationship Id="rId15" Target="fonts/font15.odttf" Type="http://schemas.openxmlformats.org/officeDocument/2006/relationships/font"/><Relationship Id="rId16" Target="fonts/font16.odttf" Type="http://schemas.openxmlformats.org/officeDocument/2006/relationships/font"/><Relationship Id="rId17" Target="fonts/font17.odttf" Type="http://schemas.openxmlformats.org/officeDocument/2006/relationships/font"/><Relationship Id="rId18" Target="fonts/font18.odttf" Type="http://schemas.openxmlformats.org/officeDocument/2006/relationships/font"/><Relationship Id="rId19" Target="fonts/font19.odttf" Type="http://schemas.openxmlformats.org/officeDocument/2006/relationships/font"/><Relationship Id="rId2" Target="fonts/font2.odttf" Type="http://schemas.openxmlformats.org/officeDocument/2006/relationships/font"/><Relationship Id="rId20" Target="fonts/font20.odttf" Type="http://schemas.openxmlformats.org/officeDocument/2006/relationships/font"/><Relationship Id="rId21" Target="fonts/font21.odttf" Type="http://schemas.openxmlformats.org/officeDocument/2006/relationships/font"/><Relationship Id="rId22" Target="fonts/font22.odttf" Type="http://schemas.openxmlformats.org/officeDocument/2006/relationships/font"/><Relationship Id="rId23" Target="fonts/font23.odttf" Type="http://schemas.openxmlformats.org/officeDocument/2006/relationships/font"/><Relationship Id="rId24" Target="fonts/font24.odttf" Type="http://schemas.openxmlformats.org/officeDocument/2006/relationships/font"/><Relationship Id="rId25" Target="fonts/font25.odttf" Type="http://schemas.openxmlformats.org/officeDocument/2006/relationships/font"/><Relationship Id="rId26" Target="fonts/font26.odttf" Type="http://schemas.openxmlformats.org/officeDocument/2006/relationships/font"/><Relationship Id="rId27" Target="fonts/font27.odttf" Type="http://schemas.openxmlformats.org/officeDocument/2006/relationships/font"/><Relationship Id="rId28" Target="fonts/font28.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2025-04-30T17:31:16Z</dcterms:created>
  <dc:creator>Apache POI</dc:creator>
</cp:coreProperties>
</file>