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Evidencias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ServiciosYa — Capstone. Registro de capturas de pantalla de cada módulo del sistema.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3182"/>
        <w:gridCol w:w="1498"/>
        <w:gridCol w:w="3182"/>
        <w:tblGridChange w:id="0">
          <w:tblGrid>
            <w:gridCol w:w="1498"/>
            <w:gridCol w:w="3182"/>
            <w:gridCol w:w="1498"/>
            <w:gridCol w:w="318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URL desplegada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Entorno (local / 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Entorno Local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 de las capturas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Maximiliano Navarrete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Control de capturas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2200"/>
        <w:gridCol w:w="1200"/>
        <w:gridCol w:w="860"/>
        <w:tblGridChange w:id="0">
          <w:tblGrid>
            <w:gridCol w:w="800"/>
            <w:gridCol w:w="4300"/>
            <w:gridCol w:w="2200"/>
            <w:gridCol w:w="1200"/>
            <w:gridCol w:w="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Home (página de inicio)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Login y 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Registro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Registro de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Solicitar — Paso 1: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Solicitar — Paso 2: 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Solicitar — Paso 3: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Solicitar — Paso 4: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Solicitar — Paso 5: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Mis Solicitudes (Con validación de PIN)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Dashboard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Modal de cotización y costo en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Mis Trabajos (validación de PIN)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Historial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Billetera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Comprar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profesional (verificación de identidad)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Chat de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 /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Perfil público del profesional (sellos)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 —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 — Consulta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 —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 —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Centro de Ayuda y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 /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Validación de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Notificación de término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Confirmación de término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Calificación 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Calificación 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Home (página de inicio)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810000" cy="2990909"/>
                  <wp:effectExtent b="0" l="0" r="0" t="0"/>
                  <wp:docPr id="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00" cy="29909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público: página de inicio de ServiciosYa con el mensaje de valor y los dos caminos de entrada, «Necesito un Servicio» (cliente) y «Soy Profesional», más los botones Iniciar sesión y Comenzar gratis. Aún no hay sesión iniciada.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Login y recuperación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http://localhost:5173/login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933700"/>
                  <wp:effectExtent b="0" l="0" r="0" t="0"/>
                  <wp:docPr id="5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público: inicio de sesión con email y contraseña (con opción de verla), enlace ¿Olvidaste tu contraseña? para recuperarla y accesos para crear una cuenta nueva como Cliente o Profesional. Es la entrada común a los paneles Cliente y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Registro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http://localhost:5173/registro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984500"/>
                  <wp:effectExtent b="0" l="0" r="0" t="0"/>
                  <wp:docPr id="5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público, registro de cliente (paso 1 de 2, identificación): pide nombre completo, RUT, email y WhatsApp (+569), con barra de progreso y un aviso de que los datos reales garantizan la seguridad de todos en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Registro de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http://localhost:5173/registro-profesional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946400"/>
                  <wp:effectExtent b="0" l="0" r="0" t="0"/>
                  <wp:docPr id="5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público, registro de profesional (paso 1 de 3, identidad): pide nombre, RUT, email profesional, WhatsApp y fecha de nacimiento (mayor de 18). Advierte que el RUT será validado y que solo profesionales verificados pueden operar.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Solicitar — Paso 1: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http://localhost:5173/solicitar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90788" cy="4431462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4431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solicitud paso 1 de 5: el cliente elige la especialidad que necesita (electricista, gasfíter, cerrajero, etc.) con buscador y filtros por categoría. Es el inicio del flujo para pedir un servicio; el menú inferior es el del cliente (Pedir, Pedidos, Explorar, Perfil).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Solicitar — Paso 2: Fotos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http://localhost:5173/solicitar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81263" cy="5136754"/>
                  <wp:effectExtent b="0" l="0" r="0" t="0"/>
                  <wp:docPr id="5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63" cy="5136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solicitud paso 2 de 5: carga opcional de evidencia visual (hasta 3 fotos JPG o PNG, máx. 5 MB). Una ayuda explica que las fotos claras permiten al profesional estimar el trabajo antes de llegar.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Solicitar — Paso 3: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http://localhost:5173/solicitar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3740" cy="5087950"/>
                  <wp:effectExtent b="0" l="0" r="0" t="0"/>
                  <wp:docPr id="5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740" cy="5087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solicitud paso 3 de 5: el cliente indica dirección, comuna y una referencia adicional opcional (depto, torre, portón) del lugar donde se hará el servicio, dato que luego ve el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Solicitar — Paso 4: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http://localhost:5173/solicitar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652713" cy="5537779"/>
                  <wp:effectExtent b="0" l="0" r="0" t="0"/>
                  <wp:docPr id="6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13" cy="5537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solicitud paso 4 de 5: selección de fecha y hora de la visita con calendario u horarios sugeridos (mañana o pasado, 9, 12 o 18 h). Aclara que se puede reagendar con el profesional por el chat una vez asignada la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Solicitar — Paso 5: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http://localhost:5173/solicitar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44385" cy="4802200"/>
                  <wp:effectExtent b="0" l="0" r="0" t="0"/>
                  <wp:docPr id="5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385" cy="480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solicitud paso 5 de 5: resumen de la solicitud (especialidad, descripción, dirección, visita y foto), editable con el lápiz de cada dato. Exige certificar que la información es verídica y aceptar los términos antes de Publicar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 Solicitudes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(Con validación de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http://localhost:5173/mis-solicitudes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843213" cy="6242895"/>
                  <wp:effectExtent b="0" l="0" r="0" t="0"/>
                  <wp:docPr id="6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213" cy="6242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Mis Pedidos: pedido con la propuesta del profesional, el PIN de seguridad de 4 dígitos que se muestra solo al profesional cuando llega, el especialista asignado, la inversión total aprobada (mano de obra + materiales) y la evidencia fotográfica.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Dashboard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http://localhost:5173/cliente/dashboard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49762" cy="5145100"/>
                  <wp:effectExtent b="0" l="0" r="0" t="0"/>
                  <wp:docPr id="6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762" cy="514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Dashboard: aviso de strikes acumulados (2 de 3; al llegar a 3 la cuenta se suspende), estado de cuenta, resumen en vivo (total, activos, listos, rating), solicitud en curso, actividad reciente y accesos rápidos.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http://localhost:5173/cliente/perfil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378162" cy="4964125"/>
                  <wp:effectExtent b="0" l="0" r="0" t="0"/>
                  <wp:docPr id="6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62" cy="496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Perfil: foto, servicios y calificación, alerta de avisos registrados (2 de 3) con la regla de suspensión, accesos a Pedir servicio, Buzón y Editar perfil, enlaces a Mis pedidos, Centro de ayuda y Verificar cuenta, y datos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http://localhost:5173/servicios-disponibles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500313" cy="5277072"/>
                  <wp:effectExtent b="0" l="0" r="0" t="0"/>
                  <wp:docPr id="6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5277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Bolsa de Trabajo: solicitudes disponibles con filtro por distancia (GPS activo). Cada tarjeta muestra especialidad, solicitante, comuna, fecha de visita, descripción, foto y el costo en diamantes (créditos) para postular.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 de cotización y costo en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http://localhost:5173/servicios-disponibles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890838" cy="5591175"/>
                  <wp:effectExtent b="0" l="0" r="0" t="0"/>
                  <wp:docPr id="6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838" cy="5591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postulación: formulario «Tu cotización» con mano de obra, materiales y detalle técnico obligatorio. Calcula el Total Cliente y muestra el costo de postulación (4 diamantes) antes de Revisar y enviar propuesta.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 Trabajos (validación de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http://localhost:5173/prof/trabajos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3231797" cy="6745300"/>
                  <wp:effectExtent b="0" l="0" r="0" t="0"/>
                  <wp:docPr id="70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797" cy="674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Mi Agenda: trabajo aceptado con contratante, ubicación, presupuesto cerrado ($37.500 = $25.000 mano de obra + $12.500 materiales), descripción y acceso al Chat seguro. La validación del PIN para iniciar el trabajo se ve en A29.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Historial del 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http://localhost:5173/historial-profesional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862263" cy="6033959"/>
                  <wp:effectExtent b="0" l="0" r="0" t="0"/>
                  <wp:docPr id="7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603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Historial Pro: contadores de trabajos cargados, completados e ingresos, filtros Todos / Exitosos / Cerrados y detalle de cada trabajo (especialidad, comuna, fecha, monto y estado: completado o abandonado con motivo).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Billetera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http://localhost:5173/prof/billetera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807488" cy="5926150"/>
                  <wp:effectExtent b="0" l="0" r="0" t="0"/>
                  <wp:docPr id="7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488" cy="592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Billetera Pro: saldo disponible en diamantes (38), total gastado y recibido, botón Recargar billetera y movimientos filtrables por entradas y salidas, como el descuento de 4 diamantes por cada postulación.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Comprar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http://localhost:5173/comprar-creditos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728913" cy="5803171"/>
                  <wp:effectExtent b="0" l="0" r="0" t="0"/>
                  <wp:docPr id="7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913" cy="58031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Recargar Diamantes: saldo actual y packs de pago único (10, 30, 60…) con precio en CLP, costo por crédito y saldo resultante tras recargar. Cada diamante equivale a una postulación.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profesional (verificación de identidad)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http://localhost:5173/prof/perfil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1909763" cy="4600575"/>
                  <wp:effectExtent b="0" l="0" r="0" t="0"/>
                  <wp:docPr id="7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763" cy="460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157477" cy="4592650"/>
                  <wp:effectExtent b="0" l="0" r="0" t="0"/>
                  <wp:docPr id="7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477" cy="459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Perfil: verificación de identidad. Pantalla de bienvenida (escanear la cédula chilena y tomar una selfie) y captura del frente de la cédula con guía de encuadre. Es el paso para que el profesional opere como verificado.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Análisis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http://localhost:5173/analisis-rendimiento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332751" cy="4935550"/>
                  <wp:effectExtent b="0" l="0" r="0" t="0"/>
                  <wp:docPr id="4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751" cy="4935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Análisis Pro: facturación 2026, ticket promedio, trabajos, racha activa, proyección anual y promedio mensual, metas de facturación editables y gráfico de ingresos 2026 vs 2025, con pestañas Resumen, Rubros y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Chat de la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243138" cy="4682754"/>
                  <wp:effectExtent b="0" l="0" r="0" t="0"/>
                  <wp:docPr id="4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138" cy="4682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157413" cy="4676586"/>
                  <wp:effectExtent b="0" l="0" r="0" t="0"/>
                  <wp:docPr id="4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413" cy="4676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Chat seguro de la solicitud visto desde ambos paneles: el del Profesional (con el cliente Francisco) y el del Cliente (con el profesional Maximiliano). Ambos muestran la cotización oficial de $37.500, el aviso de PIN generado y respuestas rápidas.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http://localhost:5173/notificaciones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76623" cy="5164150"/>
                  <wp:effectExtent b="0" l="0" r="0" t="0"/>
                  <wp:docPr id="4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23" cy="516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Buzón: 3 notificaciones sin leer con filtros Todas / Sin leer / Importantes. Informa propuesta aceptada o no aceptada (con motivo), nueva reseña de 5 estrellas y trabajo aprobado por 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público del profesional (sellos)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http://localhost:5173/profesional/5OJGQ3NO4hO1neaTys1IDM1D6Qd2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13663" cy="5230825"/>
                  <wp:effectExtent b="0" l="0" r="0" t="0"/>
                  <wp:docPr id="4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63" cy="5230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27112" cy="5227625"/>
                  <wp:effectExtent b="0" l="0" r="0" t="0"/>
                  <wp:docPr id="4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112" cy="5227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Perfil público del profesional, visible para los clientes: nombre, rubros, comuna, rating y trabajos, reconocimientos (Amable, Puntual, Limpio…) y expediente con zona, experiencia y sello «Verificado por la Municipalidad» (OMIL) con título, nacionalidad y 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 — Profesionales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http://localhost:5173/admin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3476625" cy="4906975"/>
                  <wp:effectExtent b="0" l="0" r="0" t="0"/>
                  <wp:docPr id="4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490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Admin, pestaña Profesionales: datos de cada profesional (estado, RUT, comuna, contacto, strikes 1/3) y acciones: suspender cuenta, reiniciar strikes, banear definitivamente y consultar y otorgar sello (OMIL).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 — Consulta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http://localhost:5173/admin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76538" cy="5172075"/>
                  <wp:effectExtent b="0" l="0" r="0" t="0"/>
                  <wp:docPr id="4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538" cy="517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76538" cy="5172075"/>
                  <wp:effectExtent b="0" l="0" r="0" t="0"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538" cy="517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Admin, Portal de Verificación Interinstitucional (OMIL, Registro Civil, Migraciones): el admin consulta un RUT y recibe un resultado simulado (OMIL, título, nacionalidad, folio) para otorgar el sello ampliado, indicando la comuna que certifica.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 —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http://localhost:5173/admin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4178300"/>
                  <wp:effectExtent b="0" l="0" r="0" t="0"/>
                  <wp:docPr id="4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17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Admin, pestaña Clientes: listado de clientes con estado, email, teléfono y strikes (0/3 y 2/3). Permite suspender la cuenta y reiniciar los strikes, según la regla de suspensión al llegar a 3 reportes de conducta.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 —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http://localhost:5173/admin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00725" cy="6718300"/>
                  <wp:effectExtent b="0" l="0" r="0" t="0"/>
                  <wp:docPr id="5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671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Admin, pestaña Solicitudes: todas las solicitudes con estado (Completado, Cancelado por cliente o por profesional), fecha, descripción y dirección. El admin puede cambiar el estado (Pendiente, En progreso, Completado) o eliminar la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Centro de Ayuda y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http://localhost:5173/ayuda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500313" cy="5231797"/>
                  <wp:effectExtent b="0" l="0" r="0" t="0"/>
                  <wp:docPr id="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5231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16013" cy="5237150"/>
                  <wp:effectExtent b="0" l="0" r="0" t="0"/>
                  <wp:docPr id="6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013" cy="523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Centro de Ayuda en ambos roles: versión Profesional (10 respuestas) y versión Cliente (9 respuestas), con buscador, categorías y preguntas frecuentes desplegables sobre cuenta, pagos, PIN de seguridad y diamantes.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Validación de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http://localhost:5173/prof/trabajos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662238" cy="3480876"/>
                  <wp:effectExtent b="0" l="0" r="0" t="0"/>
                  <wp:docPr id="6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34808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validación de seguridad: para iniciar el trabajo se ingresa el PIN de 4 dígitos que el cliente ve en su pantalla (ver A10) y se pulsa Validar e iniciar. Evita que se inicie un servicio sin 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Notificación de término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http://localhost:5173/prof/trabajos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74592" cy="3125800"/>
                  <wp:effectExtent b="0" l="0" r="0" t="0"/>
                  <wp:docPr id="6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592" cy="31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Profesional, término del trabajo: aviso «Notificación enviada». Informa que el cliente debe confirmar el trabajo en las próximas 48 horas y que el profesional recibirá una notificación cuando sea aprobado.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Confirmación de término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Ruta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http://localhost:5173/mis-solicitudes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57475" cy="5383225"/>
                  <wp:effectExtent b="0" l="0" r="0" t="0"/>
                  <wp:docPr id="6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5383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Cliente, Mis Pedidos: el profesional declaró haber terminado. El cliente revisa el monto ($37.500) y la evidencia fotográfica, y puede abrir el Canal seguro o Confirmar y certificar el trabajo; si no actúa, se auto-confirma en 47 horas.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05049318"/>
        <w:tag w:val="goog_rdk_0"/>
      </w:sdtPr>
      <w:sdtContent>
        <w:tbl>
          <w:tblPr>
            <w:tblStyle w:val="Table34"/>
            <w:tblW w:w="9360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000"/>
          </w:tblPr>
          <w:tblGrid>
            <w:gridCol w:w="1500"/>
            <w:gridCol w:w="4180"/>
            <w:gridCol w:w="1500"/>
            <w:gridCol w:w="2180"/>
            <w:tblGridChange w:id="0">
              <w:tblGrid>
                <w:gridCol w:w="1500"/>
                <w:gridCol w:w="4180"/>
                <w:gridCol w:w="1500"/>
                <w:gridCol w:w="218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Calificación a profesional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Ruta /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http://localhost:5173/mis-solicitudes</w:t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9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Figura N°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A">
                <w:pPr>
                  <w:spacing w:after="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200" w:hRule="atLeast"/>
              <w:tblHeader w:val="0"/>
            </w:trPr>
            <w:tc>
              <w:tcPr>
                <w:gridSpan w:val="4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B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133725" cy="6791325"/>
                      <wp:effectExtent b="0" l="0" r="0" t="0"/>
                      <wp:docPr id="7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4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33725" cy="6791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600" w:hRule="atLeast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Qué demuestra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00">
                <w:pPr>
                  <w:spacing w:after="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Panel Cliente, Certifica el trabajo: calificación de 1 a 5 estrellas al profesional y etiquetas positivas (Puntual, Limpio, Muy pro, Precio justo, Amable). La reseña aparece en el perfil público del profesional y se puede omitir.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45083991"/>
        <w:tag w:val="goog_rdk_1"/>
      </w:sdtPr>
      <w:sdtContent>
        <w:tbl>
          <w:tblPr>
            <w:tblStyle w:val="Table35"/>
            <w:tblW w:w="9360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000"/>
          </w:tblPr>
          <w:tblGrid>
            <w:gridCol w:w="1500"/>
            <w:gridCol w:w="4180"/>
            <w:gridCol w:w="1500"/>
            <w:gridCol w:w="2180"/>
            <w:tblGridChange w:id="0">
              <w:tblGrid>
                <w:gridCol w:w="1500"/>
                <w:gridCol w:w="4180"/>
                <w:gridCol w:w="1500"/>
                <w:gridCol w:w="218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A33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Calificación a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Ruta / 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http://localhost:5173/prof/trabajos</w:t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Figura N°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11">
                <w:pPr>
                  <w:spacing w:after="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33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200" w:hRule="atLeast"/>
              <w:tblHeader w:val="0"/>
            </w:trPr>
            <w:tc>
              <w:tcPr>
                <w:gridSpan w:val="4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12">
                <w:pPr>
                  <w:spacing w:after="0" w:lineRule="auto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800475" cy="5772150"/>
                      <wp:effectExtent b="0" l="0" r="0" t="0"/>
                      <wp:docPr id="73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4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00475" cy="5772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600" w:hRule="atLeast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d9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Qué demuestra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317">
                <w:pPr>
                  <w:spacing w:after="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Panel Profesional, Puntúa al cliente: el profesional califica de 1 a 5 estrellas al cliente (Francisco Navarrete) y pulsa Enviar y finalizar, o lo omite. La valoración ayuda a mantener la calidad de la comunidad.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footerReference r:id="rId45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Evidencias de la Aplicación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33.png"/><Relationship Id="rId42" Type="http://schemas.openxmlformats.org/officeDocument/2006/relationships/image" Target="media/image31.png"/><Relationship Id="rId41" Type="http://schemas.openxmlformats.org/officeDocument/2006/relationships/image" Target="media/image26.png"/><Relationship Id="rId22" Type="http://schemas.openxmlformats.org/officeDocument/2006/relationships/image" Target="media/image38.png"/><Relationship Id="rId44" Type="http://schemas.openxmlformats.org/officeDocument/2006/relationships/image" Target="media/image29.png"/><Relationship Id="rId21" Type="http://schemas.openxmlformats.org/officeDocument/2006/relationships/image" Target="media/image34.png"/><Relationship Id="rId43" Type="http://schemas.openxmlformats.org/officeDocument/2006/relationships/image" Target="media/image32.png"/><Relationship Id="rId24" Type="http://schemas.openxmlformats.org/officeDocument/2006/relationships/image" Target="media/image37.png"/><Relationship Id="rId23" Type="http://schemas.openxmlformats.org/officeDocument/2006/relationships/image" Target="media/image36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5.png"/><Relationship Id="rId25" Type="http://schemas.openxmlformats.org/officeDocument/2006/relationships/image" Target="media/image28.png"/><Relationship Id="rId28" Type="http://schemas.openxmlformats.org/officeDocument/2006/relationships/image" Target="media/image1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2.png"/><Relationship Id="rId31" Type="http://schemas.openxmlformats.org/officeDocument/2006/relationships/image" Target="media/image13.png"/><Relationship Id="rId30" Type="http://schemas.openxmlformats.org/officeDocument/2006/relationships/image" Target="media/image20.png"/><Relationship Id="rId11" Type="http://schemas.openxmlformats.org/officeDocument/2006/relationships/image" Target="media/image3.png"/><Relationship Id="rId33" Type="http://schemas.openxmlformats.org/officeDocument/2006/relationships/image" Target="media/image18.png"/><Relationship Id="rId10" Type="http://schemas.openxmlformats.org/officeDocument/2006/relationships/image" Target="media/image17.png"/><Relationship Id="rId32" Type="http://schemas.openxmlformats.org/officeDocument/2006/relationships/image" Target="media/image19.png"/><Relationship Id="rId13" Type="http://schemas.openxmlformats.org/officeDocument/2006/relationships/image" Target="media/image16.png"/><Relationship Id="rId35" Type="http://schemas.openxmlformats.org/officeDocument/2006/relationships/image" Target="media/image9.png"/><Relationship Id="rId12" Type="http://schemas.openxmlformats.org/officeDocument/2006/relationships/image" Target="media/image11.png"/><Relationship Id="rId34" Type="http://schemas.openxmlformats.org/officeDocument/2006/relationships/image" Target="media/image15.png"/><Relationship Id="rId15" Type="http://schemas.openxmlformats.org/officeDocument/2006/relationships/image" Target="media/image14.png"/><Relationship Id="rId37" Type="http://schemas.openxmlformats.org/officeDocument/2006/relationships/image" Target="media/image8.png"/><Relationship Id="rId14" Type="http://schemas.openxmlformats.org/officeDocument/2006/relationships/image" Target="media/image21.png"/><Relationship Id="rId36" Type="http://schemas.openxmlformats.org/officeDocument/2006/relationships/image" Target="media/image5.png"/><Relationship Id="rId17" Type="http://schemas.openxmlformats.org/officeDocument/2006/relationships/image" Target="media/image30.png"/><Relationship Id="rId39" Type="http://schemas.openxmlformats.org/officeDocument/2006/relationships/image" Target="media/image22.png"/><Relationship Id="rId16" Type="http://schemas.openxmlformats.org/officeDocument/2006/relationships/image" Target="media/image23.png"/><Relationship Id="rId38" Type="http://schemas.openxmlformats.org/officeDocument/2006/relationships/image" Target="media/image4.png"/><Relationship Id="rId19" Type="http://schemas.openxmlformats.org/officeDocument/2006/relationships/image" Target="media/image25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0txnirq20oTl7o4WVVHpuyV7w==">CgMxLjAaHwoBMBIaChgICVIUChJ0YWJsZS42aDB1c2s4NmpvcDIaHwoBMRIaChgICVIUChJ0YWJsZS5qdzVqbXNqMHp6N2k4AHIhMWRoREpwZE93VkJFUXhhcDRIRkdJLVNRODMyVUVXbldT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2026-10-06T22:48:50.456Z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