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84"/>
        <w:gridCol w:w="1080"/>
        <w:gridCol w:w="5310"/>
        <w:gridCol w:w="451"/>
        <w:gridCol w:w="450"/>
        <w:gridCol w:w="451"/>
        <w:gridCol w:w="899"/>
      </w:tblGrid>
      <w:tr w:rsidR="00057EBA" w14:paraId="10238957" w14:textId="77777777"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059AFE5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Course Type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5BBD9857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Course Code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38A2BA2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Name of Course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36B89A27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L</w:t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62FE9BC3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5CAA809F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4154C79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Credit</w:t>
            </w:r>
          </w:p>
        </w:tc>
      </w:tr>
      <w:tr w:rsidR="00057EBA" w14:paraId="38641CBE" w14:textId="77777777"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877BE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IC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F68325" w14:textId="4B333CDD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MCI102</w:t>
            </w:r>
          </w:p>
        </w:tc>
        <w:tc>
          <w:tcPr>
            <w:tcW w:w="5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121B74" w14:textId="07B2D729" w:rsidR="00057EBA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Mathematics-II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B3F208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58DBEC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F9BD5B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E236FC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</w:tbl>
    <w:p w14:paraId="73AF6B87" w14:textId="77777777" w:rsidR="00057EBA" w:rsidRDefault="00057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tbl>
      <w:tblPr>
        <w:tblW w:w="96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625"/>
      </w:tblGrid>
      <w:tr w:rsidR="00057EBA" w14:paraId="1034999B" w14:textId="77777777">
        <w:tc>
          <w:tcPr>
            <w:tcW w:w="9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2BBD1753" w14:textId="77777777" w:rsidR="00057EBA" w:rsidRDefault="004652D5">
            <w:pPr>
              <w:spacing w:after="0" w:line="240" w:lineRule="auto"/>
              <w:jc w:val="both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Course Objective</w:t>
            </w:r>
          </w:p>
        </w:tc>
      </w:tr>
      <w:tr w:rsidR="00057EBA" w14:paraId="02ACBEED" w14:textId="77777777">
        <w:tc>
          <w:tcPr>
            <w:tcW w:w="9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F5899A" w14:textId="4A4827E4" w:rsidR="00057EBA" w:rsidRDefault="004652D5" w:rsidP="007E174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The objective of the course is to present an introduction to</w:t>
            </w:r>
            <w:r>
              <w:rPr>
                <w:rFonts w:ascii="Times New Roman" w:hAnsi="Times New Roman"/>
                <w:sz w:val="20"/>
              </w:rPr>
              <w:t xml:space="preserve"> basic concepts of </w:t>
            </w:r>
            <w:r w:rsidR="007E1743">
              <w:rPr>
                <w:rFonts w:ascii="Times New Roman" w:hAnsi="Times New Roman"/>
                <w:sz w:val="20"/>
              </w:rPr>
              <w:t>linear algebra and differential equations, both ordinary and partial differential equations.</w:t>
            </w:r>
          </w:p>
        </w:tc>
      </w:tr>
      <w:tr w:rsidR="00057EBA" w14:paraId="08F153FC" w14:textId="77777777">
        <w:tc>
          <w:tcPr>
            <w:tcW w:w="9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382545BE" w14:textId="77777777" w:rsidR="00057EBA" w:rsidRDefault="004652D5">
            <w:pPr>
              <w:spacing w:after="0" w:line="240" w:lineRule="auto"/>
              <w:jc w:val="both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Learning Outcomes</w:t>
            </w:r>
          </w:p>
        </w:tc>
      </w:tr>
      <w:tr w:rsidR="00057EBA" w14:paraId="659492B7" w14:textId="77777777">
        <w:tc>
          <w:tcPr>
            <w:tcW w:w="9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2F9961" w14:textId="77777777" w:rsidR="00057EBA" w:rsidRDefault="004652D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Upon successful completion of this course, students will: </w:t>
            </w:r>
          </w:p>
          <w:p w14:paraId="161BE5DF" w14:textId="25BA8B01" w:rsidR="00057EBA" w:rsidRDefault="004652D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have a broad understanding of </w:t>
            </w:r>
            <w:r w:rsidR="007E174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linear algebra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.</w:t>
            </w:r>
          </w:p>
          <w:p w14:paraId="26069526" w14:textId="48B4EDCF" w:rsidR="00057EBA" w:rsidRPr="007E1743" w:rsidRDefault="004652D5" w:rsidP="007E174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be able to use the techniques of </w:t>
            </w:r>
            <w:r w:rsidR="007E174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linear algebra and differential equations</w:t>
            </w: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for solving variety of problems arising in science and engineering.</w:t>
            </w:r>
          </w:p>
        </w:tc>
      </w:tr>
    </w:tbl>
    <w:p w14:paraId="0FCD745D" w14:textId="77777777" w:rsidR="00057EBA" w:rsidRDefault="00057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tbl>
      <w:tblPr>
        <w:tblW w:w="96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0"/>
        <w:gridCol w:w="4471"/>
        <w:gridCol w:w="1419"/>
        <w:gridCol w:w="3010"/>
      </w:tblGrid>
      <w:tr w:rsidR="00057EBA" w14:paraId="374B3EEB" w14:textId="77777777" w:rsidTr="00BC06C6"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57F5CD41" w14:textId="77777777" w:rsidR="00057EBA" w:rsidRDefault="004652D5">
            <w:pPr>
              <w:spacing w:after="0" w:line="24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Unit No.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0BD01CAB" w14:textId="77777777" w:rsidR="00057EBA" w:rsidRDefault="004652D5">
            <w:pPr>
              <w:spacing w:after="0" w:line="24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Topics to be Covered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9E88EBB" w14:textId="77777777" w:rsidR="00057EBA" w:rsidRDefault="004652D5">
            <w:pPr>
              <w:spacing w:after="0" w:line="24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Lecture Hours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79B88820" w14:textId="77777777" w:rsidR="00057EBA" w:rsidRDefault="004652D5">
            <w:pPr>
              <w:spacing w:after="0" w:line="24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Learning Outcome</w:t>
            </w:r>
          </w:p>
        </w:tc>
      </w:tr>
      <w:tr w:rsidR="00057EBA" w14:paraId="37E225CB" w14:textId="77777777" w:rsidTr="00BC06C6">
        <w:tc>
          <w:tcPr>
            <w:tcW w:w="7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B98A9F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1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07DA04" w14:textId="66870B6E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Vector spaces over R and C, Linear independence and dependence, Basis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43A6A4" w14:textId="57542708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30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5CBD98" w14:textId="7951B5E1" w:rsidR="00057EBA" w:rsidRDefault="004652D5" w:rsidP="00BC06C6">
            <w:pPr>
              <w:numPr>
                <w:ilvl w:val="0"/>
                <w:numId w:val="6"/>
              </w:numPr>
              <w:shd w:val="clear" w:color="auto" w:fill="FAFAFA"/>
              <w:spacing w:after="45" w:line="24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This unit will help students to </w:t>
            </w:r>
            <w:r w:rsidR="000146DC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see the generalization of the properties of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0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0"/>
                      <w:szCs w:val="18"/>
                    </w:rPr>
                    <m:t>2</m:t>
                  </m:r>
                </m:sup>
              </m:sSup>
            </m:oMath>
            <w:r w:rsidR="000146DC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0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0"/>
                      <w:szCs w:val="18"/>
                    </w:rPr>
                    <m:t>3</m:t>
                  </m:r>
                </m:sup>
              </m:sSup>
            </m:oMath>
            <w:r w:rsidR="000146DC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 </w:t>
            </w:r>
            <w:r w:rsidR="00BC06C6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>to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0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0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0"/>
                      <w:szCs w:val="18"/>
                    </w:rPr>
                    <m:t>n</m:t>
                  </m:r>
                </m:sup>
              </m:sSup>
            </m:oMath>
            <w:r w:rsidR="000146DC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>, learn about new terms such as rank, nullity and their use to solve system of linear equations.</w:t>
            </w:r>
            <w:r w:rsidR="00BC06C6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 Also students will learn to </w:t>
            </w:r>
            <w:r w:rsidR="00BC06C6" w:rsidRPr="00BC06C6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>investigate properties of vector spaces and subspaces using by linear transformations.</w:t>
            </w:r>
          </w:p>
        </w:tc>
      </w:tr>
      <w:tr w:rsidR="00057EBA" w14:paraId="7A5F7410" w14:textId="77777777" w:rsidTr="00BC06C6">
        <w:trPr>
          <w:trHeight w:val="363"/>
        </w:trPr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D0B1B6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3E9292" w14:textId="14124BAA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Matrices and Gauss elimination, Row space, Null space and column space, Rank of a matrix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89C3D4" w14:textId="50B582E0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2A7F38" w14:textId="77777777" w:rsidR="00057EBA" w:rsidRDefault="00057EBA">
            <w:pPr>
              <w:shd w:val="clear" w:color="auto" w:fill="FFFFFF"/>
              <w:spacing w:before="280"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  <w:tr w:rsidR="00057EBA" w14:paraId="7E907582" w14:textId="77777777" w:rsidTr="00BC06C6"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F4793B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DBAA2B" w14:textId="1C57CC34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Systems of linear equations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1C1661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934A27" w14:textId="77777777" w:rsidR="00057EBA" w:rsidRDefault="00057EBA">
            <w:pPr>
              <w:shd w:val="clear" w:color="auto" w:fill="FFFFFF"/>
              <w:spacing w:before="280"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  <w:tr w:rsidR="00057EBA" w14:paraId="39FA6423" w14:textId="77777777" w:rsidTr="00BC06C6"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F8F70A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29E306" w14:textId="0A04B119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Linear transformations, Matrix of a linear transformation, Rank-nullity theorem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F70CFD" w14:textId="3E64C8BA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B9F50A" w14:textId="77777777" w:rsidR="00057EBA" w:rsidRDefault="00057EBA">
            <w:pPr>
              <w:shd w:val="clear" w:color="auto" w:fill="FFFFFF"/>
              <w:spacing w:before="280"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  <w:tr w:rsidR="00057EBA" w14:paraId="175849F5" w14:textId="77777777" w:rsidTr="00BC06C6">
        <w:tc>
          <w:tcPr>
            <w:tcW w:w="7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074F2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F346C7" w14:textId="221EFA5B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Eigenvalues and eigenvectors, Caley-Hamilton theorem (without proof) and its applications, Algebraic and geometric multiplicity</w:t>
            </w: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EEF21E" w14:textId="2A7FAAB1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0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CB6115" w14:textId="5B58EEE1" w:rsidR="00057EBA" w:rsidRDefault="004652D5" w:rsidP="00BC06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This unit will help students to understand the basic idea </w:t>
            </w:r>
            <w:r w:rsidR="00BC06C6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eigenvalues and eigenvectors with their use in diagonalization of matrices and quadratic forms. </w:t>
            </w:r>
          </w:p>
        </w:tc>
      </w:tr>
      <w:tr w:rsidR="00057EBA" w14:paraId="468BF2A0" w14:textId="77777777" w:rsidTr="00BC06C6"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1A0210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DF348" w14:textId="3A723885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Diagonalization, Spectral theorem for real symmetric matrices, Quadratic forms, Applications of eigenvalues and eigenvectors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FAF854" w14:textId="2BB3A69E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15B349" w14:textId="77777777" w:rsidR="00057EBA" w:rsidRDefault="00057E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  <w:tr w:rsidR="00057EBA" w14:paraId="17E2D9F0" w14:textId="77777777" w:rsidTr="00BC06C6">
        <w:tc>
          <w:tcPr>
            <w:tcW w:w="7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E7CEAD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08190" w14:textId="0B81254A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First order differential equations (exact equations, integrating factors and Bernoulli equations, orthogonal trajectories.),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A74C6E" w14:textId="34ECB3BE" w:rsidR="00057EBA" w:rsidRDefault="003F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0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2BDDA4" w14:textId="096643F0" w:rsidR="00057EBA" w:rsidRPr="00B42219" w:rsidRDefault="004652D5" w:rsidP="00BC06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  <w:r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Students will be able to understand the </w:t>
            </w:r>
            <w:r w:rsidR="00BC06C6"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notion of first order differential equations with applications as well as the existence and uniqueness of their solutions. </w:t>
            </w:r>
          </w:p>
        </w:tc>
      </w:tr>
      <w:tr w:rsidR="00057EBA" w14:paraId="33E82316" w14:textId="77777777" w:rsidTr="00BC06C6"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CF7B51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BAB5EE" w14:textId="03586454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Lipschitz condition, Picard’s theorem (existence and uniqueness theorem).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E24DB1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CB5E29" w14:textId="77777777" w:rsidR="00057EBA" w:rsidRPr="00B42219" w:rsidRDefault="00057E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  <w:tr w:rsidR="00057EBA" w14:paraId="289FAE1B" w14:textId="77777777" w:rsidTr="00BC06C6">
        <w:tc>
          <w:tcPr>
            <w:tcW w:w="7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72B7C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9C0FC2" w14:textId="09FA0D2D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Linear dependence and Wronskian, Linear ODE with constant coefficients of second and higher order,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156BE8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5</w:t>
            </w:r>
          </w:p>
        </w:tc>
        <w:tc>
          <w:tcPr>
            <w:tcW w:w="30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D9625F" w14:textId="14FC6F79" w:rsidR="00057EBA" w:rsidRPr="00B42219" w:rsidRDefault="004652D5" w:rsidP="00BC06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  <w:r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This unit will help students to </w:t>
            </w:r>
            <w:r w:rsidR="00BC06C6"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>learn about the concept of higher order differential equations with various methods to find their solutions</w:t>
            </w:r>
            <w:r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. </w:t>
            </w:r>
          </w:p>
        </w:tc>
      </w:tr>
      <w:tr w:rsidR="00057EBA" w14:paraId="79E47921" w14:textId="77777777" w:rsidTr="00BC06C6"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E70240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4E0CD2" w14:textId="20EC98D7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Cauchy-Euler equations, Method of undetermined coefficients, Method of variation of parameters, System of linear differential equations with constant coefficients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4E9747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0E411A" w14:textId="77777777" w:rsidR="00057EBA" w:rsidRPr="00B42219" w:rsidRDefault="00057EBA">
            <w:pPr>
              <w:shd w:val="clear" w:color="auto" w:fill="FFFFFF"/>
              <w:spacing w:before="280"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  <w:tr w:rsidR="00057EBA" w14:paraId="113FEFC6" w14:textId="77777777" w:rsidTr="00BC06C6">
        <w:tc>
          <w:tcPr>
            <w:tcW w:w="7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07DC67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5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9F272C" w14:textId="1A385B3F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Linear and non-linear partial differential equations of first order, Lagrange’s equations, </w:t>
            </w:r>
            <w:proofErr w:type="spellStart"/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>Charpit’s</w:t>
            </w:r>
            <w:proofErr w:type="spellEnd"/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method,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AE8EF7" w14:textId="77777777" w:rsidR="00057EBA" w:rsidRDefault="00465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0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AF543F" w14:textId="1F452FA9" w:rsidR="00057EBA" w:rsidRPr="00B42219" w:rsidRDefault="004652D5" w:rsidP="00BC06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  <w:r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Students will be able to understand the </w:t>
            </w:r>
            <w:r w:rsidR="00BC06C6"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linear and nonlinear partial differential equations with methods to find their solutions. </w:t>
            </w:r>
            <w:r w:rsidRPr="00B42219"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  <w:t xml:space="preserve"> </w:t>
            </w:r>
          </w:p>
        </w:tc>
      </w:tr>
      <w:tr w:rsidR="00057EBA" w14:paraId="25D430F1" w14:textId="77777777" w:rsidTr="00BC06C6">
        <w:trPr>
          <w:trHeight w:val="307"/>
        </w:trPr>
        <w:tc>
          <w:tcPr>
            <w:tcW w:w="7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E2E35" w14:textId="77777777" w:rsidR="00057EBA" w:rsidRDefault="0005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4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9F98B2" w14:textId="7C646473" w:rsidR="00057EBA" w:rsidRPr="004652D5" w:rsidRDefault="00465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4652D5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Linear partial differential equations of second order and their classification, Methods for finding C.F. and P.I. of equations with constant coefficients, Method of separation of variables.         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B1BEA7" w14:textId="778FD71E" w:rsidR="00057EBA" w:rsidRDefault="003F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30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EBEC46" w14:textId="77777777" w:rsidR="00057EBA" w:rsidRDefault="00057E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18"/>
              </w:rPr>
            </w:pPr>
          </w:p>
        </w:tc>
      </w:tr>
    </w:tbl>
    <w:p w14:paraId="2D1C4AC5" w14:textId="77777777" w:rsidR="00057EBA" w:rsidRDefault="004652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</w:rPr>
        <w:t>Text Books:</w:t>
      </w:r>
    </w:p>
    <w:p w14:paraId="4730E76D" w14:textId="5D467A37" w:rsidR="00057EBA" w:rsidRPr="00BC06C6" w:rsidRDefault="00BC06C6" w:rsidP="004C69E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</w:rPr>
      </w:pPr>
      <w:r w:rsidRPr="00BC06C6">
        <w:rPr>
          <w:rFonts w:ascii="Times New Roman" w:eastAsia="Times New Roman" w:hAnsi="Times New Roman" w:cs="Times New Roman"/>
          <w:color w:val="222222"/>
          <w:sz w:val="20"/>
        </w:rPr>
        <w:t xml:space="preserve">E. </w:t>
      </w:r>
      <w:proofErr w:type="spellStart"/>
      <w:r w:rsidRPr="00BC06C6">
        <w:rPr>
          <w:rFonts w:ascii="Times New Roman" w:eastAsia="Times New Roman" w:hAnsi="Times New Roman" w:cs="Times New Roman"/>
          <w:color w:val="222222"/>
          <w:sz w:val="20"/>
        </w:rPr>
        <w:t>Kreyszig</w:t>
      </w:r>
      <w:proofErr w:type="spellEnd"/>
      <w:r w:rsidRPr="00BC06C6">
        <w:rPr>
          <w:rFonts w:ascii="Times New Roman" w:eastAsia="Times New Roman" w:hAnsi="Times New Roman" w:cs="Times New Roman"/>
          <w:color w:val="222222"/>
          <w:sz w:val="20"/>
        </w:rPr>
        <w:t>, Advanced Engineering Mathematics (8th Edition), John Wiley (1999).</w:t>
      </w:r>
    </w:p>
    <w:p w14:paraId="3A2B2C0C" w14:textId="77777777" w:rsidR="00057EBA" w:rsidRDefault="004652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</w:rPr>
        <w:t>Reference Books:</w:t>
      </w:r>
    </w:p>
    <w:p w14:paraId="2F5242B9" w14:textId="1C9AD1CE" w:rsidR="00BC06C6" w:rsidRDefault="00BC06C6" w:rsidP="00BC06C6">
      <w:pPr>
        <w:numPr>
          <w:ilvl w:val="0"/>
          <w:numId w:val="8"/>
        </w:numPr>
        <w:spacing w:after="0" w:line="240" w:lineRule="auto"/>
        <w:jc w:val="both"/>
      </w:pPr>
      <w:r w:rsidRPr="00BC06C6">
        <w:rPr>
          <w:rFonts w:ascii="Times New Roman" w:eastAsia="Times New Roman" w:hAnsi="Times New Roman" w:cs="Times New Roman"/>
          <w:color w:val="222222"/>
          <w:sz w:val="20"/>
        </w:rPr>
        <w:t>G. Strang, Linear Algebra and its Applications (4th Edition), Thomson (2006).</w:t>
      </w:r>
    </w:p>
    <w:p w14:paraId="23BE99DE" w14:textId="77777777" w:rsidR="00BC06C6" w:rsidRDefault="00BC06C6" w:rsidP="00BC06C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</w:rPr>
      </w:pPr>
      <w:r w:rsidRPr="00BC06C6">
        <w:rPr>
          <w:rFonts w:ascii="Times New Roman" w:eastAsia="Times New Roman" w:hAnsi="Times New Roman" w:cs="Times New Roman"/>
          <w:color w:val="222222"/>
          <w:sz w:val="20"/>
        </w:rPr>
        <w:t>W. E. Boyce and R. C. Di Prima, Elementary Differential Equations (8th Edition), John Wiley (2005).</w:t>
      </w:r>
    </w:p>
    <w:p w14:paraId="10CDA7ED" w14:textId="1E5A06B4" w:rsidR="00057EBA" w:rsidRPr="00616E7E" w:rsidRDefault="00BC06C6" w:rsidP="00616E7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</w:rPr>
      </w:pPr>
      <w:r w:rsidRPr="00BC06C6">
        <w:rPr>
          <w:rFonts w:ascii="Times New Roman" w:eastAsia="Times New Roman" w:hAnsi="Times New Roman" w:cs="Times New Roman"/>
          <w:color w:val="222222"/>
          <w:sz w:val="20"/>
        </w:rPr>
        <w:t xml:space="preserve">R. K. Jain and S. R. K. Iyengar, Advanced Engineering Mathematics (4th Edition), </w:t>
      </w:r>
      <w:proofErr w:type="spellStart"/>
      <w:r w:rsidRPr="00BC06C6">
        <w:rPr>
          <w:rFonts w:ascii="Times New Roman" w:eastAsia="Times New Roman" w:hAnsi="Times New Roman" w:cs="Times New Roman"/>
          <w:color w:val="222222"/>
          <w:sz w:val="20"/>
        </w:rPr>
        <w:t>Narosa</w:t>
      </w:r>
      <w:proofErr w:type="spellEnd"/>
      <w:r w:rsidRPr="00BC06C6">
        <w:rPr>
          <w:rFonts w:ascii="Times New Roman" w:eastAsia="Times New Roman" w:hAnsi="Times New Roman" w:cs="Times New Roman"/>
          <w:color w:val="222222"/>
          <w:sz w:val="20"/>
        </w:rPr>
        <w:t xml:space="preserve"> (2014).</w:t>
      </w:r>
      <w:bookmarkStart w:id="0" w:name="_GoBack"/>
      <w:bookmarkEnd w:id="0"/>
    </w:p>
    <w:p w14:paraId="5C23C73E" w14:textId="6CA5525A" w:rsidR="00057EBA" w:rsidRPr="00616E7E" w:rsidRDefault="00057EBA" w:rsidP="00616E7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</w:rPr>
      </w:pPr>
    </w:p>
    <w:sectPr w:rsidR="00057EBA" w:rsidRPr="00616E7E">
      <w:pgSz w:w="12240" w:h="15840"/>
      <w:pgMar w:top="1020" w:right="1440" w:bottom="81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A27"/>
    <w:multiLevelType w:val="multilevel"/>
    <w:tmpl w:val="BE64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F459AB"/>
    <w:multiLevelType w:val="multilevel"/>
    <w:tmpl w:val="87BA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D51BA"/>
    <w:multiLevelType w:val="multilevel"/>
    <w:tmpl w:val="45AADC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45410C"/>
    <w:multiLevelType w:val="multilevel"/>
    <w:tmpl w:val="47D4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1CE37C1"/>
    <w:multiLevelType w:val="multilevel"/>
    <w:tmpl w:val="2F8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30E3A1E"/>
    <w:multiLevelType w:val="multilevel"/>
    <w:tmpl w:val="B4BC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DA665A"/>
    <w:multiLevelType w:val="multilevel"/>
    <w:tmpl w:val="C51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21970"/>
    <w:multiLevelType w:val="multilevel"/>
    <w:tmpl w:val="323CB1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Arial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2DB3"/>
    <w:multiLevelType w:val="hybridMultilevel"/>
    <w:tmpl w:val="BD48E696"/>
    <w:lvl w:ilvl="0" w:tplc="D0D89488">
      <w:start w:val="1"/>
      <w:numFmt w:val="upperLetter"/>
      <w:lvlText w:val="(%1."/>
      <w:lvlJc w:val="left"/>
      <w:pPr>
        <w:ind w:left="7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80" w:hanging="360"/>
      </w:pPr>
    </w:lvl>
    <w:lvl w:ilvl="2" w:tplc="0409001B" w:tentative="1">
      <w:start w:val="1"/>
      <w:numFmt w:val="lowerRoman"/>
      <w:lvlText w:val="%3."/>
      <w:lvlJc w:val="right"/>
      <w:pPr>
        <w:ind w:left="9300" w:hanging="180"/>
      </w:pPr>
    </w:lvl>
    <w:lvl w:ilvl="3" w:tplc="0409000F" w:tentative="1">
      <w:start w:val="1"/>
      <w:numFmt w:val="decimal"/>
      <w:lvlText w:val="%4."/>
      <w:lvlJc w:val="left"/>
      <w:pPr>
        <w:ind w:left="10020" w:hanging="360"/>
      </w:pPr>
    </w:lvl>
    <w:lvl w:ilvl="4" w:tplc="04090019" w:tentative="1">
      <w:start w:val="1"/>
      <w:numFmt w:val="lowerLetter"/>
      <w:lvlText w:val="%5."/>
      <w:lvlJc w:val="left"/>
      <w:pPr>
        <w:ind w:left="10740" w:hanging="360"/>
      </w:pPr>
    </w:lvl>
    <w:lvl w:ilvl="5" w:tplc="0409001B" w:tentative="1">
      <w:start w:val="1"/>
      <w:numFmt w:val="lowerRoman"/>
      <w:lvlText w:val="%6."/>
      <w:lvlJc w:val="right"/>
      <w:pPr>
        <w:ind w:left="11460" w:hanging="180"/>
      </w:pPr>
    </w:lvl>
    <w:lvl w:ilvl="6" w:tplc="0409000F" w:tentative="1">
      <w:start w:val="1"/>
      <w:numFmt w:val="decimal"/>
      <w:lvlText w:val="%7."/>
      <w:lvlJc w:val="left"/>
      <w:pPr>
        <w:ind w:left="12180" w:hanging="360"/>
      </w:pPr>
    </w:lvl>
    <w:lvl w:ilvl="7" w:tplc="04090019" w:tentative="1">
      <w:start w:val="1"/>
      <w:numFmt w:val="lowerLetter"/>
      <w:lvlText w:val="%8."/>
      <w:lvlJc w:val="left"/>
      <w:pPr>
        <w:ind w:left="12900" w:hanging="360"/>
      </w:pPr>
    </w:lvl>
    <w:lvl w:ilvl="8" w:tplc="0409001B" w:tentative="1">
      <w:start w:val="1"/>
      <w:numFmt w:val="lowerRoman"/>
      <w:lvlText w:val="%9."/>
      <w:lvlJc w:val="right"/>
      <w:pPr>
        <w:ind w:left="136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7EBA"/>
    <w:rsid w:val="000146DC"/>
    <w:rsid w:val="00057EBA"/>
    <w:rsid w:val="003F25D8"/>
    <w:rsid w:val="004652D5"/>
    <w:rsid w:val="00616E7E"/>
    <w:rsid w:val="007E1743"/>
    <w:rsid w:val="00974C0B"/>
    <w:rsid w:val="00A46CFD"/>
    <w:rsid w:val="00B42219"/>
    <w:rsid w:val="00B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D00F"/>
  <w15:docId w15:val="{015E36DC-3610-44A5-8ADF-72A09848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0A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/>
      <w:color w:val="00000A"/>
      <w:sz w:val="20"/>
      <w:szCs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hAnsi="Times New Roman" w:cs="Arial"/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</w:style>
  <w:style w:type="character" w:styleId="PlaceholderText">
    <w:name w:val="Placeholder Text"/>
    <w:basedOn w:val="DefaultParagraphFont"/>
    <w:uiPriority w:val="99"/>
    <w:semiHidden/>
    <w:rsid w:val="00014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</dc:creator>
  <dc:description/>
  <cp:lastModifiedBy>acer</cp:lastModifiedBy>
  <cp:revision>19</cp:revision>
  <cp:lastPrinted>2021-05-22T10:35:00Z</cp:lastPrinted>
  <dcterms:created xsi:type="dcterms:W3CDTF">2019-07-24T15:26:00Z</dcterms:created>
  <dcterms:modified xsi:type="dcterms:W3CDTF">2022-03-28T05:52:00Z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