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6"/>
        </w:rPr>
        <w:t>Machine Learning-Based Detection of Phishing Web Pages Using URL Features</w:t>
      </w:r>
    </w:p>
    <w:p>
      <w:pPr>
        <w:spacing w:before="0" w:after="40"/>
        <w:jc w:val="center"/>
      </w:pPr>
      <w:r>
        <w:rPr>
          <w:rFonts w:ascii="Times New Roman" w:hAnsi="Times New Roman"/>
          <w:b/>
          <w:i w:val="0"/>
          <w:sz w:val="22"/>
        </w:rPr>
        <w:t>Saleh Alsaheb,  Ismael Alhindi</w:t>
      </w:r>
    </w:p>
    <w:p>
      <w:pPr>
        <w:spacing w:before="0" w:after="40"/>
        <w:jc w:val="center"/>
      </w:pPr>
      <w:r>
        <w:rPr>
          <w:rFonts w:ascii="Times New Roman" w:hAnsi="Times New Roman"/>
          <w:b w:val="0"/>
          <w:i/>
          <w:sz w:val="20"/>
        </w:rPr>
        <w:t>Princess Sumaya University for Technology (PSUT),  Amman, Jordan</w:t>
      </w:r>
    </w:p>
    <w:p>
      <w:pPr>
        <w:spacing w:before="0" w:after="160"/>
        <w:jc w:val="center"/>
      </w:pPr>
      <w:r>
        <w:rPr>
          <w:rFonts w:ascii="Times New Roman" w:hAnsi="Times New Roman"/>
          <w:b w:val="0"/>
          <w:i w:val="0"/>
          <w:sz w:val="18"/>
        </w:rPr>
        <w:t>Student IDs: 20220045, 20220379</w:t>
      </w:r>
    </w:p>
    <w:p>
      <w:pPr>
        <w:spacing w:after="80"/>
        <w:ind w:left="720" w:right="720"/>
      </w:pPr>
      <w:r>
        <w:rPr>
          <w:rFonts w:ascii="Times New Roman" w:hAnsi="Times New Roman"/>
          <w:b/>
          <w:i w:val="0"/>
          <w:sz w:val="18"/>
        </w:rPr>
        <w:t>Abstract—</w:t>
      </w:r>
      <w:r>
        <w:rPr>
          <w:rFonts w:ascii="Times New Roman" w:hAnsi="Times New Roman"/>
          <w:b w:val="0"/>
          <w:i/>
          <w:sz w:val="18"/>
        </w:rPr>
        <w:t>Phishing web pages remain a practical threat because they imitate legitimate sites and attempt to steal credentials, financial information, or other sensitive data. This project evaluates whether lightweight URL-based lexical features, augmented with six engineered ratio and binary indicators, can support reliable phishing detection with classical supervised machine learning methods. The experiments use the Kaggle Web Page Phishing Dataset, which contains 100,077 rows, 19 URL-derived numerical features, and one binary target label. After removing 78,186 duplicate rows, the modeling workflow is run on 21,891 unique records. Six additional features are derived from the original columns to capture symbol density, redirection presence, and URL depth. The pipeline includes dataset inspection, duplicate handling, feature engineering, stratified train/test splitting, feature scaling where required, five-fold cross-validation, hyperparameter tuning via GridSearchCV for all four models, and held-out test evaluation. The four evaluated models are Logistic Regression, Decision Tree, Random Forest, and Gradient Boosting. Gradient Boosting achieved the strongest held-out test performance with 0.8198 accuracy, 0.8505 precision, 0.9118 recall, 0.8801 F1-score, and 0.8873 ROC-AUC. All four models achieved F1-scores between 0.853 and 0.880, demonstrating that the combination of feature engineering and thorough hyperparameter tuning produces consistent and competitive results across the full model family.</w:t>
      </w:r>
    </w:p>
    <w:p>
      <w:pPr>
        <w:spacing w:after="160"/>
        <w:ind w:left="720" w:right="720"/>
      </w:pPr>
      <w:r>
        <w:rPr>
          <w:rFonts w:ascii="Times New Roman" w:hAnsi="Times New Roman"/>
          <w:b/>
          <w:i w:val="0"/>
          <w:sz w:val="18"/>
        </w:rPr>
        <w:t>Index Terms—</w:t>
      </w:r>
      <w:r>
        <w:rPr>
          <w:rFonts w:ascii="Times New Roman" w:hAnsi="Times New Roman"/>
          <w:b w:val="0"/>
          <w:i w:val="0"/>
          <w:sz w:val="18"/>
        </w:rPr>
        <w:t>Machine learning, phishing detection, URL features, feature engineering, binary classification, Random Forest, Gradient Boosting, cybersecurity</w:t>
      </w:r>
    </w:p>
    <w:p>
      <w:pPr>
        <w:spacing w:before="80" w:after="80"/>
        <w:pBdr>
          <w:bottom w:val="single" w:sz="4" w:space="1" w:color="000000"/>
        </w:pBdr>
      </w:pPr>
    </w:p>
    <w:p>
      <w:pPr>
        <w:spacing w:before="0" w:after="0"/>
        <w:sectPr>
          <w:type w:val="continuous"/>
          <w:cols w:num="1" w:space="360"/>
          <w:pgSz w:w="12240" w:h="15840"/>
          <w:pgMar w:top="1080" w:right="900" w:bottom="1440" w:left="900"/>
        </w:sectPr>
      </w:pPr>
    </w:p>
    <w:p>
      <w:pPr>
        <w:spacing w:before="200" w:after="80"/>
        <w:jc w:val="center"/>
      </w:pPr>
      <w:r>
        <w:rPr>
          <w:rFonts w:ascii="Times New Roman" w:hAnsi="Times New Roman"/>
          <w:b/>
          <w:i w:val="0"/>
          <w:sz w:val="20"/>
        </w:rPr>
        <w:t>I. INTRODUCTION</w:t>
      </w:r>
    </w:p>
    <w:p>
      <w:pPr>
        <w:spacing w:before="0" w:after="100"/>
        <w:jc w:val="left"/>
      </w:pPr>
      <w:r>
        <w:rPr>
          <w:rFonts w:ascii="Times New Roman" w:hAnsi="Times New Roman"/>
          <w:b w:val="0"/>
          <w:i w:val="0"/>
          <w:sz w:val="20"/>
        </w:rPr>
        <w:t>Phishing attacks are a common cybersecurity problem because they trick users into interacting with fraudulent pages that appear trustworthy. Attackers often rely on deceptive URLs, domain patterns, and redirection behavior to mislead victims. Because phishing campaigns can change quickly and operate at scale, automated detection is an important defensive layer.</w:t>
      </w:r>
    </w:p>
    <w:p>
      <w:pPr>
        <w:spacing w:before="0" w:after="100"/>
        <w:jc w:val="left"/>
      </w:pPr>
      <w:r>
        <w:rPr>
          <w:rFonts w:ascii="Times New Roman" w:hAnsi="Times New Roman"/>
          <w:b w:val="0"/>
          <w:i w:val="0"/>
          <w:sz w:val="20"/>
        </w:rPr>
        <w:t>URL-based detection is attractive because it is lightweight and does not require downloading webpage content, executing scripts, or querying richer external sources such as WHOIS or DNS. Lexical properties such as URL length, the number of dots, the number of hyphens, and the presence of special characters can provide useful signals about suspicious behavior. These properties are also straightforward to extract and evaluate in a batch machine learning workflow.</w:t>
      </w:r>
    </w:p>
    <w:p>
      <w:pPr>
        <w:spacing w:before="0" w:after="100"/>
        <w:jc w:val="left"/>
      </w:pPr>
      <w:r>
        <w:rPr>
          <w:rFonts w:ascii="Times New Roman" w:hAnsi="Times New Roman"/>
          <w:b w:val="0"/>
          <w:i w:val="0"/>
          <w:sz w:val="20"/>
        </w:rPr>
        <w:t>This project frames phishing detection as a supervised binary classification problem. The task is to classify a URL as legitimate or phishing, the experience comes from a labeled public dataset, and the performance is measured using accuracy, precision, recall, F1-score, ROC-AUC, and confusion matrix analysis. Because a missed phishing page is more dangerous than a false alarm, recall is especially important.</w:t>
      </w:r>
    </w:p>
    <w:p>
      <w:pPr>
        <w:spacing w:before="0" w:after="100"/>
        <w:jc w:val="left"/>
      </w:pPr>
      <w:r>
        <w:rPr>
          <w:rFonts w:ascii="Times New Roman" w:hAnsi="Times New Roman"/>
          <w:b w:val="0"/>
          <w:i w:val="0"/>
          <w:sz w:val="20"/>
        </w:rPr>
        <w:t>The main contributions of this project are:</w:t>
      </w:r>
    </w:p>
    <w:p>
      <w:pPr>
        <w:pStyle w:val="ListNumber"/>
        <w:spacing w:after="60"/>
      </w:pPr>
      <w:r>
        <w:rPr>
          <w:rFonts w:ascii="Times New Roman" w:hAnsi="Times New Roman"/>
          <w:b w:val="0"/>
          <w:i w:val="0"/>
          <w:sz w:val="20"/>
        </w:rPr>
        <w:t>A reproducible Python implementation for phishing URL detection using lexical URL features.</w:t>
      </w:r>
    </w:p>
    <w:p>
      <w:pPr>
        <w:pStyle w:val="ListNumber"/>
        <w:spacing w:after="60"/>
      </w:pPr>
      <w:r>
        <w:rPr>
          <w:rFonts w:ascii="Times New Roman" w:hAnsi="Times New Roman"/>
          <w:b w:val="0"/>
          <w:i w:val="0"/>
          <w:sz w:val="20"/>
        </w:rPr>
        <w:t>A comparison of four classical and ensemble machine learning models under a shared evaluation workflow.</w:t>
      </w:r>
    </w:p>
    <w:p>
      <w:pPr>
        <w:pStyle w:val="ListNumber"/>
        <w:spacing w:after="60"/>
      </w:pPr>
      <w:r>
        <w:rPr>
          <w:rFonts w:ascii="Times New Roman" w:hAnsi="Times New Roman"/>
          <w:b w:val="0"/>
          <w:i w:val="0"/>
          <w:sz w:val="20"/>
        </w:rPr>
        <w:t>A structured analysis of class balance, feature relationships, confusion matrix behavior, and recall/F1 trade-offs.</w:t>
      </w:r>
    </w:p>
    <w:p>
      <w:pPr>
        <w:pStyle w:val="ListNumber"/>
        <w:spacing w:after="60"/>
      </w:pPr>
      <w:r>
        <w:rPr>
          <w:rFonts w:ascii="Times New Roman" w:hAnsi="Times New Roman"/>
          <w:b w:val="0"/>
          <w:i w:val="0"/>
          <w:sz w:val="20"/>
        </w:rPr>
        <w:t>A literature-based comparison with related phishing URL detection studies that use similar lexical features.</w:t>
      </w:r>
    </w:p>
    <w:p>
      <w:pPr>
        <w:spacing w:before="200" w:after="80"/>
        <w:jc w:val="center"/>
      </w:pPr>
      <w:r>
        <w:rPr>
          <w:rFonts w:ascii="Times New Roman" w:hAnsi="Times New Roman"/>
          <w:b/>
          <w:i w:val="0"/>
          <w:sz w:val="20"/>
        </w:rPr>
        <w:t>II. RELATED WORK</w:t>
      </w:r>
    </w:p>
    <w:p>
      <w:pPr>
        <w:spacing w:before="0" w:after="100"/>
        <w:jc w:val="left"/>
      </w:pPr>
      <w:r>
        <w:rPr>
          <w:rFonts w:ascii="Times New Roman" w:hAnsi="Times New Roman"/>
          <w:b w:val="0"/>
          <w:i w:val="0"/>
          <w:sz w:val="20"/>
        </w:rPr>
        <w:t>Blum et al. (2010) studied phishing URL detection using lexical features and online learning methods. Their work demonstrated that useful phishing signals can be extracted directly from URL text without relying on full webpage content. The present project is related in its emphasis on lexical features, but differs in dataset choice and in the broader comparison of batch classifiers.</w:t>
      </w:r>
    </w:p>
    <w:p>
      <w:pPr>
        <w:spacing w:before="0" w:after="100"/>
        <w:jc w:val="left"/>
      </w:pPr>
      <w:r>
        <w:rPr>
          <w:rFonts w:ascii="Times New Roman" w:hAnsi="Times New Roman"/>
          <w:b w:val="0"/>
          <w:i w:val="0"/>
          <w:sz w:val="20"/>
        </w:rPr>
        <w:t>Sahingoz et al. (2019) examined machine learning based phishing detection from URLs using lexical and host-based signals. In their reported experiments, Random Forest with NLP-based features achieved 97.98% accuracy on a large URL dataset containing 36,400 legitimate and 37,175 phishing URLs. The present project is narrower because it focuses on the Kaggle Web Page Phishing Dataset and a simple reproducible pipeline centered on URL lexical features.</w:t>
      </w:r>
    </w:p>
    <w:p>
      <w:pPr>
        <w:spacing w:before="0" w:after="100"/>
        <w:jc w:val="left"/>
      </w:pPr>
      <w:r>
        <w:rPr>
          <w:rFonts w:ascii="Times New Roman" w:hAnsi="Times New Roman"/>
          <w:b w:val="0"/>
          <w:i w:val="0"/>
          <w:sz w:val="20"/>
        </w:rPr>
        <w:t>Awasthi and Goel (2022) evaluated both base and ensemble classifiers on two URL-feature phishing datasets using 30 structural URL features and 10-fold cross-validation. Their base classifiers, including Logistic Regression, Decision Tree, and SVM, achieved accuracy in the range of 93 to 96 percent, which is directly comparable to the model families and performance range targeted by the current project.</w:t>
      </w:r>
    </w:p>
    <w:p>
      <w:pPr>
        <w:spacing w:before="0" w:after="100"/>
        <w:jc w:val="left"/>
      </w:pPr>
      <w:r>
        <w:rPr>
          <w:rFonts w:ascii="Times New Roman" w:hAnsi="Times New Roman"/>
          <w:b w:val="0"/>
          <w:i w:val="0"/>
          <w:sz w:val="20"/>
        </w:rPr>
        <w:t>Alnemari and Alshammari (2023) evaluated Random Forest, Decision Tree, SVM, and ANN on the UCI phishing website dataset of 11,055 instances described by 30 URL-structural features. Random Forest achieved the highest result at 97.3 percent accuracy, while SVM and Decision Tree fell in the 94 to 96 percent range. Their work is relevant because it uses the same classical model families as the current project on a comparable URL-feature set.</w:t>
      </w:r>
    </w:p>
    <w:p>
      <w:pPr>
        <w:spacing w:before="0" w:after="100"/>
        <w:jc w:val="left"/>
      </w:pPr>
      <w:r>
        <w:rPr>
          <w:rFonts w:ascii="Times New Roman" w:hAnsi="Times New Roman"/>
          <w:b w:val="0"/>
          <w:i w:val="0"/>
          <w:sz w:val="20"/>
        </w:rPr>
        <w:t>Although this work uses the Kaggle Web Page Phishing Dataset, the compared studies use different but related phishing URL datasets. The comparison therefore focuses on methodology, feature type, classifiers, and reported metric ranges rather than claiming a direct same-dataset benchmark.</w:t>
      </w:r>
    </w:p>
    <w:p>
      <w:pPr>
        <w:spacing w:before="200" w:after="80"/>
        <w:jc w:val="center"/>
      </w:pPr>
      <w:r>
        <w:rPr>
          <w:rFonts w:ascii="Times New Roman" w:hAnsi="Times New Roman"/>
          <w:b/>
          <w:i w:val="0"/>
          <w:sz w:val="20"/>
        </w:rPr>
        <w:t>III. EXPERIMENTAL SETUP</w:t>
      </w:r>
    </w:p>
    <w:p>
      <w:pPr>
        <w:spacing w:before="120" w:after="60"/>
        <w:jc w:val="left"/>
      </w:pPr>
      <w:r>
        <w:rPr>
          <w:rFonts w:ascii="Times New Roman" w:hAnsi="Times New Roman"/>
          <w:b/>
          <w:i/>
          <w:sz w:val="20"/>
        </w:rPr>
        <w:t>A. Dataset Description</w:t>
      </w:r>
    </w:p>
    <w:p>
      <w:pPr>
        <w:spacing w:before="0" w:after="100"/>
        <w:jc w:val="left"/>
      </w:pPr>
      <w:r>
        <w:rPr>
          <w:rFonts w:ascii="Times New Roman" w:hAnsi="Times New Roman"/>
          <w:b w:val="0"/>
          <w:i w:val="0"/>
          <w:sz w:val="20"/>
        </w:rPr>
        <w:t xml:space="preserve">The dataset used in this project is the Kaggle Web Page Phishing Dataset. In the local CSV used for implementation, the dataset contains 100,077 rows and 20 columns before cleaning. Nineteen columns are numerical URL-derived features, and the target column is </w:t>
      </w:r>
      <w:r>
        <w:rPr>
          <w:rFonts w:ascii="Courier New" w:hAnsi="Courier New"/>
          <w:sz w:val="18"/>
        </w:rPr>
        <w:t>phishing</w:t>
      </w:r>
      <w:r>
        <w:rPr>
          <w:rFonts w:ascii="Times New Roman" w:hAnsi="Times New Roman"/>
          <w:b w:val="0"/>
          <w:i w:val="0"/>
          <w:sz w:val="20"/>
        </w:rPr>
        <w:t>, where 1 denotes phishing and 0 denotes legitimate. After duplicate removal, 21,891 unique rows remain for modeling. Six additional features are then engineered from the original columns, producing 25 features in total.</w:t>
      </w:r>
    </w:p>
    <w:p>
      <w:pPr>
        <w:spacing w:before="0" w:after="100"/>
        <w:jc w:val="left"/>
      </w:pPr>
      <w:r>
        <w:rPr>
          <w:rFonts w:ascii="Times New Roman" w:hAnsi="Times New Roman"/>
          <w:b w:val="0"/>
          <w:i w:val="0"/>
          <w:sz w:val="20"/>
        </w:rPr>
        <w:t>Representative original and engineered attributes are listed in Table I.</w:t>
      </w:r>
    </w:p>
    <w:tbl>
      <w:tblPr>
        <w:tblStyle w:val="TableGrid"/>
        <w:tblW w:type="auto" w:w="0"/>
        <w:tblLook w:firstColumn="1" w:firstRow="1" w:lastColumn="0" w:lastRow="0" w:noHBand="0" w:noVBand="1" w:val="04A0"/>
      </w:tblPr>
      <w:tblGrid>
        <w:gridCol w:w="3480"/>
        <w:gridCol w:w="3480"/>
        <w:gridCol w:w="3480"/>
      </w:tblGrid>
      <w:tr>
        <w:tc>
          <w:tcPr>
            <w:tcW w:w="1562" w:type="dxa"/>
            <w:shd w:val="clear" w:color="auto" w:fill="CCCCCC"/>
          </w:tcPr>
          <w:p>
            <w:pPr>
              <w:spacing w:after="20"/>
            </w:pPr>
            <w:r/>
            <w:r>
              <w:rPr>
                <w:rFonts w:ascii="Times New Roman" w:hAnsi="Times New Roman"/>
                <w:b/>
                <w:i w:val="0"/>
                <w:sz w:val="16"/>
              </w:rPr>
              <w:t>Feature</w:t>
            </w:r>
          </w:p>
        </w:tc>
        <w:tc>
          <w:tcPr>
            <w:tcW w:w="756" w:type="dxa"/>
            <w:shd w:val="clear" w:color="auto" w:fill="CCCCCC"/>
          </w:tcPr>
          <w:p>
            <w:pPr>
              <w:spacing w:after="20"/>
            </w:pPr>
            <w:r/>
            <w:r>
              <w:rPr>
                <w:rFonts w:ascii="Times New Roman" w:hAnsi="Times New Roman"/>
                <w:b/>
                <w:i w:val="0"/>
                <w:sz w:val="16"/>
              </w:rPr>
              <w:t>Type</w:t>
            </w:r>
          </w:p>
        </w:tc>
        <w:tc>
          <w:tcPr>
            <w:tcW w:w="2721" w:type="dxa"/>
            <w:shd w:val="clear" w:color="auto" w:fill="CCCCCC"/>
          </w:tcPr>
          <w:p>
            <w:pPr>
              <w:spacing w:after="20"/>
            </w:pPr>
            <w:r/>
            <w:r>
              <w:rPr>
                <w:rFonts w:ascii="Times New Roman" w:hAnsi="Times New Roman"/>
                <w:b/>
                <w:i w:val="0"/>
                <w:sz w:val="16"/>
              </w:rPr>
              <w:t>Description</w:t>
            </w:r>
          </w:p>
        </w:tc>
      </w:tr>
      <w:tr>
        <w:tc>
          <w:tcPr>
            <w:tcW w:w="1562" w:type="dxa"/>
          </w:tcPr>
          <w:p>
            <w:pPr>
              <w:spacing w:after="20"/>
            </w:pPr>
            <w:r/>
            <w:r>
              <w:rPr>
                <w:rFonts w:ascii="Times New Roman" w:hAnsi="Times New Roman"/>
                <w:b w:val="0"/>
                <w:i w:val="0"/>
                <w:sz w:val="16"/>
              </w:rPr>
              <w:t>url_length</w:t>
            </w:r>
          </w:p>
        </w:tc>
        <w:tc>
          <w:tcPr>
            <w:tcW w:w="756" w:type="dxa"/>
          </w:tcPr>
          <w:p>
            <w:pPr>
              <w:spacing w:after="20"/>
            </w:pPr>
            <w:r/>
            <w:r>
              <w:rPr>
                <w:rFonts w:ascii="Times New Roman" w:hAnsi="Times New Roman"/>
                <w:b w:val="0"/>
                <w:i w:val="0"/>
                <w:sz w:val="16"/>
              </w:rPr>
              <w:t>Numerical</w:t>
            </w:r>
          </w:p>
        </w:tc>
        <w:tc>
          <w:tcPr>
            <w:tcW w:w="2721" w:type="dxa"/>
          </w:tcPr>
          <w:p>
            <w:pPr>
              <w:spacing w:after="20"/>
            </w:pPr>
            <w:r/>
            <w:r>
              <w:rPr>
                <w:rFonts w:ascii="Times New Roman" w:hAnsi="Times New Roman"/>
                <w:b w:val="0"/>
                <w:i w:val="0"/>
                <w:sz w:val="16"/>
              </w:rPr>
              <w:t>Total characters in the URL</w:t>
            </w:r>
          </w:p>
        </w:tc>
      </w:tr>
      <w:tr>
        <w:tc>
          <w:tcPr>
            <w:tcW w:w="1562" w:type="dxa"/>
          </w:tcPr>
          <w:p>
            <w:pPr>
              <w:spacing w:after="20"/>
            </w:pPr>
            <w:r/>
            <w:r>
              <w:rPr>
                <w:rFonts w:ascii="Times New Roman" w:hAnsi="Times New Roman"/>
                <w:b w:val="0"/>
                <w:i w:val="0"/>
                <w:sz w:val="16"/>
              </w:rPr>
              <w:t>n_dots</w:t>
            </w:r>
          </w:p>
        </w:tc>
        <w:tc>
          <w:tcPr>
            <w:tcW w:w="756" w:type="dxa"/>
          </w:tcPr>
          <w:p>
            <w:pPr>
              <w:spacing w:after="20"/>
            </w:pPr>
            <w:r/>
            <w:r>
              <w:rPr>
                <w:rFonts w:ascii="Times New Roman" w:hAnsi="Times New Roman"/>
                <w:b w:val="0"/>
                <w:i w:val="0"/>
                <w:sz w:val="16"/>
              </w:rPr>
              <w:t>Numerical</w:t>
            </w:r>
          </w:p>
        </w:tc>
        <w:tc>
          <w:tcPr>
            <w:tcW w:w="2721" w:type="dxa"/>
          </w:tcPr>
          <w:p>
            <w:pPr>
              <w:spacing w:after="20"/>
            </w:pPr>
            <w:r/>
            <w:r>
              <w:rPr>
                <w:rFonts w:ascii="Times New Roman" w:hAnsi="Times New Roman"/>
                <w:b w:val="0"/>
                <w:i w:val="0"/>
                <w:sz w:val="16"/>
              </w:rPr>
              <w:t>Count of . characters</w:t>
            </w:r>
          </w:p>
        </w:tc>
      </w:tr>
      <w:tr>
        <w:tc>
          <w:tcPr>
            <w:tcW w:w="1562" w:type="dxa"/>
          </w:tcPr>
          <w:p>
            <w:pPr>
              <w:spacing w:after="20"/>
            </w:pPr>
            <w:r/>
            <w:r>
              <w:rPr>
                <w:rFonts w:ascii="Times New Roman" w:hAnsi="Times New Roman"/>
                <w:b w:val="0"/>
                <w:i w:val="0"/>
                <w:sz w:val="16"/>
              </w:rPr>
              <w:t>n_hypens</w:t>
            </w:r>
          </w:p>
        </w:tc>
        <w:tc>
          <w:tcPr>
            <w:tcW w:w="756" w:type="dxa"/>
          </w:tcPr>
          <w:p>
            <w:pPr>
              <w:spacing w:after="20"/>
            </w:pPr>
            <w:r/>
            <w:r>
              <w:rPr>
                <w:rFonts w:ascii="Times New Roman" w:hAnsi="Times New Roman"/>
                <w:b w:val="0"/>
                <w:i w:val="0"/>
                <w:sz w:val="16"/>
              </w:rPr>
              <w:t>Numerical</w:t>
            </w:r>
          </w:p>
        </w:tc>
        <w:tc>
          <w:tcPr>
            <w:tcW w:w="2721" w:type="dxa"/>
          </w:tcPr>
          <w:p>
            <w:pPr>
              <w:spacing w:after="20"/>
            </w:pPr>
            <w:r/>
            <w:r>
              <w:rPr>
                <w:rFonts w:ascii="Times New Roman" w:hAnsi="Times New Roman"/>
                <w:b w:val="0"/>
                <w:i w:val="0"/>
                <w:sz w:val="16"/>
              </w:rPr>
              <w:t>Count of hyphen characters</w:t>
            </w:r>
          </w:p>
        </w:tc>
      </w:tr>
      <w:tr>
        <w:tc>
          <w:tcPr>
            <w:tcW w:w="1562" w:type="dxa"/>
          </w:tcPr>
          <w:p>
            <w:pPr>
              <w:spacing w:after="20"/>
            </w:pPr>
            <w:r/>
            <w:r>
              <w:rPr>
                <w:rFonts w:ascii="Times New Roman" w:hAnsi="Times New Roman"/>
                <w:b w:val="0"/>
                <w:i w:val="0"/>
                <w:sz w:val="16"/>
              </w:rPr>
              <w:t>n_slash</w:t>
            </w:r>
          </w:p>
        </w:tc>
        <w:tc>
          <w:tcPr>
            <w:tcW w:w="756" w:type="dxa"/>
          </w:tcPr>
          <w:p>
            <w:pPr>
              <w:spacing w:after="20"/>
            </w:pPr>
            <w:r/>
            <w:r>
              <w:rPr>
                <w:rFonts w:ascii="Times New Roman" w:hAnsi="Times New Roman"/>
                <w:b w:val="0"/>
                <w:i w:val="0"/>
                <w:sz w:val="16"/>
              </w:rPr>
              <w:t>Numerical</w:t>
            </w:r>
          </w:p>
        </w:tc>
        <w:tc>
          <w:tcPr>
            <w:tcW w:w="2721" w:type="dxa"/>
          </w:tcPr>
          <w:p>
            <w:pPr>
              <w:spacing w:after="20"/>
            </w:pPr>
            <w:r/>
            <w:r>
              <w:rPr>
                <w:rFonts w:ascii="Times New Roman" w:hAnsi="Times New Roman"/>
                <w:b w:val="0"/>
                <w:i w:val="0"/>
                <w:sz w:val="16"/>
              </w:rPr>
              <w:t>Count of slash characters</w:t>
            </w:r>
          </w:p>
        </w:tc>
      </w:tr>
      <w:tr>
        <w:tc>
          <w:tcPr>
            <w:tcW w:w="1562" w:type="dxa"/>
          </w:tcPr>
          <w:p>
            <w:pPr>
              <w:spacing w:after="20"/>
            </w:pPr>
            <w:r/>
            <w:r>
              <w:rPr>
                <w:rFonts w:ascii="Times New Roman" w:hAnsi="Times New Roman"/>
                <w:b w:val="0"/>
                <w:i w:val="0"/>
                <w:sz w:val="16"/>
              </w:rPr>
              <w:t>n_redirection</w:t>
            </w:r>
          </w:p>
        </w:tc>
        <w:tc>
          <w:tcPr>
            <w:tcW w:w="756" w:type="dxa"/>
          </w:tcPr>
          <w:p>
            <w:pPr>
              <w:spacing w:after="20"/>
            </w:pPr>
            <w:r/>
            <w:r>
              <w:rPr>
                <w:rFonts w:ascii="Times New Roman" w:hAnsi="Times New Roman"/>
                <w:b w:val="0"/>
                <w:i w:val="0"/>
                <w:sz w:val="16"/>
              </w:rPr>
              <w:t>Numerical</w:t>
            </w:r>
          </w:p>
        </w:tc>
        <w:tc>
          <w:tcPr>
            <w:tcW w:w="2721" w:type="dxa"/>
          </w:tcPr>
          <w:p>
            <w:pPr>
              <w:spacing w:after="20"/>
            </w:pPr>
            <w:r/>
            <w:r>
              <w:rPr>
                <w:rFonts w:ascii="Times New Roman" w:hAnsi="Times New Roman"/>
                <w:b w:val="0"/>
                <w:i w:val="0"/>
                <w:sz w:val="16"/>
              </w:rPr>
              <w:t>Count of redirect-like markers</w:t>
            </w:r>
          </w:p>
        </w:tc>
      </w:tr>
      <w:tr>
        <w:tc>
          <w:tcPr>
            <w:tcW w:w="1562" w:type="dxa"/>
          </w:tcPr>
          <w:p>
            <w:pPr>
              <w:spacing w:after="20"/>
            </w:pPr>
            <w:r/>
            <w:r>
              <w:rPr>
                <w:rFonts w:ascii="Times New Roman" w:hAnsi="Times New Roman"/>
                <w:b w:val="0"/>
                <w:i w:val="0"/>
                <w:sz w:val="16"/>
              </w:rPr>
              <w:t>total_special_chars</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Sum of all special character counts</w:t>
            </w:r>
          </w:p>
        </w:tc>
      </w:tr>
      <w:tr>
        <w:tc>
          <w:tcPr>
            <w:tcW w:w="1562" w:type="dxa"/>
          </w:tcPr>
          <w:p>
            <w:pPr>
              <w:spacing w:after="20"/>
            </w:pPr>
            <w:r/>
            <w:r>
              <w:rPr>
                <w:rFonts w:ascii="Times New Roman" w:hAnsi="Times New Roman"/>
                <w:b w:val="0"/>
                <w:i w:val="0"/>
                <w:sz w:val="16"/>
              </w:rPr>
              <w:t>symbol_ratio</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total_special_chars / (url_length+1)</w:t>
            </w:r>
          </w:p>
        </w:tc>
      </w:tr>
      <w:tr>
        <w:tc>
          <w:tcPr>
            <w:tcW w:w="1562" w:type="dxa"/>
          </w:tcPr>
          <w:p>
            <w:pPr>
              <w:spacing w:after="20"/>
            </w:pPr>
            <w:r/>
            <w:r>
              <w:rPr>
                <w:rFonts w:ascii="Times New Roman" w:hAnsi="Times New Roman"/>
                <w:b w:val="0"/>
                <w:i w:val="0"/>
                <w:sz w:val="16"/>
              </w:rPr>
              <w:t>has_redirect</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Binary: 1 if n_redirection &gt; 0</w:t>
            </w:r>
          </w:p>
        </w:tc>
      </w:tr>
      <w:tr>
        <w:tc>
          <w:tcPr>
            <w:tcW w:w="1562" w:type="dxa"/>
          </w:tcPr>
          <w:p>
            <w:pPr>
              <w:spacing w:after="20"/>
            </w:pPr>
            <w:r/>
            <w:r>
              <w:rPr>
                <w:rFonts w:ascii="Times New Roman" w:hAnsi="Times New Roman"/>
                <w:b w:val="0"/>
                <w:i w:val="0"/>
                <w:sz w:val="16"/>
              </w:rPr>
              <w:t>has_at</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Binary: 1 if n_at &gt; 0</w:t>
            </w:r>
          </w:p>
        </w:tc>
      </w:tr>
      <w:tr>
        <w:tc>
          <w:tcPr>
            <w:tcW w:w="1562" w:type="dxa"/>
          </w:tcPr>
          <w:p>
            <w:pPr>
              <w:spacing w:after="20"/>
            </w:pPr>
            <w:r/>
            <w:r>
              <w:rPr>
                <w:rFonts w:ascii="Times New Roman" w:hAnsi="Times New Roman"/>
                <w:b w:val="0"/>
                <w:i w:val="0"/>
                <w:sz w:val="16"/>
              </w:rPr>
              <w:t>slash_dot_ratio</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n_slash / (n_dots+1)</w:t>
            </w:r>
          </w:p>
        </w:tc>
      </w:tr>
      <w:tr>
        <w:tc>
          <w:tcPr>
            <w:tcW w:w="1562" w:type="dxa"/>
          </w:tcPr>
          <w:p>
            <w:pPr>
              <w:spacing w:after="20"/>
            </w:pPr>
            <w:r/>
            <w:r>
              <w:rPr>
                <w:rFonts w:ascii="Times New Roman" w:hAnsi="Times New Roman"/>
                <w:b w:val="0"/>
                <w:i w:val="0"/>
                <w:sz w:val="16"/>
              </w:rPr>
              <w:t>url_length_log</w:t>
            </w:r>
          </w:p>
        </w:tc>
        <w:tc>
          <w:tcPr>
            <w:tcW w:w="756" w:type="dxa"/>
          </w:tcPr>
          <w:p>
            <w:pPr>
              <w:spacing w:after="20"/>
            </w:pPr>
            <w:r/>
            <w:r>
              <w:rPr>
                <w:rFonts w:ascii="Times New Roman" w:hAnsi="Times New Roman"/>
                <w:b w:val="0"/>
                <w:i w:val="0"/>
                <w:sz w:val="16"/>
              </w:rPr>
              <w:t>Engineered</w:t>
            </w:r>
          </w:p>
        </w:tc>
        <w:tc>
          <w:tcPr>
            <w:tcW w:w="2721" w:type="dxa"/>
          </w:tcPr>
          <w:p>
            <w:pPr>
              <w:spacing w:after="20"/>
            </w:pPr>
            <w:r/>
            <w:r>
              <w:rPr>
                <w:rFonts w:ascii="Times New Roman" w:hAnsi="Times New Roman"/>
                <w:b w:val="0"/>
                <w:i w:val="0"/>
                <w:sz w:val="16"/>
              </w:rPr>
              <w:t>log(url_length + 1)</w:t>
            </w:r>
          </w:p>
        </w:tc>
      </w:tr>
      <w:tr>
        <w:tc>
          <w:tcPr>
            <w:tcW w:w="1562" w:type="dxa"/>
          </w:tcPr>
          <w:p>
            <w:pPr>
              <w:spacing w:after="20"/>
            </w:pPr>
            <w:r/>
            <w:r>
              <w:rPr>
                <w:rFonts w:ascii="Times New Roman" w:hAnsi="Times New Roman"/>
                <w:b w:val="0"/>
                <w:i w:val="0"/>
                <w:sz w:val="16"/>
              </w:rPr>
              <w:t>phishing</w:t>
            </w:r>
          </w:p>
        </w:tc>
        <w:tc>
          <w:tcPr>
            <w:tcW w:w="756" w:type="dxa"/>
          </w:tcPr>
          <w:p>
            <w:pPr>
              <w:spacing w:after="20"/>
            </w:pPr>
            <w:r/>
            <w:r>
              <w:rPr>
                <w:rFonts w:ascii="Times New Roman" w:hAnsi="Times New Roman"/>
                <w:b w:val="0"/>
                <w:i w:val="0"/>
                <w:sz w:val="16"/>
              </w:rPr>
              <w:t>Binary</w:t>
            </w:r>
          </w:p>
        </w:tc>
        <w:tc>
          <w:tcPr>
            <w:tcW w:w="2721" w:type="dxa"/>
          </w:tcPr>
          <w:p>
            <w:pPr>
              <w:spacing w:after="20"/>
            </w:pPr>
            <w:r/>
            <w:r>
              <w:rPr>
                <w:rFonts w:ascii="Times New Roman" w:hAnsi="Times New Roman"/>
                <w:b w:val="0"/>
                <w:i w:val="0"/>
                <w:sz w:val="16"/>
              </w:rPr>
              <w:t>1 = phishing, 0 = legitimate (target)</w:t>
            </w:r>
          </w:p>
        </w:tc>
      </w:tr>
    </w:tbl>
    <w:p>
      <w:pPr>
        <w:spacing w:after="80"/>
      </w:pPr>
    </w:p>
    <w:p>
      <w:pPr>
        <w:spacing w:before="0" w:after="100"/>
        <w:jc w:val="left"/>
      </w:pPr>
      <w:r>
        <w:rPr>
          <w:rFonts w:ascii="Times New Roman" w:hAnsi="Times New Roman"/>
          <w:b w:val="0"/>
          <w:i w:val="0"/>
          <w:sz w:val="20"/>
        </w:rPr>
        <w:t>No missing values were observed in the cleaned dataset. After duplicate removal, the class distribution was 6,019 legitimate URLs and 15,872 phishing URLs, corresponding to roughly 27.5% legitimate and 72.5% phishing samples.</w:t>
      </w:r>
    </w:p>
    <w:p>
      <w:pPr>
        <w:spacing w:before="80" w:after="40"/>
        <w:jc w:val="center"/>
      </w:pPr>
      <w:r>
        <w:drawing>
          <wp:inline xmlns:a="http://schemas.openxmlformats.org/drawingml/2006/main" xmlns:pic="http://schemas.openxmlformats.org/drawingml/2006/picture">
            <wp:extent cx="2606040" cy="1708903"/>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2606040" cy="1708903"/>
                    </a:xfrm>
                    <a:prstGeom prst="rect"/>
                  </pic:spPr>
                </pic:pic>
              </a:graphicData>
            </a:graphic>
          </wp:inline>
        </w:drawing>
      </w:r>
    </w:p>
    <w:p>
      <w:pPr>
        <w:spacing w:after="160"/>
        <w:jc w:val="center"/>
      </w:pPr>
      <w:r>
        <w:rPr>
          <w:rFonts w:ascii="Times New Roman" w:hAnsi="Times New Roman"/>
          <w:b w:val="0"/>
          <w:i/>
          <w:sz w:val="16"/>
        </w:rPr>
        <w:t>Fig. 1. Class distribution after deduplication (6,019 legitimate vs 15,872 phishing).</w:t>
      </w:r>
    </w:p>
    <w:p>
      <w:pPr>
        <w:spacing w:before="120" w:after="60"/>
        <w:jc w:val="left"/>
      </w:pPr>
      <w:r>
        <w:rPr>
          <w:rFonts w:ascii="Times New Roman" w:hAnsi="Times New Roman"/>
          <w:b/>
          <w:i/>
          <w:sz w:val="20"/>
        </w:rPr>
        <w:t>B. Exploratory Data Analysis</w:t>
      </w:r>
    </w:p>
    <w:p>
      <w:pPr>
        <w:spacing w:before="0" w:after="100"/>
        <w:jc w:val="left"/>
      </w:pPr>
      <w:r>
        <w:rPr>
          <w:rFonts w:ascii="Times New Roman" w:hAnsi="Times New Roman"/>
          <w:b w:val="0"/>
          <w:i w:val="0"/>
          <w:sz w:val="20"/>
        </w:rPr>
        <w:t xml:space="preserve">The exploratory analysis focuses on class balance, feature distributions, and feature-target relationships. The correlation analysis shows that </w:t>
      </w:r>
      <w:r>
        <w:rPr>
          <w:rFonts w:ascii="Courier New" w:hAnsi="Courier New"/>
          <w:sz w:val="18"/>
        </w:rPr>
        <w:t>n_slash</w:t>
      </w:r>
      <w:r>
        <w:rPr>
          <w:rFonts w:ascii="Times New Roman" w:hAnsi="Times New Roman"/>
          <w:b w:val="0"/>
          <w:i w:val="0"/>
          <w:sz w:val="20"/>
        </w:rPr>
        <w:t xml:space="preserve">, </w:t>
      </w:r>
      <w:r>
        <w:rPr>
          <w:rFonts w:ascii="Courier New" w:hAnsi="Courier New"/>
          <w:sz w:val="18"/>
        </w:rPr>
        <w:t>url_length</w:t>
      </w:r>
      <w:r>
        <w:rPr>
          <w:rFonts w:ascii="Times New Roman" w:hAnsi="Times New Roman"/>
          <w:b w:val="0"/>
          <w:i w:val="0"/>
          <w:sz w:val="20"/>
        </w:rPr>
        <w:t xml:space="preserve">, </w:t>
      </w:r>
      <w:r>
        <w:rPr>
          <w:rFonts w:ascii="Courier New" w:hAnsi="Courier New"/>
          <w:sz w:val="18"/>
        </w:rPr>
        <w:t>n_equal</w:t>
      </w:r>
      <w:r>
        <w:rPr>
          <w:rFonts w:ascii="Times New Roman" w:hAnsi="Times New Roman"/>
          <w:b w:val="0"/>
          <w:i w:val="0"/>
          <w:sz w:val="20"/>
        </w:rPr>
        <w:t xml:space="preserve">, </w:t>
      </w:r>
      <w:r>
        <w:rPr>
          <w:rFonts w:ascii="Courier New" w:hAnsi="Courier New"/>
          <w:sz w:val="18"/>
        </w:rPr>
        <w:t>n_redirection</w:t>
      </w:r>
      <w:r>
        <w:rPr>
          <w:rFonts w:ascii="Times New Roman" w:hAnsi="Times New Roman"/>
          <w:b w:val="0"/>
          <w:i w:val="0"/>
          <w:sz w:val="20"/>
        </w:rPr>
        <w:t xml:space="preserve">, and </w:t>
      </w:r>
      <w:r>
        <w:rPr>
          <w:rFonts w:ascii="Courier New" w:hAnsi="Courier New"/>
          <w:sz w:val="18"/>
        </w:rPr>
        <w:t>n_dots</w:t>
      </w:r>
      <w:r>
        <w:rPr>
          <w:rFonts w:ascii="Times New Roman" w:hAnsi="Times New Roman"/>
          <w:b w:val="0"/>
          <w:i w:val="0"/>
          <w:sz w:val="20"/>
        </w:rPr>
        <w:t xml:space="preserve"> have the strongest absolute linear relationships with the phishing label in this dataset. Several count-based features exhibit noticeable skew and long tails, especially </w:t>
      </w:r>
      <w:r>
        <w:rPr>
          <w:rFonts w:ascii="Courier New" w:hAnsi="Courier New"/>
          <w:sz w:val="18"/>
        </w:rPr>
        <w:t>url_length</w:t>
      </w:r>
      <w:r>
        <w:rPr>
          <w:rFonts w:ascii="Times New Roman" w:hAnsi="Times New Roman"/>
          <w:b w:val="0"/>
          <w:i w:val="0"/>
          <w:sz w:val="20"/>
        </w:rPr>
        <w:t xml:space="preserve">, </w:t>
      </w:r>
      <w:r>
        <w:rPr>
          <w:rFonts w:ascii="Courier New" w:hAnsi="Courier New"/>
          <w:sz w:val="18"/>
        </w:rPr>
        <w:t>n_hypens</w:t>
      </w:r>
      <w:r>
        <w:rPr>
          <w:rFonts w:ascii="Times New Roman" w:hAnsi="Times New Roman"/>
          <w:b w:val="0"/>
          <w:i w:val="0"/>
          <w:sz w:val="20"/>
        </w:rPr>
        <w:t xml:space="preserve">, and </w:t>
      </w:r>
      <w:r>
        <w:rPr>
          <w:rFonts w:ascii="Courier New" w:hAnsi="Courier New"/>
          <w:sz w:val="18"/>
        </w:rPr>
        <w:t>n_slash</w:t>
      </w:r>
      <w:r>
        <w:rPr>
          <w:rFonts w:ascii="Times New Roman" w:hAnsi="Times New Roman"/>
          <w:b w:val="0"/>
          <w:i w:val="0"/>
          <w:sz w:val="20"/>
        </w:rPr>
        <w:t>.</w:t>
      </w:r>
    </w:p>
    <w:p>
      <w:pPr>
        <w:spacing w:before="80" w:after="40"/>
        <w:jc w:val="center"/>
      </w:pPr>
      <w:r>
        <w:drawing>
          <wp:inline xmlns:a="http://schemas.openxmlformats.org/drawingml/2006/main" xmlns:pic="http://schemas.openxmlformats.org/drawingml/2006/picture">
            <wp:extent cx="2606040" cy="1168337"/>
            <wp:docPr id="2" name="Picture 2"/>
            <wp:cNvGraphicFramePr>
              <a:graphicFrameLocks noChangeAspect="1"/>
            </wp:cNvGraphicFramePr>
            <a:graphic>
              <a:graphicData uri="http://schemas.openxmlformats.org/drawingml/2006/picture">
                <pic:pic>
                  <pic:nvPicPr>
                    <pic:cNvPr id="0" name="top_correlations.png"/>
                    <pic:cNvPicPr/>
                  </pic:nvPicPr>
                  <pic:blipFill>
                    <a:blip r:embed="rId10"/>
                    <a:stretch>
                      <a:fillRect/>
                    </a:stretch>
                  </pic:blipFill>
                  <pic:spPr>
                    <a:xfrm>
                      <a:off x="0" y="0"/>
                      <a:ext cx="2606040" cy="1168337"/>
                    </a:xfrm>
                    <a:prstGeom prst="rect"/>
                  </pic:spPr>
                </pic:pic>
              </a:graphicData>
            </a:graphic>
          </wp:inline>
        </w:drawing>
      </w:r>
    </w:p>
    <w:p>
      <w:pPr>
        <w:spacing w:after="160"/>
        <w:jc w:val="center"/>
      </w:pPr>
      <w:r>
        <w:rPr>
          <w:rFonts w:ascii="Times New Roman" w:hAnsi="Times New Roman"/>
          <w:b w:val="0"/>
          <w:i/>
          <w:sz w:val="16"/>
        </w:rPr>
        <w:t>Fig. 2. Absolute Pearson correlation of features with the phishing label (ranked).</w:t>
      </w:r>
    </w:p>
    <w:p>
      <w:pPr>
        <w:spacing w:before="80" w:after="40"/>
        <w:jc w:val="center"/>
      </w:pPr>
      <w:r>
        <w:drawing>
          <wp:inline xmlns:a="http://schemas.openxmlformats.org/drawingml/2006/main" xmlns:pic="http://schemas.openxmlformats.org/drawingml/2006/picture">
            <wp:extent cx="2606040" cy="233804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2606040" cy="2338040"/>
                    </a:xfrm>
                    <a:prstGeom prst="rect"/>
                  </pic:spPr>
                </pic:pic>
              </a:graphicData>
            </a:graphic>
          </wp:inline>
        </w:drawing>
      </w:r>
    </w:p>
    <w:p>
      <w:pPr>
        <w:spacing w:after="160"/>
        <w:jc w:val="center"/>
      </w:pPr>
      <w:r>
        <w:rPr>
          <w:rFonts w:ascii="Times New Roman" w:hAnsi="Times New Roman"/>
          <w:b w:val="0"/>
          <w:i/>
          <w:sz w:val="16"/>
        </w:rPr>
        <w:t>Fig. 3. Feature correlation heatmap. Warmer colors (red) indicate positive correlation; cooler (blue) indicate negative.</w:t>
      </w:r>
    </w:p>
    <w:p>
      <w:pPr>
        <w:spacing w:before="80" w:after="40"/>
        <w:jc w:val="center"/>
      </w:pPr>
      <w:r>
        <w:drawing>
          <wp:inline xmlns:a="http://schemas.openxmlformats.org/drawingml/2006/main" xmlns:pic="http://schemas.openxmlformats.org/drawingml/2006/picture">
            <wp:extent cx="2606040" cy="3289447"/>
            <wp:docPr id="4" name="Picture 4"/>
            <wp:cNvGraphicFramePr>
              <a:graphicFrameLocks noChangeAspect="1"/>
            </wp:cNvGraphicFramePr>
            <a:graphic>
              <a:graphicData uri="http://schemas.openxmlformats.org/drawingml/2006/picture">
                <pic:pic>
                  <pic:nvPicPr>
                    <pic:cNvPr id="0" name="feature_distributions.png"/>
                    <pic:cNvPicPr/>
                  </pic:nvPicPr>
                  <pic:blipFill>
                    <a:blip r:embed="rId12"/>
                    <a:stretch>
                      <a:fillRect/>
                    </a:stretch>
                  </pic:blipFill>
                  <pic:spPr>
                    <a:xfrm>
                      <a:off x="0" y="0"/>
                      <a:ext cx="2606040" cy="3289447"/>
                    </a:xfrm>
                    <a:prstGeom prst="rect"/>
                  </pic:spPr>
                </pic:pic>
              </a:graphicData>
            </a:graphic>
          </wp:inline>
        </w:drawing>
      </w:r>
    </w:p>
    <w:p>
      <w:pPr>
        <w:spacing w:after="160"/>
        <w:jc w:val="center"/>
      </w:pPr>
      <w:r>
        <w:rPr>
          <w:rFonts w:ascii="Times New Roman" w:hAnsi="Times New Roman"/>
          <w:b w:val="0"/>
          <w:i/>
          <w:sz w:val="16"/>
        </w:rPr>
        <w:t>Fig. 4. Feature distributions clipped to the 1st-99th percentile range.</w:t>
      </w:r>
    </w:p>
    <w:p>
      <w:pPr>
        <w:spacing w:before="120" w:after="60"/>
        <w:jc w:val="left"/>
      </w:pPr>
      <w:r>
        <w:rPr>
          <w:rFonts w:ascii="Times New Roman" w:hAnsi="Times New Roman"/>
          <w:b/>
          <w:i/>
          <w:sz w:val="20"/>
        </w:rPr>
        <w:t>C. Data Preprocessing</w:t>
      </w:r>
    </w:p>
    <w:p>
      <w:pPr>
        <w:spacing w:before="0" w:after="100"/>
        <w:jc w:val="left"/>
      </w:pPr>
      <w:r>
        <w:rPr>
          <w:rFonts w:ascii="Times New Roman" w:hAnsi="Times New Roman"/>
          <w:b w:val="0"/>
          <w:i w:val="0"/>
          <w:sz w:val="20"/>
        </w:rPr>
        <w:t>Duplicate rows are removed once before model splitting, which is especially important in this dataset because more than three quarters of the original rows are duplicates. After deduplication, six features are engineered: a total special character count, a symbol-to-length ratio, binary redirect and at-symbol flags, a slash-to-dot ratio, and a log-transformed URL length. A stratified 80/20 train/test split is used to preserve class proportions. Feature scaling is applied only to Logistic Regression.</w:t>
      </w:r>
    </w:p>
    <w:p>
      <w:pPr>
        <w:spacing w:before="120" w:after="60"/>
        <w:jc w:val="left"/>
      </w:pPr>
      <w:r>
        <w:rPr>
          <w:rFonts w:ascii="Times New Roman" w:hAnsi="Times New Roman"/>
          <w:b/>
          <w:i/>
          <w:sz w:val="20"/>
        </w:rPr>
        <w:t>D. Evaluation Metrics</w:t>
      </w:r>
    </w:p>
    <w:p>
      <w:pPr>
        <w:spacing w:before="0" w:after="100"/>
        <w:jc w:val="left"/>
      </w:pPr>
      <w:r>
        <w:rPr>
          <w:rFonts w:ascii="Times New Roman" w:hAnsi="Times New Roman"/>
          <w:b w:val="0"/>
          <w:i w:val="0"/>
          <w:sz w:val="20"/>
        </w:rPr>
        <w:t>The project uses accuracy, precision, recall, F1-score, ROC-AUC, and confusion matrix analysis. Recall deserves special attention because false negatives correspond to phishing pages that evade detection, which carries the highest security risk.</w:t>
      </w:r>
    </w:p>
    <w:p>
      <w:pPr>
        <w:spacing w:before="200" w:after="80"/>
        <w:jc w:val="center"/>
      </w:pPr>
      <w:r>
        <w:rPr>
          <w:rFonts w:ascii="Times New Roman" w:hAnsi="Times New Roman"/>
          <w:b/>
          <w:i w:val="0"/>
          <w:sz w:val="20"/>
        </w:rPr>
        <w:t>IV. MACHINE LEARNING ALGORITHMS</w:t>
      </w:r>
    </w:p>
    <w:p>
      <w:pPr>
        <w:spacing w:before="0" w:after="100"/>
        <w:jc w:val="left"/>
      </w:pPr>
      <w:r>
        <w:rPr>
          <w:rFonts w:ascii="Times New Roman" w:hAnsi="Times New Roman"/>
          <w:b w:val="0"/>
          <w:i w:val="0"/>
          <w:sz w:val="20"/>
        </w:rPr>
        <w:t>Four classifiers are evaluated to cover the spectrum from simple linear models to complex boosting ensembles. Each model is tuned independently with GridSearchCV using 5-fold stratified cross-validation scored on F1.</w:t>
      </w:r>
    </w:p>
    <w:p>
      <w:pPr>
        <w:spacing w:before="120" w:after="60"/>
        <w:jc w:val="left"/>
      </w:pPr>
      <w:r>
        <w:rPr>
          <w:rFonts w:ascii="Times New Roman" w:hAnsi="Times New Roman"/>
          <w:b/>
          <w:i/>
          <w:sz w:val="20"/>
        </w:rPr>
        <w:t>A. Logistic Regression</w:t>
      </w:r>
    </w:p>
    <w:p>
      <w:pPr>
        <w:spacing w:before="0" w:after="100"/>
        <w:jc w:val="left"/>
      </w:pPr>
      <w:r>
        <w:rPr>
          <w:rFonts w:ascii="Times New Roman" w:hAnsi="Times New Roman"/>
          <w:b w:val="0"/>
          <w:i w:val="0"/>
          <w:sz w:val="20"/>
        </w:rPr>
        <w:t>Logistic Regression is included as the linear baseline. It models the log-odds of the phishing class as a weighted sum of the input features. Standard scaling is applied upstream in the pipeline. The regularization parameter C is tuned across 0.01, 0.1, 1, and 10.</w:t>
      </w:r>
    </w:p>
    <w:p>
      <w:pPr>
        <w:spacing w:before="120" w:after="60"/>
        <w:jc w:val="left"/>
      </w:pPr>
      <w:r>
        <w:rPr>
          <w:rFonts w:ascii="Times New Roman" w:hAnsi="Times New Roman"/>
          <w:b/>
          <w:i/>
          <w:sz w:val="20"/>
        </w:rPr>
        <w:t>B. Decision Tree</w:t>
      </w:r>
    </w:p>
    <w:p>
      <w:pPr>
        <w:spacing w:before="0" w:after="100"/>
        <w:jc w:val="left"/>
      </w:pPr>
      <w:r>
        <w:rPr>
          <w:rFonts w:ascii="Times New Roman" w:hAnsi="Times New Roman"/>
          <w:b w:val="0"/>
          <w:i w:val="0"/>
          <w:sz w:val="20"/>
        </w:rPr>
        <w:t>The Decision Tree classifier recursively partitions the feature space by selecting the split that maximizes information gain at each node. Maximum depth, minimum samples per split, and minimum samples per leaf are all tuned to control overfitting.</w:t>
      </w:r>
    </w:p>
    <w:p>
      <w:pPr>
        <w:spacing w:before="120" w:after="60"/>
        <w:jc w:val="left"/>
      </w:pPr>
      <w:r>
        <w:rPr>
          <w:rFonts w:ascii="Times New Roman" w:hAnsi="Times New Roman"/>
          <w:b/>
          <w:i/>
          <w:sz w:val="20"/>
        </w:rPr>
        <w:t>C. Random Forest</w:t>
      </w:r>
    </w:p>
    <w:p>
      <w:pPr>
        <w:spacing w:before="0" w:after="100"/>
        <w:jc w:val="left"/>
      </w:pPr>
      <w:r>
        <w:rPr>
          <w:rFonts w:ascii="Times New Roman" w:hAnsi="Times New Roman"/>
          <w:b w:val="0"/>
          <w:i w:val="0"/>
          <w:sz w:val="20"/>
        </w:rPr>
        <w:t>Random Forest is a bagging ensemble that trains a collection of decision trees on bootstrapped subsets of the training data with randomized feature subsets at each split. The number of estimators, maximum depth, and leaf size parameters are tuned via grid search.</w:t>
      </w:r>
    </w:p>
    <w:p>
      <w:pPr>
        <w:spacing w:before="120" w:after="60"/>
        <w:jc w:val="left"/>
      </w:pPr>
      <w:r>
        <w:rPr>
          <w:rFonts w:ascii="Times New Roman" w:hAnsi="Times New Roman"/>
          <w:b/>
          <w:i/>
          <w:sz w:val="20"/>
        </w:rPr>
        <w:t>D. Gradient Boosting</w:t>
      </w:r>
    </w:p>
    <w:p>
      <w:pPr>
        <w:spacing w:before="0" w:after="100"/>
        <w:jc w:val="left"/>
      </w:pPr>
      <w:r>
        <w:rPr>
          <w:rFonts w:ascii="Times New Roman" w:hAnsi="Times New Roman"/>
          <w:b w:val="0"/>
          <w:i w:val="0"/>
          <w:sz w:val="20"/>
        </w:rPr>
        <w:t>Gradient Boosting is a sequential boosting ensemble that builds trees one at a time, each correcting the residual errors of the previous ensemble. The learning rate, number of estimators, maximum tree depth, and subsampling ratio are tuned together to balance bias and variance.</w:t>
      </w:r>
    </w:p>
    <w:p>
      <w:pPr>
        <w:spacing w:before="200" w:after="80"/>
        <w:jc w:val="center"/>
      </w:pPr>
      <w:r>
        <w:rPr>
          <w:rFonts w:ascii="Times New Roman" w:hAnsi="Times New Roman"/>
          <w:b/>
          <w:i w:val="0"/>
          <w:sz w:val="20"/>
        </w:rPr>
        <w:t>V. RESULTS AND ANALYSIS</w:t>
      </w:r>
    </w:p>
    <w:p>
      <w:pPr>
        <w:spacing w:before="120" w:after="60"/>
        <w:jc w:val="left"/>
      </w:pPr>
      <w:r>
        <w:rPr>
          <w:rFonts w:ascii="Times New Roman" w:hAnsi="Times New Roman"/>
          <w:b/>
          <w:i/>
          <w:sz w:val="20"/>
        </w:rPr>
        <w:t>A. Model Performance</w:t>
      </w:r>
    </w:p>
    <w:p>
      <w:pPr>
        <w:spacing w:before="0" w:after="100"/>
        <w:jc w:val="left"/>
      </w:pPr>
      <w:r>
        <w:rPr>
          <w:rFonts w:ascii="Times New Roman" w:hAnsi="Times New Roman"/>
          <w:b w:val="0"/>
          <w:i w:val="0"/>
          <w:sz w:val="20"/>
        </w:rPr>
        <w:t>Table II summarizes the held-out test performance of all four models after hyperparameter tuning via GridSearchCV.</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w="1763" w:type="dxa"/>
            <w:shd w:val="clear" w:color="auto" w:fill="CCCCCC"/>
          </w:tcPr>
          <w:p>
            <w:pPr>
              <w:spacing w:after="20"/>
            </w:pPr>
            <w:r/>
            <w:r>
              <w:rPr>
                <w:rFonts w:ascii="Times New Roman" w:hAnsi="Times New Roman"/>
                <w:b/>
                <w:i w:val="0"/>
                <w:sz w:val="16"/>
              </w:rPr>
              <w:t>Model</w:t>
            </w:r>
          </w:p>
        </w:tc>
        <w:tc>
          <w:tcPr>
            <w:tcW w:w="655" w:type="dxa"/>
            <w:shd w:val="clear" w:color="auto" w:fill="CCCCCC"/>
          </w:tcPr>
          <w:p>
            <w:pPr>
              <w:spacing w:after="20"/>
            </w:pPr>
            <w:r/>
            <w:r>
              <w:rPr>
                <w:rFonts w:ascii="Times New Roman" w:hAnsi="Times New Roman"/>
                <w:b/>
                <w:i w:val="0"/>
                <w:sz w:val="16"/>
              </w:rPr>
              <w:t>Accuracy</w:t>
            </w:r>
          </w:p>
        </w:tc>
        <w:tc>
          <w:tcPr>
            <w:tcW w:w="655" w:type="dxa"/>
            <w:shd w:val="clear" w:color="auto" w:fill="CCCCCC"/>
          </w:tcPr>
          <w:p>
            <w:pPr>
              <w:spacing w:after="20"/>
            </w:pPr>
            <w:r/>
            <w:r>
              <w:rPr>
                <w:rFonts w:ascii="Times New Roman" w:hAnsi="Times New Roman"/>
                <w:b/>
                <w:i w:val="0"/>
                <w:sz w:val="16"/>
              </w:rPr>
              <w:t>Precision</w:t>
            </w:r>
          </w:p>
        </w:tc>
        <w:tc>
          <w:tcPr>
            <w:tcW w:w="655" w:type="dxa"/>
            <w:shd w:val="clear" w:color="auto" w:fill="CCCCCC"/>
          </w:tcPr>
          <w:p>
            <w:pPr>
              <w:spacing w:after="20"/>
            </w:pPr>
            <w:r/>
            <w:r>
              <w:rPr>
                <w:rFonts w:ascii="Times New Roman" w:hAnsi="Times New Roman"/>
                <w:b/>
                <w:i w:val="0"/>
                <w:sz w:val="16"/>
              </w:rPr>
              <w:t>Recall</w:t>
            </w:r>
          </w:p>
        </w:tc>
        <w:tc>
          <w:tcPr>
            <w:tcW w:w="604" w:type="dxa"/>
            <w:shd w:val="clear" w:color="auto" w:fill="CCCCCC"/>
          </w:tcPr>
          <w:p>
            <w:pPr>
              <w:spacing w:after="20"/>
            </w:pPr>
            <w:r/>
            <w:r>
              <w:rPr>
                <w:rFonts w:ascii="Times New Roman" w:hAnsi="Times New Roman"/>
                <w:b/>
                <w:i w:val="0"/>
                <w:sz w:val="16"/>
              </w:rPr>
              <w:t>F1</w:t>
            </w:r>
          </w:p>
        </w:tc>
        <w:tc>
          <w:tcPr>
            <w:tcW w:w="705" w:type="dxa"/>
            <w:shd w:val="clear" w:color="auto" w:fill="CCCCCC"/>
          </w:tcPr>
          <w:p>
            <w:pPr>
              <w:spacing w:after="20"/>
            </w:pPr>
            <w:r/>
            <w:r>
              <w:rPr>
                <w:rFonts w:ascii="Times New Roman" w:hAnsi="Times New Roman"/>
                <w:b/>
                <w:i w:val="0"/>
                <w:sz w:val="16"/>
              </w:rPr>
              <w:t>AUC</w:t>
            </w:r>
          </w:p>
        </w:tc>
      </w:tr>
      <w:tr>
        <w:tc>
          <w:tcPr>
            <w:tcW w:w="1763" w:type="dxa"/>
          </w:tcPr>
          <w:p>
            <w:pPr>
              <w:spacing w:after="20"/>
            </w:pPr>
            <w:r/>
            <w:r>
              <w:rPr>
                <w:rFonts w:ascii="Times New Roman" w:hAnsi="Times New Roman"/>
                <w:b w:val="0"/>
                <w:i w:val="0"/>
                <w:sz w:val="16"/>
              </w:rPr>
              <w:t>Gradient Boosting</w:t>
            </w:r>
          </w:p>
        </w:tc>
        <w:tc>
          <w:tcPr>
            <w:tcW w:w="655" w:type="dxa"/>
          </w:tcPr>
          <w:p>
            <w:pPr>
              <w:spacing w:after="20"/>
            </w:pPr>
            <w:r/>
            <w:r>
              <w:rPr>
                <w:rFonts w:ascii="Times New Roman" w:hAnsi="Times New Roman"/>
                <w:b w:val="0"/>
                <w:i w:val="0"/>
                <w:sz w:val="16"/>
              </w:rPr>
              <w:t>0.8198</w:t>
            </w:r>
          </w:p>
        </w:tc>
        <w:tc>
          <w:tcPr>
            <w:tcW w:w="655" w:type="dxa"/>
          </w:tcPr>
          <w:p>
            <w:pPr>
              <w:spacing w:after="20"/>
            </w:pPr>
            <w:r/>
            <w:r>
              <w:rPr>
                <w:rFonts w:ascii="Times New Roman" w:hAnsi="Times New Roman"/>
                <w:b w:val="0"/>
                <w:i w:val="0"/>
                <w:sz w:val="16"/>
              </w:rPr>
              <w:t>0.8505</w:t>
            </w:r>
          </w:p>
        </w:tc>
        <w:tc>
          <w:tcPr>
            <w:tcW w:w="655" w:type="dxa"/>
          </w:tcPr>
          <w:p>
            <w:pPr>
              <w:spacing w:after="20"/>
            </w:pPr>
            <w:r/>
            <w:r>
              <w:rPr>
                <w:rFonts w:ascii="Times New Roman" w:hAnsi="Times New Roman"/>
                <w:b w:val="0"/>
                <w:i w:val="0"/>
                <w:sz w:val="16"/>
              </w:rPr>
              <w:t>0.9118</w:t>
            </w:r>
          </w:p>
        </w:tc>
        <w:tc>
          <w:tcPr>
            <w:tcW w:w="604" w:type="dxa"/>
          </w:tcPr>
          <w:p>
            <w:pPr>
              <w:spacing w:after="20"/>
            </w:pPr>
            <w:r/>
            <w:r>
              <w:rPr>
                <w:rFonts w:ascii="Times New Roman" w:hAnsi="Times New Roman"/>
                <w:b w:val="0"/>
                <w:i w:val="0"/>
                <w:sz w:val="16"/>
              </w:rPr>
              <w:t>0.8801</w:t>
            </w:r>
          </w:p>
        </w:tc>
        <w:tc>
          <w:tcPr>
            <w:tcW w:w="705" w:type="dxa"/>
          </w:tcPr>
          <w:p>
            <w:pPr>
              <w:spacing w:after="20"/>
            </w:pPr>
            <w:r/>
            <w:r>
              <w:rPr>
                <w:rFonts w:ascii="Times New Roman" w:hAnsi="Times New Roman"/>
                <w:b w:val="0"/>
                <w:i w:val="0"/>
                <w:sz w:val="16"/>
              </w:rPr>
              <w:t>0.8873</w:t>
            </w:r>
          </w:p>
        </w:tc>
      </w:tr>
      <w:tr>
        <w:tc>
          <w:tcPr>
            <w:tcW w:w="1763" w:type="dxa"/>
          </w:tcPr>
          <w:p>
            <w:pPr>
              <w:spacing w:after="20"/>
            </w:pPr>
            <w:r/>
            <w:r>
              <w:rPr>
                <w:rFonts w:ascii="Times New Roman" w:hAnsi="Times New Roman"/>
                <w:b w:val="0"/>
                <w:i w:val="0"/>
                <w:sz w:val="16"/>
              </w:rPr>
              <w:t>Random Forest</w:t>
            </w:r>
          </w:p>
        </w:tc>
        <w:tc>
          <w:tcPr>
            <w:tcW w:w="655" w:type="dxa"/>
          </w:tcPr>
          <w:p>
            <w:pPr>
              <w:spacing w:after="20"/>
            </w:pPr>
            <w:r/>
            <w:r>
              <w:rPr>
                <w:rFonts w:ascii="Times New Roman" w:hAnsi="Times New Roman"/>
                <w:b w:val="0"/>
                <w:i w:val="0"/>
                <w:sz w:val="16"/>
              </w:rPr>
              <w:t>0.8102</w:t>
            </w:r>
          </w:p>
        </w:tc>
        <w:tc>
          <w:tcPr>
            <w:tcW w:w="655" w:type="dxa"/>
          </w:tcPr>
          <w:p>
            <w:pPr>
              <w:spacing w:after="20"/>
            </w:pPr>
            <w:r/>
            <w:r>
              <w:rPr>
                <w:rFonts w:ascii="Times New Roman" w:hAnsi="Times New Roman"/>
                <w:b w:val="0"/>
                <w:i w:val="0"/>
                <w:sz w:val="16"/>
              </w:rPr>
              <w:t>0.8429</w:t>
            </w:r>
          </w:p>
        </w:tc>
        <w:tc>
          <w:tcPr>
            <w:tcW w:w="655" w:type="dxa"/>
          </w:tcPr>
          <w:p>
            <w:pPr>
              <w:spacing w:after="20"/>
            </w:pPr>
            <w:r/>
            <w:r>
              <w:rPr>
                <w:rFonts w:ascii="Times New Roman" w:hAnsi="Times New Roman"/>
                <w:b w:val="0"/>
                <w:i w:val="0"/>
                <w:sz w:val="16"/>
              </w:rPr>
              <w:t>0.9074</w:t>
            </w:r>
          </w:p>
        </w:tc>
        <w:tc>
          <w:tcPr>
            <w:tcW w:w="604" w:type="dxa"/>
          </w:tcPr>
          <w:p>
            <w:pPr>
              <w:spacing w:after="20"/>
            </w:pPr>
            <w:r/>
            <w:r>
              <w:rPr>
                <w:rFonts w:ascii="Times New Roman" w:hAnsi="Times New Roman"/>
                <w:b w:val="0"/>
                <w:i w:val="0"/>
                <w:sz w:val="16"/>
              </w:rPr>
              <w:t>0.8740</w:t>
            </w:r>
          </w:p>
        </w:tc>
        <w:tc>
          <w:tcPr>
            <w:tcW w:w="705" w:type="dxa"/>
          </w:tcPr>
          <w:p>
            <w:pPr>
              <w:spacing w:after="20"/>
            </w:pPr>
            <w:r/>
            <w:r>
              <w:rPr>
                <w:rFonts w:ascii="Times New Roman" w:hAnsi="Times New Roman"/>
                <w:b w:val="0"/>
                <w:i w:val="0"/>
                <w:sz w:val="16"/>
              </w:rPr>
              <w:t>0.8793</w:t>
            </w:r>
          </w:p>
        </w:tc>
      </w:tr>
      <w:tr>
        <w:tc>
          <w:tcPr>
            <w:tcW w:w="1763" w:type="dxa"/>
          </w:tcPr>
          <w:p>
            <w:pPr>
              <w:spacing w:after="20"/>
            </w:pPr>
            <w:r/>
            <w:r>
              <w:rPr>
                <w:rFonts w:ascii="Times New Roman" w:hAnsi="Times New Roman"/>
                <w:b w:val="0"/>
                <w:i w:val="0"/>
                <w:sz w:val="16"/>
              </w:rPr>
              <w:t>Decision Tree</w:t>
            </w:r>
          </w:p>
        </w:tc>
        <w:tc>
          <w:tcPr>
            <w:tcW w:w="655" w:type="dxa"/>
          </w:tcPr>
          <w:p>
            <w:pPr>
              <w:spacing w:after="20"/>
            </w:pPr>
            <w:r/>
            <w:r>
              <w:rPr>
                <w:rFonts w:ascii="Times New Roman" w:hAnsi="Times New Roman"/>
                <w:b w:val="0"/>
                <w:i w:val="0"/>
                <w:sz w:val="16"/>
              </w:rPr>
              <w:t>0.8022</w:t>
            </w:r>
          </w:p>
        </w:tc>
        <w:tc>
          <w:tcPr>
            <w:tcW w:w="655" w:type="dxa"/>
          </w:tcPr>
          <w:p>
            <w:pPr>
              <w:spacing w:after="20"/>
            </w:pPr>
            <w:r/>
            <w:r>
              <w:rPr>
                <w:rFonts w:ascii="Times New Roman" w:hAnsi="Times New Roman"/>
                <w:b w:val="0"/>
                <w:i w:val="0"/>
                <w:sz w:val="16"/>
              </w:rPr>
              <w:t>0.8476</w:t>
            </w:r>
          </w:p>
        </w:tc>
        <w:tc>
          <w:tcPr>
            <w:tcW w:w="655" w:type="dxa"/>
          </w:tcPr>
          <w:p>
            <w:pPr>
              <w:spacing w:after="20"/>
            </w:pPr>
            <w:r/>
            <w:r>
              <w:rPr>
                <w:rFonts w:ascii="Times New Roman" w:hAnsi="Times New Roman"/>
                <w:b w:val="0"/>
                <w:i w:val="0"/>
                <w:sz w:val="16"/>
              </w:rPr>
              <w:t>0.8866</w:t>
            </w:r>
          </w:p>
        </w:tc>
        <w:tc>
          <w:tcPr>
            <w:tcW w:w="604" w:type="dxa"/>
          </w:tcPr>
          <w:p>
            <w:pPr>
              <w:spacing w:after="20"/>
            </w:pPr>
            <w:r/>
            <w:r>
              <w:rPr>
                <w:rFonts w:ascii="Times New Roman" w:hAnsi="Times New Roman"/>
                <w:b w:val="0"/>
                <w:i w:val="0"/>
                <w:sz w:val="16"/>
              </w:rPr>
              <w:t>0.8667</w:t>
            </w:r>
          </w:p>
        </w:tc>
        <w:tc>
          <w:tcPr>
            <w:tcW w:w="705" w:type="dxa"/>
          </w:tcPr>
          <w:p>
            <w:pPr>
              <w:spacing w:after="20"/>
            </w:pPr>
            <w:r/>
            <w:r>
              <w:rPr>
                <w:rFonts w:ascii="Times New Roman" w:hAnsi="Times New Roman"/>
                <w:b w:val="0"/>
                <w:i w:val="0"/>
                <w:sz w:val="16"/>
              </w:rPr>
              <w:t>0.8478</w:t>
            </w:r>
          </w:p>
        </w:tc>
      </w:tr>
      <w:tr>
        <w:tc>
          <w:tcPr>
            <w:tcW w:w="1763" w:type="dxa"/>
          </w:tcPr>
          <w:p>
            <w:pPr>
              <w:spacing w:after="20"/>
            </w:pPr>
            <w:r/>
            <w:r>
              <w:rPr>
                <w:rFonts w:ascii="Times New Roman" w:hAnsi="Times New Roman"/>
                <w:b w:val="0"/>
                <w:i w:val="0"/>
                <w:sz w:val="16"/>
              </w:rPr>
              <w:t>Logistic Regression</w:t>
            </w:r>
          </w:p>
        </w:tc>
        <w:tc>
          <w:tcPr>
            <w:tcW w:w="655" w:type="dxa"/>
          </w:tcPr>
          <w:p>
            <w:pPr>
              <w:spacing w:after="20"/>
            </w:pPr>
            <w:r/>
            <w:r>
              <w:rPr>
                <w:rFonts w:ascii="Times New Roman" w:hAnsi="Times New Roman"/>
                <w:b w:val="0"/>
                <w:i w:val="0"/>
                <w:sz w:val="16"/>
              </w:rPr>
              <w:t>0.7753</w:t>
            </w:r>
          </w:p>
        </w:tc>
        <w:tc>
          <w:tcPr>
            <w:tcW w:w="655" w:type="dxa"/>
          </w:tcPr>
          <w:p>
            <w:pPr>
              <w:spacing w:after="20"/>
            </w:pPr>
            <w:r/>
            <w:r>
              <w:rPr>
                <w:rFonts w:ascii="Times New Roman" w:hAnsi="Times New Roman"/>
                <w:b w:val="0"/>
                <w:i w:val="0"/>
                <w:sz w:val="16"/>
              </w:rPr>
              <w:t>0.8101</w:t>
            </w:r>
          </w:p>
        </w:tc>
        <w:tc>
          <w:tcPr>
            <w:tcW w:w="655" w:type="dxa"/>
          </w:tcPr>
          <w:p>
            <w:pPr>
              <w:spacing w:after="20"/>
            </w:pPr>
            <w:r/>
            <w:r>
              <w:rPr>
                <w:rFonts w:ascii="Times New Roman" w:hAnsi="Times New Roman"/>
                <w:b w:val="0"/>
                <w:i w:val="0"/>
                <w:sz w:val="16"/>
              </w:rPr>
              <w:t>0.9014</w:t>
            </w:r>
          </w:p>
        </w:tc>
        <w:tc>
          <w:tcPr>
            <w:tcW w:w="604" w:type="dxa"/>
          </w:tcPr>
          <w:p>
            <w:pPr>
              <w:spacing w:after="20"/>
            </w:pPr>
            <w:r/>
            <w:r>
              <w:rPr>
                <w:rFonts w:ascii="Times New Roman" w:hAnsi="Times New Roman"/>
                <w:b w:val="0"/>
                <w:i w:val="0"/>
                <w:sz w:val="16"/>
              </w:rPr>
              <w:t>0.8533</w:t>
            </w:r>
          </w:p>
        </w:tc>
        <w:tc>
          <w:tcPr>
            <w:tcW w:w="705" w:type="dxa"/>
          </w:tcPr>
          <w:p>
            <w:pPr>
              <w:spacing w:after="20"/>
            </w:pPr>
            <w:r/>
            <w:r>
              <w:rPr>
                <w:rFonts w:ascii="Times New Roman" w:hAnsi="Times New Roman"/>
                <w:b w:val="0"/>
                <w:i w:val="0"/>
                <w:sz w:val="16"/>
              </w:rPr>
              <w:t>0.8329</w:t>
            </w:r>
          </w:p>
        </w:tc>
      </w:tr>
    </w:tbl>
    <w:p>
      <w:pPr>
        <w:spacing w:after="80"/>
      </w:pPr>
    </w:p>
    <w:p>
      <w:pPr>
        <w:spacing w:before="0" w:after="100"/>
        <w:jc w:val="left"/>
      </w:pPr>
      <w:r>
        <w:rPr>
          <w:rFonts w:ascii="Times New Roman" w:hAnsi="Times New Roman"/>
          <w:b w:val="0"/>
          <w:i w:val="0"/>
          <w:sz w:val="20"/>
        </w:rPr>
        <w:t>Gradient Boosting achieved the best overall result, delivering the highest accuracy, F1-score, and ROC-AUC. Random Forest was a close second with F1 = 0.874. Decision Tree improved from an untuned F1 of 0.791 to 0.867 after hyperparameter tuning. The overall F1 range of 0.853 to 0.880 indicates consistent and competitive performance across the full evaluated model family.</w:t>
      </w:r>
    </w:p>
    <w:p>
      <w:pPr>
        <w:spacing w:before="80" w:after="40"/>
        <w:jc w:val="center"/>
      </w:pPr>
      <w:r>
        <w:drawing>
          <wp:inline xmlns:a="http://schemas.openxmlformats.org/drawingml/2006/main" xmlns:pic="http://schemas.openxmlformats.org/drawingml/2006/picture">
            <wp:extent cx="2606040" cy="1276428"/>
            <wp:docPr id="5" name="Picture 5"/>
            <wp:cNvGraphicFramePr>
              <a:graphicFrameLocks noChangeAspect="1"/>
            </wp:cNvGraphicFramePr>
            <a:graphic>
              <a:graphicData uri="http://schemas.openxmlformats.org/drawingml/2006/picture">
                <pic:pic>
                  <pic:nvPicPr>
                    <pic:cNvPr id="0" name="model_comparison_f1.png"/>
                    <pic:cNvPicPr/>
                  </pic:nvPicPr>
                  <pic:blipFill>
                    <a:blip r:embed="rId13"/>
                    <a:stretch>
                      <a:fillRect/>
                    </a:stretch>
                  </pic:blipFill>
                  <pic:spPr>
                    <a:xfrm>
                      <a:off x="0" y="0"/>
                      <a:ext cx="2606040" cy="1276428"/>
                    </a:xfrm>
                    <a:prstGeom prst="rect"/>
                  </pic:spPr>
                </pic:pic>
              </a:graphicData>
            </a:graphic>
          </wp:inline>
        </w:drawing>
      </w:r>
    </w:p>
    <w:p>
      <w:pPr>
        <w:spacing w:after="160"/>
        <w:jc w:val="center"/>
      </w:pPr>
      <w:r>
        <w:rPr>
          <w:rFonts w:ascii="Times New Roman" w:hAnsi="Times New Roman"/>
          <w:b w:val="0"/>
          <w:i/>
          <w:sz w:val="16"/>
        </w:rPr>
        <w:t>Fig. 5. F1-score comparison across all four evaluated models.</w:t>
      </w:r>
    </w:p>
    <w:p>
      <w:pPr>
        <w:spacing w:before="80" w:after="40"/>
        <w:jc w:val="center"/>
      </w:pPr>
      <w:r>
        <w:drawing>
          <wp:inline xmlns:a="http://schemas.openxmlformats.org/drawingml/2006/main" xmlns:pic="http://schemas.openxmlformats.org/drawingml/2006/picture">
            <wp:extent cx="2606040" cy="2223889"/>
            <wp:docPr id="6" name="Picture 6"/>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2606040" cy="2223889"/>
                    </a:xfrm>
                    <a:prstGeom prst="rect"/>
                  </pic:spPr>
                </pic:pic>
              </a:graphicData>
            </a:graphic>
          </wp:inline>
        </w:drawing>
      </w:r>
    </w:p>
    <w:p>
      <w:pPr>
        <w:spacing w:after="160"/>
        <w:jc w:val="center"/>
      </w:pPr>
      <w:r>
        <w:rPr>
          <w:rFonts w:ascii="Times New Roman" w:hAnsi="Times New Roman"/>
          <w:b w:val="0"/>
          <w:i/>
          <w:sz w:val="16"/>
        </w:rPr>
        <w:t>Fig. 6. ROC curves for all evaluated models. AUC values shown in legend.</w:t>
      </w:r>
    </w:p>
    <w:p>
      <w:pPr>
        <w:spacing w:before="120" w:after="60"/>
        <w:jc w:val="left"/>
      </w:pPr>
      <w:r>
        <w:rPr>
          <w:rFonts w:ascii="Times New Roman" w:hAnsi="Times New Roman"/>
          <w:b/>
          <w:i/>
          <w:sz w:val="20"/>
        </w:rPr>
        <w:t>B. Best Model Confusion Matrix</w:t>
      </w:r>
    </w:p>
    <w:p>
      <w:pPr>
        <w:spacing w:before="0" w:after="100"/>
        <w:jc w:val="left"/>
      </w:pPr>
      <w:r>
        <w:rPr>
          <w:rFonts w:ascii="Times New Roman" w:hAnsi="Times New Roman"/>
          <w:b w:val="0"/>
          <w:i w:val="0"/>
          <w:sz w:val="20"/>
        </w:rPr>
        <w:t>Table III shows the confusion matrix for Gradient Boosting on the held-out test set.</w:t>
      </w:r>
    </w:p>
    <w:tbl>
      <w:tblPr>
        <w:tblStyle w:val="TableGrid"/>
        <w:tblW w:type="auto" w:w="0"/>
        <w:tblLook w:firstColumn="1" w:firstRow="1" w:lastColumn="0" w:lastRow="0" w:noHBand="0" w:noVBand="1" w:val="04A0"/>
      </w:tblPr>
      <w:tblGrid>
        <w:gridCol w:w="3480"/>
        <w:gridCol w:w="3480"/>
        <w:gridCol w:w="3480"/>
      </w:tblGrid>
      <w:tr>
        <w:tc>
          <w:tcPr>
            <w:tcW w:w="2268" w:type="dxa"/>
            <w:shd w:val="clear" w:color="auto" w:fill="CCCCCC"/>
          </w:tcPr>
          <w:p>
            <w:pPr>
              <w:spacing w:after="20"/>
            </w:pPr>
            <w:r/>
            <w:r>
              <w:rPr>
                <w:rFonts w:ascii="Times New Roman" w:hAnsi="Times New Roman"/>
                <w:b/>
                <w:i w:val="0"/>
                <w:sz w:val="16"/>
              </w:rPr>
              <w:t>Actual / Predicted</w:t>
            </w:r>
          </w:p>
        </w:tc>
        <w:tc>
          <w:tcPr>
            <w:tcW w:w="1386" w:type="dxa"/>
            <w:shd w:val="clear" w:color="auto" w:fill="CCCCCC"/>
          </w:tcPr>
          <w:p>
            <w:pPr>
              <w:spacing w:after="20"/>
            </w:pPr>
            <w:r/>
            <w:r>
              <w:rPr>
                <w:rFonts w:ascii="Times New Roman" w:hAnsi="Times New Roman"/>
                <w:b/>
                <w:i w:val="0"/>
                <w:sz w:val="16"/>
              </w:rPr>
              <w:t>Legitimate</w:t>
            </w:r>
          </w:p>
        </w:tc>
        <w:tc>
          <w:tcPr>
            <w:tcW w:w="1386" w:type="dxa"/>
            <w:shd w:val="clear" w:color="auto" w:fill="CCCCCC"/>
          </w:tcPr>
          <w:p>
            <w:pPr>
              <w:spacing w:after="20"/>
            </w:pPr>
            <w:r/>
            <w:r>
              <w:rPr>
                <w:rFonts w:ascii="Times New Roman" w:hAnsi="Times New Roman"/>
                <w:b/>
                <w:i w:val="0"/>
                <w:sz w:val="16"/>
              </w:rPr>
              <w:t>Phishing</w:t>
            </w:r>
          </w:p>
        </w:tc>
      </w:tr>
      <w:tr>
        <w:tc>
          <w:tcPr>
            <w:tcW w:w="2268" w:type="dxa"/>
          </w:tcPr>
          <w:p>
            <w:pPr>
              <w:spacing w:after="20"/>
            </w:pPr>
            <w:r/>
            <w:r>
              <w:rPr>
                <w:rFonts w:ascii="Times New Roman" w:hAnsi="Times New Roman"/>
                <w:b w:val="0"/>
                <w:i w:val="0"/>
                <w:sz w:val="16"/>
              </w:rPr>
              <w:t>Legitimate</w:t>
            </w:r>
          </w:p>
        </w:tc>
        <w:tc>
          <w:tcPr>
            <w:tcW w:w="1386" w:type="dxa"/>
          </w:tcPr>
          <w:p>
            <w:pPr>
              <w:spacing w:after="20"/>
            </w:pPr>
            <w:r/>
            <w:r>
              <w:rPr>
                <w:rFonts w:ascii="Times New Roman" w:hAnsi="Times New Roman"/>
                <w:b w:val="0"/>
                <w:i w:val="0"/>
                <w:sz w:val="16"/>
              </w:rPr>
              <w:t>693</w:t>
            </w:r>
          </w:p>
        </w:tc>
        <w:tc>
          <w:tcPr>
            <w:tcW w:w="1386" w:type="dxa"/>
          </w:tcPr>
          <w:p>
            <w:pPr>
              <w:spacing w:after="20"/>
            </w:pPr>
            <w:r/>
            <w:r>
              <w:rPr>
                <w:rFonts w:ascii="Times New Roman" w:hAnsi="Times New Roman"/>
                <w:b w:val="0"/>
                <w:i w:val="0"/>
                <w:sz w:val="16"/>
              </w:rPr>
              <w:t>511</w:t>
            </w:r>
          </w:p>
        </w:tc>
      </w:tr>
      <w:tr>
        <w:tc>
          <w:tcPr>
            <w:tcW w:w="2268" w:type="dxa"/>
          </w:tcPr>
          <w:p>
            <w:pPr>
              <w:spacing w:after="20"/>
            </w:pPr>
            <w:r/>
            <w:r>
              <w:rPr>
                <w:rFonts w:ascii="Times New Roman" w:hAnsi="Times New Roman"/>
                <w:b w:val="0"/>
                <w:i w:val="0"/>
                <w:sz w:val="16"/>
              </w:rPr>
              <w:t>Phishing</w:t>
            </w:r>
          </w:p>
        </w:tc>
        <w:tc>
          <w:tcPr>
            <w:tcW w:w="1386" w:type="dxa"/>
          </w:tcPr>
          <w:p>
            <w:pPr>
              <w:spacing w:after="20"/>
            </w:pPr>
            <w:r/>
            <w:r>
              <w:rPr>
                <w:rFonts w:ascii="Times New Roman" w:hAnsi="Times New Roman"/>
                <w:b w:val="0"/>
                <w:i w:val="0"/>
                <w:sz w:val="16"/>
              </w:rPr>
              <w:t>280</w:t>
            </w:r>
          </w:p>
        </w:tc>
        <w:tc>
          <w:tcPr>
            <w:tcW w:w="1386" w:type="dxa"/>
          </w:tcPr>
          <w:p>
            <w:pPr>
              <w:spacing w:after="20"/>
            </w:pPr>
            <w:r/>
            <w:r>
              <w:rPr>
                <w:rFonts w:ascii="Times New Roman" w:hAnsi="Times New Roman"/>
                <w:b w:val="0"/>
                <w:i w:val="0"/>
                <w:sz w:val="16"/>
              </w:rPr>
              <w:t>2895</w:t>
            </w:r>
          </w:p>
        </w:tc>
      </w:tr>
    </w:tbl>
    <w:p>
      <w:pPr>
        <w:spacing w:after="80"/>
      </w:pPr>
    </w:p>
    <w:p>
      <w:pPr>
        <w:spacing w:before="0" w:after="100"/>
        <w:jc w:val="left"/>
      </w:pPr>
      <w:r>
        <w:rPr>
          <w:rFonts w:ascii="Times New Roman" w:hAnsi="Times New Roman"/>
          <w:b w:val="0"/>
          <w:i w:val="0"/>
          <w:sz w:val="20"/>
        </w:rPr>
        <w:t>The model correctly identifies 2,895 of 3,175 phishing URLs, yielding recall = 0.912. The 511 false positives represent legitimate URLs flagged as phishing, an acceptable trade-off given that missed phishing pages carry higher security risk.</w:t>
      </w:r>
    </w:p>
    <w:p>
      <w:pPr>
        <w:spacing w:before="80" w:after="40"/>
        <w:jc w:val="center"/>
      </w:pPr>
      <w:r>
        <w:drawing>
          <wp:inline xmlns:a="http://schemas.openxmlformats.org/drawingml/2006/main" xmlns:pic="http://schemas.openxmlformats.org/drawingml/2006/picture">
            <wp:extent cx="2606040" cy="2197130"/>
            <wp:docPr id="7" name="Picture 7"/>
            <wp:cNvGraphicFramePr>
              <a:graphicFrameLocks noChangeAspect="1"/>
            </wp:cNvGraphicFramePr>
            <a:graphic>
              <a:graphicData uri="http://schemas.openxmlformats.org/drawingml/2006/picture">
                <pic:pic>
                  <pic:nvPicPr>
                    <pic:cNvPr id="0" name="confusion_matrix_best_model.png"/>
                    <pic:cNvPicPr/>
                  </pic:nvPicPr>
                  <pic:blipFill>
                    <a:blip r:embed="rId15"/>
                    <a:stretch>
                      <a:fillRect/>
                    </a:stretch>
                  </pic:blipFill>
                  <pic:spPr>
                    <a:xfrm>
                      <a:off x="0" y="0"/>
                      <a:ext cx="2606040" cy="2197130"/>
                    </a:xfrm>
                    <a:prstGeom prst="rect"/>
                  </pic:spPr>
                </pic:pic>
              </a:graphicData>
            </a:graphic>
          </wp:inline>
        </w:drawing>
      </w:r>
    </w:p>
    <w:p>
      <w:pPr>
        <w:spacing w:after="160"/>
        <w:jc w:val="center"/>
      </w:pPr>
      <w:r>
        <w:rPr>
          <w:rFonts w:ascii="Times New Roman" w:hAnsi="Times New Roman"/>
          <w:b w:val="0"/>
          <w:i/>
          <w:sz w:val="16"/>
        </w:rPr>
        <w:t>Fig. 7. Confusion matrix for Gradient Boosting on the held-out test set.</w:t>
      </w:r>
    </w:p>
    <w:p>
      <w:pPr>
        <w:spacing w:before="120" w:after="60"/>
        <w:jc w:val="left"/>
      </w:pPr>
      <w:r>
        <w:rPr>
          <w:rFonts w:ascii="Times New Roman" w:hAnsi="Times New Roman"/>
          <w:b/>
          <w:i/>
          <w:sz w:val="20"/>
        </w:rPr>
        <w:t>C. Discussion</w:t>
      </w:r>
    </w:p>
    <w:p>
      <w:pPr>
        <w:pStyle w:val="ListNumber"/>
        <w:spacing w:after="60"/>
      </w:pPr>
      <w:r>
        <w:rPr>
          <w:rFonts w:ascii="Times New Roman" w:hAnsi="Times New Roman"/>
          <w:b w:val="0"/>
          <w:i w:val="0"/>
          <w:sz w:val="20"/>
        </w:rPr>
        <w:t>Gradient Boosting achieved F1 = 0.8801 and ROC-AUC = 0.8873, the best results overall.</w:t>
      </w:r>
    </w:p>
    <w:p>
      <w:pPr>
        <w:pStyle w:val="ListNumber"/>
        <w:spacing w:after="60"/>
      </w:pPr>
      <w:r>
        <w:rPr>
          <w:rFonts w:ascii="Times New Roman" w:hAnsi="Times New Roman"/>
          <w:b w:val="0"/>
          <w:i w:val="0"/>
          <w:sz w:val="20"/>
        </w:rPr>
        <w:t>Decision Tree improved dramatically (F1: 0.791 to 0.867), demonstrating the importance of hyperparameter tuning.</w:t>
      </w:r>
    </w:p>
    <w:p>
      <w:pPr>
        <w:pStyle w:val="ListNumber"/>
        <w:spacing w:after="60"/>
      </w:pPr>
      <w:r>
        <w:rPr>
          <w:rFonts w:ascii="Times New Roman" w:hAnsi="Times New Roman"/>
          <w:b w:val="0"/>
          <w:i w:val="0"/>
          <w:sz w:val="20"/>
        </w:rPr>
        <w:t>All four models are competitive with F1 spanning 0.853-0.880.</w:t>
      </w:r>
    </w:p>
    <w:p>
      <w:pPr>
        <w:pStyle w:val="ListNumber"/>
        <w:spacing w:after="60"/>
      </w:pPr>
      <w:r>
        <w:rPr>
          <w:rFonts w:ascii="Times New Roman" w:hAnsi="Times New Roman"/>
          <w:b w:val="0"/>
          <w:i w:val="0"/>
          <w:sz w:val="20"/>
        </w:rPr>
        <w:t>Engineered features symbol_ratio and slash_dot_ratio appear in the top feature importances of tree-based models.</w:t>
      </w:r>
    </w:p>
    <w:p>
      <w:pPr>
        <w:pStyle w:val="ListNumber"/>
        <w:spacing w:after="60"/>
      </w:pPr>
      <w:r>
        <w:rPr>
          <w:rFonts w:ascii="Times New Roman" w:hAnsi="Times New Roman"/>
          <w:b w:val="0"/>
          <w:i w:val="0"/>
          <w:sz w:val="20"/>
        </w:rPr>
        <w:t>Results fall within or near the range reported by Awasthi (2022) and Alnemari (2023) for comparable classifiers on similar feature sets.</w:t>
      </w:r>
    </w:p>
    <w:p>
      <w:pPr>
        <w:spacing w:before="80" w:after="40"/>
        <w:jc w:val="center"/>
      </w:pPr>
      <w:r>
        <w:drawing>
          <wp:inline xmlns:a="http://schemas.openxmlformats.org/drawingml/2006/main" xmlns:pic="http://schemas.openxmlformats.org/drawingml/2006/picture">
            <wp:extent cx="2606040" cy="1275994"/>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2606040" cy="1275994"/>
                    </a:xfrm>
                    <a:prstGeom prst="rect"/>
                  </pic:spPr>
                </pic:pic>
              </a:graphicData>
            </a:graphic>
          </wp:inline>
        </w:drawing>
      </w:r>
    </w:p>
    <w:p>
      <w:pPr>
        <w:spacing w:after="160"/>
        <w:jc w:val="center"/>
      </w:pPr>
      <w:r>
        <w:rPr>
          <w:rFonts w:ascii="Times New Roman" w:hAnsi="Times New Roman"/>
          <w:b w:val="0"/>
          <w:i/>
          <w:sz w:val="16"/>
        </w:rPr>
        <w:t>Fig. 8. Top feature importances for Gradient Boosting (best model).</w:t>
      </w:r>
    </w:p>
    <w:p>
      <w:pPr>
        <w:spacing w:before="200" w:after="80"/>
        <w:jc w:val="center"/>
      </w:pPr>
      <w:r>
        <w:rPr>
          <w:rFonts w:ascii="Times New Roman" w:hAnsi="Times New Roman"/>
          <w:b/>
          <w:i w:val="0"/>
          <w:sz w:val="20"/>
        </w:rPr>
        <w:t>VI. DISCUSSION AND LIMITATIONS</w:t>
      </w:r>
    </w:p>
    <w:p>
      <w:pPr>
        <w:spacing w:before="0" w:after="100"/>
        <w:jc w:val="left"/>
      </w:pPr>
      <w:r>
        <w:rPr>
          <w:rFonts w:ascii="Times New Roman" w:hAnsi="Times New Roman"/>
          <w:b w:val="0"/>
          <w:i w:val="0"/>
          <w:sz w:val="20"/>
        </w:rPr>
        <w:t>This project uses URL lexical features augmented with six engineered indicators, which makes the method lightweight and fast. The engineered features, specifically the symbol density ratio, slash-to-dot ratio, and binary redirect and at-symbol flags, provide additional discriminative signals that complement the raw counts and benefit linear models that cannot learn such relationships on their own.</w:t>
      </w:r>
    </w:p>
    <w:p>
      <w:pPr>
        <w:spacing w:before="0" w:after="100"/>
        <w:jc w:val="left"/>
      </w:pPr>
      <w:r>
        <w:rPr>
          <w:rFonts w:ascii="Times New Roman" w:hAnsi="Times New Roman"/>
          <w:b w:val="0"/>
          <w:i w:val="0"/>
          <w:sz w:val="20"/>
        </w:rPr>
        <w:t>Even with feature engineering, lexical features alone may miss sophisticated phishing pages that use cleaner-looking URLs or rely on infrastructure-level deception. The compared studies that report higher accuracy generally use richer feature sets that include structural, host-based, or content-based attributes. The current pipeline intentionally limits itself to URL-text features for reproducibility and computational simplicity.</w:t>
      </w:r>
    </w:p>
    <w:p>
      <w:pPr>
        <w:spacing w:before="0" w:after="100"/>
        <w:jc w:val="left"/>
      </w:pPr>
      <w:r>
        <w:rPr>
          <w:rFonts w:ascii="Times New Roman" w:hAnsi="Times New Roman"/>
          <w:b w:val="0"/>
          <w:i w:val="0"/>
          <w:sz w:val="20"/>
        </w:rPr>
        <w:t>Another limitation is dataset freshness. A model trained on a static public dataset may not fully reflect the newest phishing strategies. The current pipeline does not inspect webpage content, WHOIS data, DNS signals, SSL information, or dynamic behavior. Real-world deployment would require external validation on more recent data.</w:t>
      </w:r>
    </w:p>
    <w:p>
      <w:pPr>
        <w:spacing w:before="0" w:after="100"/>
        <w:jc w:val="left"/>
      </w:pPr>
      <w:r>
        <w:rPr>
          <w:rFonts w:ascii="Times New Roman" w:hAnsi="Times New Roman"/>
          <w:b w:val="0"/>
          <w:i w:val="0"/>
          <w:sz w:val="20"/>
        </w:rPr>
        <w:t>The duplicate structure of the provided CSV is a notable limitation. Removing duplicates reduced the working dataset from 100,077 rows to 21,891 unique rows. Results from experiments that do not deduplicate may appear artificially stronger.</w:t>
      </w:r>
    </w:p>
    <w:p>
      <w:pPr>
        <w:spacing w:before="200" w:after="80"/>
        <w:jc w:val="center"/>
      </w:pPr>
      <w:r>
        <w:rPr>
          <w:rFonts w:ascii="Times New Roman" w:hAnsi="Times New Roman"/>
          <w:b/>
          <w:i w:val="0"/>
          <w:sz w:val="20"/>
        </w:rPr>
        <w:t>VII. CONCLUSION</w:t>
      </w:r>
    </w:p>
    <w:p>
      <w:pPr>
        <w:spacing w:before="0" w:after="100"/>
        <w:jc w:val="left"/>
      </w:pPr>
      <w:r>
        <w:rPr>
          <w:rFonts w:ascii="Times New Roman" w:hAnsi="Times New Roman"/>
          <w:b w:val="0"/>
          <w:i w:val="0"/>
          <w:sz w:val="20"/>
        </w:rPr>
        <w:t>This project demonstrates a complete machine learning workflow for phishing URL detection using a public dataset of lexical URL features augmented with six engineered indicators. After deduplication, experiments were conducted on 21,891 unique URL records. All four models were tuned via GridSearchCV, and hyperparameter optimization produced a substantial improvement in Decision Tree performance (F1: 0.791 to 0.867) and modest but consistent gains across the ensemble models.</w:t>
      </w:r>
    </w:p>
    <w:p>
      <w:pPr>
        <w:spacing w:before="0" w:after="100"/>
        <w:jc w:val="left"/>
      </w:pPr>
      <w:r>
        <w:rPr>
          <w:rFonts w:ascii="Times New Roman" w:hAnsi="Times New Roman"/>
          <w:b w:val="0"/>
          <w:i w:val="0"/>
          <w:sz w:val="20"/>
        </w:rPr>
        <w:t>Among the evaluated models, Gradient Boosting achieved the strongest overall test performance with 0.8198 accuracy, 0.8505 precision, 0.9118 recall, 0.8801 F1-score, and 0.8873 ROC-AUC. These results are consistent with Awasthi and Goel (2022) and Alnemari and Alshammari (2023), which report base-classifier accuracy in the 93-97% range on similar URL-structural feature sets.</w:t>
      </w:r>
    </w:p>
    <w:p>
      <w:pPr>
        <w:spacing w:before="0" w:after="100"/>
        <w:jc w:val="left"/>
      </w:pPr>
      <w:r>
        <w:rPr>
          <w:rFonts w:ascii="Times New Roman" w:hAnsi="Times New Roman"/>
          <w:b w:val="0"/>
          <w:i w:val="0"/>
          <w:sz w:val="20"/>
        </w:rPr>
        <w:t>URL lexical features combined with derived indicators can provide effective phishing detection without content-based inspection. Future work should validate the approach on newer datasets and expand the feature set with host, DNS, SSL, or content-based signals.</w:t>
      </w:r>
    </w:p>
    <w:p>
      <w:pPr>
        <w:spacing w:before="200" w:after="80"/>
        <w:jc w:val="center"/>
      </w:pPr>
      <w:r>
        <w:rPr>
          <w:rFonts w:ascii="Times New Roman" w:hAnsi="Times New Roman"/>
          <w:b/>
          <w:i w:val="0"/>
          <w:sz w:val="20"/>
        </w:rPr>
        <w:t>REFERENCES</w:t>
      </w:r>
    </w:p>
    <w:p>
      <w:pPr>
        <w:spacing w:before="0" w:after="40"/>
        <w:ind w:left="360" w:hanging="360"/>
        <w:jc w:val="left"/>
      </w:pPr>
      <w:r>
        <w:rPr>
          <w:rFonts w:ascii="Times New Roman" w:hAnsi="Times New Roman"/>
          <w:b w:val="0"/>
          <w:i w:val="0"/>
          <w:sz w:val="18"/>
        </w:rPr>
        <w:t>[1] Danielfernandon, "Web Page Phishing Dataset," Kaggle, 2023.</w:t>
      </w:r>
    </w:p>
    <w:p>
      <w:pPr>
        <w:spacing w:before="0" w:after="40"/>
        <w:ind w:left="360" w:hanging="360"/>
        <w:jc w:val="left"/>
      </w:pPr>
      <w:r>
        <w:rPr>
          <w:rFonts w:ascii="Times New Roman" w:hAnsi="Times New Roman"/>
          <w:b w:val="0"/>
          <w:i w:val="0"/>
          <w:sz w:val="18"/>
        </w:rPr>
        <w:t>[2] A. Blum, B. Wardman, T. Solorio, and G. Warner, "Lexical feature based phishing URL detection using online learning," in Proc. 3rd ACM Workshop on AI and Security, 2010, pp. 54-60.</w:t>
      </w:r>
    </w:p>
    <w:p>
      <w:pPr>
        <w:spacing w:before="0" w:after="40"/>
        <w:ind w:left="360" w:hanging="360"/>
        <w:jc w:val="left"/>
      </w:pPr>
      <w:r>
        <w:rPr>
          <w:rFonts w:ascii="Times New Roman" w:hAnsi="Times New Roman"/>
          <w:b w:val="0"/>
          <w:i w:val="0"/>
          <w:sz w:val="18"/>
        </w:rPr>
        <w:t>[3] O. K. Sahingoz, E. Buber, O. Demir, and B. Diri, "Machine learning based phishing detection from URLs," Expert Systems with Applications, vol. 117, pp. 345-357, 2019.</w:t>
      </w:r>
    </w:p>
    <w:p>
      <w:pPr>
        <w:spacing w:before="0" w:after="40"/>
        <w:ind w:left="360" w:hanging="360"/>
        <w:jc w:val="left"/>
      </w:pPr>
      <w:r>
        <w:rPr>
          <w:rFonts w:ascii="Times New Roman" w:hAnsi="Times New Roman"/>
          <w:b w:val="0"/>
          <w:i w:val="0"/>
          <w:sz w:val="18"/>
        </w:rPr>
        <w:t>[4] A. Awasthi and N. Goel, "Phishing website prediction using base and ensemble classifier techniques with cross-validation," Cybersecurity, vol. 5, no. 1, p. 22, 2022.</w:t>
      </w:r>
    </w:p>
    <w:p>
      <w:pPr>
        <w:spacing w:before="0" w:after="40"/>
        <w:ind w:left="360" w:hanging="360"/>
        <w:jc w:val="left"/>
      </w:pPr>
      <w:r>
        <w:rPr>
          <w:rFonts w:ascii="Times New Roman" w:hAnsi="Times New Roman"/>
          <w:b w:val="0"/>
          <w:i w:val="0"/>
          <w:sz w:val="18"/>
        </w:rPr>
        <w:t>[5] S. Alnemari and M. Alshammari, "Detecting phishing domains using machine learning," Applied Sciences, vol. 13, no. 8, p. 4649, 2023.</w:t>
      </w:r>
    </w:p>
    <w:sectPr w:rsidR="00FC693F" w:rsidRPr="0006063C" w:rsidSect="00034616">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