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Arctic Q1 Project</w:t>
      </w:r>
    </w:p>
    <w:p>
      <w:pPr>
        <w:jc w:val="center"/>
      </w:pPr>
      <w:r>
        <w:rPr>
          <w:b/>
          <w:sz w:val="28"/>
        </w:rPr>
        <w:t>Results Interpretation Memo v1</w:t>
      </w:r>
    </w:p>
    <w:p>
      <w:pPr>
        <w:jc w:val="center"/>
      </w:pPr>
      <w:r>
        <w:rPr>
          <w:i/>
          <w:sz w:val="20"/>
        </w:rPr>
        <w:t>From Melting Ice to Alliance Security: Strategic Framing, NATO Exposure, and Military Burden in the Arctic</w:t>
      </w:r>
    </w:p>
    <w:p>
      <w:pPr>
        <w:pStyle w:val="Heading1"/>
      </w:pPr>
      <w:r>
        <w:t>1. Ana karar: hipotez revizyonu gerekli</w:t>
      </w:r>
    </w:p>
    <w:p>
      <w:r>
        <w:rPr>
          <w:b/>
        </w:rPr>
        <w:t xml:space="preserve">Mevcut ön model taraması, çalışmanın başlangıçtaki “deniz buzu azalması doğrudan askerileşmeyi artırır” iddiasını güçlü biçimde desteklemiyor. </w:t>
      </w:r>
      <w:r>
        <w:t>Sea-ice decline katsayısı ana modellerde istikrarlı ve anlamlı değil. Buna karşılık 2022 Rusya-Ukrayna savaşı sonrası dönem değişkeni, askerî yük üzerinde en tutarlı pozitif sinyal olarak görünüyor. Bu nedenle makalenin ana iddiası basit çevresel determinizmden çıkarılmalı ve post-2022 ittifak güvenliği, stratejik çerçeveleme ve tehdit algısı dönüşümüne taşınmalı.</w:t>
      </w:r>
    </w:p>
    <w:p>
      <w:r>
        <w:rPr>
          <w:b/>
        </w:rPr>
        <w:t xml:space="preserve">Revize ana argüman: </w:t>
      </w:r>
      <w:r>
        <w:t>Arktik’te iklim değişimi güvenlik davranışını otomatik olarak üretmez; deniz buzu kaybı ve enerji erişilebilirliği ancak 2022 sonrası bozulan Avrupa güvenlik mimarisi, Rusya tehdidi söylemi ve NATO-merkezli ittifak çerçevesi içinde askerî yüke dönüşür.</w:t>
      </w:r>
    </w:p>
    <w:p>
      <w:pPr>
        <w:pStyle w:val="Heading1"/>
      </w:pPr>
      <w:r>
        <w:t>2. Model bulgularının kısa özeti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Bulgular</w:t>
            </w:r>
          </w:p>
        </w:tc>
        <w:tc>
          <w:tcPr>
            <w:tcW w:type="dxa" w:w="2520"/>
            <w:vAlign w:val="center"/>
            <w:shd w:fill="D9EAF7"/>
          </w:tcPr>
          <w:p>
            <w:r/>
            <w:r>
              <w:rPr>
                <w:b/>
                <w:sz w:val="18"/>
              </w:rPr>
              <w:t>Veri sinyali</w:t>
            </w:r>
          </w:p>
        </w:tc>
        <w:tc>
          <w:tcPr>
            <w:tcW w:type="dxa" w:w="2520"/>
            <w:vAlign w:val="center"/>
            <w:shd w:fill="D9EAF7"/>
          </w:tcPr>
          <w:p>
            <w:r/>
            <w:r>
              <w:rPr>
                <w:b/>
                <w:sz w:val="18"/>
              </w:rPr>
              <w:t>Makale yorumu</w:t>
            </w:r>
          </w:p>
        </w:tc>
        <w:tc>
          <w:tcPr>
            <w:tcW w:type="dxa" w:w="2520"/>
            <w:vAlign w:val="center"/>
            <w:shd w:fill="D9EAF7"/>
          </w:tcPr>
          <w:p>
            <w:r/>
            <w:r>
              <w:rPr>
                <w:b/>
                <w:sz w:val="18"/>
              </w:rPr>
              <w:t>Teorik sonuç</w:t>
            </w:r>
          </w:p>
        </w:tc>
      </w:tr>
      <w:tr>
        <w:tc>
          <w:tcPr>
            <w:tcW w:type="dxa" w:w="2520"/>
            <w:vAlign w:val="center"/>
          </w:tcPr>
          <w:p>
            <w:r/>
            <w:r>
              <w:rPr>
                <w:b w:val="0"/>
                <w:sz w:val="18"/>
              </w:rPr>
              <w:t>Post-2022 war</w:t>
            </w:r>
          </w:p>
        </w:tc>
        <w:tc>
          <w:tcPr>
            <w:tcW w:type="dxa" w:w="2520"/>
            <w:vAlign w:val="center"/>
          </w:tcPr>
          <w:p>
            <w:r/>
            <w:r>
              <w:rPr>
                <w:b w:val="0"/>
                <w:sz w:val="18"/>
              </w:rPr>
              <w:t>Pozitif ve istikrarlı; ana modelde yaklaşık 0.69 ve anlamlı.</w:t>
            </w:r>
          </w:p>
        </w:tc>
        <w:tc>
          <w:tcPr>
            <w:tcW w:type="dxa" w:w="2520"/>
            <w:vAlign w:val="center"/>
          </w:tcPr>
          <w:p>
            <w:r/>
            <w:r>
              <w:rPr>
                <w:b w:val="0"/>
                <w:sz w:val="18"/>
              </w:rPr>
              <w:t>Ana ampirik kırılma noktası olarak kullanılmalı.</w:t>
            </w:r>
          </w:p>
        </w:tc>
        <w:tc>
          <w:tcPr>
            <w:tcW w:type="dxa" w:w="2520"/>
            <w:vAlign w:val="center"/>
          </w:tcPr>
          <w:p>
            <w:r/>
            <w:r>
              <w:rPr>
                <w:b w:val="0"/>
                <w:sz w:val="18"/>
              </w:rPr>
              <w:t>Arktik askerîleşmesi iklimden çok savaş sonrası güvenlik şoku ile hızlanıyor.</w:t>
            </w:r>
          </w:p>
        </w:tc>
      </w:tr>
      <w:tr>
        <w:tc>
          <w:tcPr>
            <w:tcW w:type="dxa" w:w="2520"/>
            <w:vAlign w:val="center"/>
          </w:tcPr>
          <w:p>
            <w:r/>
            <w:r>
              <w:rPr>
                <w:b w:val="0"/>
                <w:sz w:val="18"/>
              </w:rPr>
              <w:t>Sea-ice decline</w:t>
            </w:r>
          </w:p>
        </w:tc>
        <w:tc>
          <w:tcPr>
            <w:tcW w:type="dxa" w:w="2520"/>
            <w:vAlign w:val="center"/>
          </w:tcPr>
          <w:p>
            <w:r/>
            <w:r>
              <w:rPr>
                <w:b w:val="0"/>
                <w:sz w:val="18"/>
              </w:rPr>
              <w:t>İşaret ve anlamlılık istikrarlı değil.</w:t>
            </w:r>
          </w:p>
        </w:tc>
        <w:tc>
          <w:tcPr>
            <w:tcW w:type="dxa" w:w="2520"/>
            <w:vAlign w:val="center"/>
          </w:tcPr>
          <w:p>
            <w:r/>
            <w:r>
              <w:rPr>
                <w:b w:val="0"/>
                <w:sz w:val="18"/>
              </w:rPr>
              <w:t>Ana nedensel değişken olarak abartılmamalı.</w:t>
            </w:r>
          </w:p>
        </w:tc>
        <w:tc>
          <w:tcPr>
            <w:tcW w:type="dxa" w:w="2520"/>
            <w:vAlign w:val="center"/>
          </w:tcPr>
          <w:p>
            <w:r/>
            <w:r>
              <w:rPr>
                <w:b w:val="0"/>
                <w:sz w:val="18"/>
              </w:rPr>
              <w:t>İklim değişimi doğrudan değil, stratejik bağlam üzerinden güvenlikleşiyor.</w:t>
            </w:r>
          </w:p>
        </w:tc>
      </w:tr>
      <w:tr>
        <w:tc>
          <w:tcPr>
            <w:tcW w:type="dxa" w:w="2520"/>
            <w:vAlign w:val="center"/>
          </w:tcPr>
          <w:p>
            <w:r/>
            <w:r>
              <w:rPr>
                <w:b w:val="0"/>
                <w:sz w:val="18"/>
              </w:rPr>
              <w:t>Energy price index</w:t>
            </w:r>
          </w:p>
        </w:tc>
        <w:tc>
          <w:tcPr>
            <w:tcW w:type="dxa" w:w="2520"/>
            <w:vAlign w:val="center"/>
          </w:tcPr>
          <w:p>
            <w:r/>
            <w:r>
              <w:rPr>
                <w:b w:val="0"/>
                <w:sz w:val="18"/>
              </w:rPr>
              <w:t>Doğrudan etki zayıf; etkileşim modeli güçlü sinyal vermiyor.</w:t>
            </w:r>
          </w:p>
        </w:tc>
        <w:tc>
          <w:tcPr>
            <w:tcW w:type="dxa" w:w="2520"/>
            <w:vAlign w:val="center"/>
          </w:tcPr>
          <w:p>
            <w:r/>
            <w:r>
              <w:rPr>
                <w:b w:val="0"/>
                <w:sz w:val="18"/>
              </w:rPr>
              <w:t>Teorik kontrol ve mekanizma testi olarak kalmalı.</w:t>
            </w:r>
          </w:p>
        </w:tc>
        <w:tc>
          <w:tcPr>
            <w:tcW w:type="dxa" w:w="2520"/>
            <w:vAlign w:val="center"/>
          </w:tcPr>
          <w:p>
            <w:r/>
            <w:r>
              <w:rPr>
                <w:b w:val="0"/>
                <w:sz w:val="18"/>
              </w:rPr>
              <w:t>Enerji değeri tek başına askerî yükü açıklamıyor.</w:t>
            </w:r>
          </w:p>
        </w:tc>
      </w:tr>
      <w:tr>
        <w:tc>
          <w:tcPr>
            <w:tcW w:type="dxa" w:w="2520"/>
            <w:vAlign w:val="center"/>
          </w:tcPr>
          <w:p>
            <w:r/>
            <w:r>
              <w:rPr>
                <w:b w:val="0"/>
                <w:sz w:val="18"/>
              </w:rPr>
              <w:t>Post-2022 × NATO</w:t>
            </w:r>
          </w:p>
        </w:tc>
        <w:tc>
          <w:tcPr>
            <w:tcW w:type="dxa" w:w="2520"/>
            <w:vAlign w:val="center"/>
          </w:tcPr>
          <w:p>
            <w:r/>
            <w:r>
              <w:rPr>
                <w:b w:val="0"/>
                <w:sz w:val="18"/>
              </w:rPr>
              <w:t>Teorik olarak önemli; istatistiksel olarak net değil.</w:t>
            </w:r>
          </w:p>
        </w:tc>
        <w:tc>
          <w:tcPr>
            <w:tcW w:type="dxa" w:w="2520"/>
            <w:vAlign w:val="center"/>
          </w:tcPr>
          <w:p>
            <w:r/>
            <w:r>
              <w:rPr>
                <w:b w:val="0"/>
                <w:sz w:val="18"/>
              </w:rPr>
              <w:t>NATO dummy yerine NATO/Alliance framing daha anlamlı.</w:t>
            </w:r>
          </w:p>
        </w:tc>
        <w:tc>
          <w:tcPr>
            <w:tcW w:type="dxa" w:w="2520"/>
            <w:vAlign w:val="center"/>
          </w:tcPr>
          <w:p>
            <w:r/>
            <w:r>
              <w:rPr>
                <w:b w:val="0"/>
                <w:sz w:val="18"/>
              </w:rPr>
              <w:t>İttifak etkisi kurumsal üyelikten çok stratejik söylemde görünür.</w:t>
            </w:r>
          </w:p>
        </w:tc>
      </w:tr>
      <w:tr>
        <w:tc>
          <w:tcPr>
            <w:tcW w:type="dxa" w:w="2520"/>
            <w:vAlign w:val="center"/>
          </w:tcPr>
          <w:p>
            <w:r/>
            <w:r>
              <w:rPr>
                <w:b w:val="0"/>
                <w:sz w:val="18"/>
              </w:rPr>
              <w:t>Russia threat framing</w:t>
            </w:r>
          </w:p>
        </w:tc>
        <w:tc>
          <w:tcPr>
            <w:tcW w:type="dxa" w:w="2520"/>
            <w:vAlign w:val="center"/>
          </w:tcPr>
          <w:p>
            <w:r/>
            <w:r>
              <w:rPr>
                <w:b w:val="0"/>
                <w:sz w:val="18"/>
              </w:rPr>
              <w:t>Content modellerinde en güçlü pozitif mekanizma sinyali.</w:t>
            </w:r>
          </w:p>
        </w:tc>
        <w:tc>
          <w:tcPr>
            <w:tcW w:type="dxa" w:w="2520"/>
            <w:vAlign w:val="center"/>
          </w:tcPr>
          <w:p>
            <w:r/>
            <w:r>
              <w:rPr>
                <w:b w:val="0"/>
                <w:sz w:val="18"/>
              </w:rPr>
              <w:t>Mekanizma tablosunda merkezi değişken yapılmalı.</w:t>
            </w:r>
          </w:p>
        </w:tc>
        <w:tc>
          <w:tcPr>
            <w:tcW w:type="dxa" w:w="2520"/>
            <w:vAlign w:val="center"/>
          </w:tcPr>
          <w:p>
            <w:r/>
            <w:r>
              <w:rPr>
                <w:b w:val="0"/>
                <w:sz w:val="18"/>
              </w:rPr>
              <w:t>Askerî yük artışı, Rusya tehdidinin stratejik belgelerde güvenlikleştirilmesiyle açıklanabilir.</w:t>
            </w:r>
          </w:p>
        </w:tc>
      </w:tr>
    </w:tbl>
    <w:p>
      <w:pPr>
        <w:pStyle w:val="Heading1"/>
      </w:pPr>
      <w:r>
        <w:t>3. Ana model tablosu nasıl okunmalı?</w:t>
      </w:r>
    </w:p>
    <w:p>
      <w:r>
        <w:rPr>
          <w:b/>
        </w:rPr>
        <w:t xml:space="preserve">Ana panel modelleri </w:t>
      </w:r>
      <w:r>
        <w:t>2000-2024 döneminde 8 Arktik ülkesini kapsıyor ve bağımlı değişken olarak askerî harcamanın GSYH içindeki payını kullanıyor. Ülke sabit etkileri var; yıl sabit etkileri yok. Bu karar bilinçli: deniz buzu ve enerji fiyatları tüm ülkeler için ortak yıllık değişkenler olduğu için year fixed effects kullanılırsa bu değişkenler model tarafından emilir.</w:t>
      </w:r>
    </w:p>
    <w:p>
      <w:r>
        <w:rPr>
          <w:b/>
        </w:rPr>
        <w:t xml:space="preserve">En güvenilir ana sonuç: </w:t>
      </w:r>
      <w:r>
        <w:t>Post-2022 değişkeni, model ailesi içinde en sağlam pozitif işareti veriyor. Bu, 2022 sonrasının Arktik güvenlik gündeminde yapısal kırılma yarattığı tezini destekler. Ancak bu sonuç “savaş çıktı, harcama arttı” gibi mekanik bir yorumla bırakılmamalı; içerik analizi ile birlikte “savaş sonrası tehdit çerçevesi ve ittifak güvenliği söylemi” üzerinden açıklanmalı.</w:t>
      </w:r>
    </w:p>
    <w:p>
      <w:pPr>
        <w:pStyle w:val="Heading1"/>
      </w:pPr>
      <w:r>
        <w:t>4. İçerik analizi bulgularının rolü</w:t>
      </w:r>
    </w:p>
    <w:p>
      <w:r>
        <w:rPr>
          <w:b/>
        </w:rPr>
        <w:t xml:space="preserve">İçerik modelleri ana nedensel test değil, mekanizma kanıtıdır. </w:t>
      </w:r>
      <w:r>
        <w:t>Bu katmanda SCFI, NAFI, Russia Threat, Resilience ve Critical Infrastructure skorları belge düzeyindeki stratejik çerçevelemeyi ölçer. Küçük örneklem nedeniyle bu modeller aşırı yorumlanmamalıdır. Yine de Russia Threat ve Critical Infrastructure skorlarının güçlü pozitif sinyal vermesi, 2022 sonrası askerîleşmenin stratejik belgelerde tehdit, dirençlilik, kritik altyapı ve ittifak çerçevesiyle birlikte işlendiğini gösterir.</w:t>
      </w:r>
    </w:p>
    <w:p>
      <w:pPr>
        <w:pStyle w:val="Heading1"/>
      </w:pPr>
      <w:r>
        <w:t>5. Makalede kullanılacak model mimarisi</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2F0D9"/>
          </w:tcPr>
          <w:p>
            <w:r/>
            <w:r>
              <w:rPr>
                <w:b/>
                <w:sz w:val="18"/>
              </w:rPr>
              <w:t>Tablo</w:t>
            </w:r>
          </w:p>
        </w:tc>
        <w:tc>
          <w:tcPr>
            <w:tcW w:type="dxa" w:w="2016"/>
            <w:vAlign w:val="center"/>
            <w:shd w:fill="E2F0D9"/>
          </w:tcPr>
          <w:p>
            <w:r/>
            <w:r>
              <w:rPr>
                <w:b/>
                <w:sz w:val="18"/>
              </w:rPr>
              <w:t>Model grubu</w:t>
            </w:r>
          </w:p>
        </w:tc>
        <w:tc>
          <w:tcPr>
            <w:tcW w:type="dxa" w:w="2016"/>
            <w:vAlign w:val="center"/>
            <w:shd w:fill="E2F0D9"/>
          </w:tcPr>
          <w:p>
            <w:r/>
            <w:r>
              <w:rPr>
                <w:b/>
                <w:sz w:val="18"/>
              </w:rPr>
              <w:t>Amaç</w:t>
            </w:r>
          </w:p>
        </w:tc>
        <w:tc>
          <w:tcPr>
            <w:tcW w:type="dxa" w:w="2016"/>
            <w:vAlign w:val="center"/>
            <w:shd w:fill="E2F0D9"/>
          </w:tcPr>
          <w:p>
            <w:r/>
            <w:r>
              <w:rPr>
                <w:b/>
                <w:sz w:val="18"/>
              </w:rPr>
              <w:t>Kullanım</w:t>
            </w:r>
          </w:p>
        </w:tc>
        <w:tc>
          <w:tcPr>
            <w:tcW w:type="dxa" w:w="2016"/>
            <w:vAlign w:val="center"/>
            <w:shd w:fill="E2F0D9"/>
          </w:tcPr>
          <w:p>
            <w:r/>
            <w:r>
              <w:rPr>
                <w:b/>
                <w:sz w:val="18"/>
              </w:rPr>
              <w:t>Uyarı</w:t>
            </w:r>
          </w:p>
        </w:tc>
      </w:tr>
      <w:tr>
        <w:tc>
          <w:tcPr>
            <w:tcW w:type="dxa" w:w="2016"/>
            <w:vAlign w:val="center"/>
          </w:tcPr>
          <w:p>
            <w:r/>
            <w:r>
              <w:rPr>
                <w:b w:val="0"/>
                <w:sz w:val="18"/>
              </w:rPr>
              <w:t>Table 1</w:t>
            </w:r>
          </w:p>
        </w:tc>
        <w:tc>
          <w:tcPr>
            <w:tcW w:type="dxa" w:w="2016"/>
            <w:vAlign w:val="center"/>
          </w:tcPr>
          <w:p>
            <w:r/>
            <w:r>
              <w:rPr>
                <w:b w:val="0"/>
                <w:sz w:val="18"/>
              </w:rPr>
              <w:t>Full Arctic Eight panel</w:t>
            </w:r>
          </w:p>
        </w:tc>
        <w:tc>
          <w:tcPr>
            <w:tcW w:type="dxa" w:w="2016"/>
            <w:vAlign w:val="center"/>
          </w:tcPr>
          <w:p>
            <w:r/>
            <w:r>
              <w:rPr>
                <w:b w:val="0"/>
                <w:sz w:val="18"/>
              </w:rPr>
              <w:t>Ana maddi davranış testi</w:t>
            </w:r>
          </w:p>
        </w:tc>
        <w:tc>
          <w:tcPr>
            <w:tcW w:type="dxa" w:w="2016"/>
            <w:vAlign w:val="center"/>
          </w:tcPr>
          <w:p>
            <w:r/>
            <w:r>
              <w:rPr>
                <w:b w:val="0"/>
                <w:sz w:val="18"/>
              </w:rPr>
              <w:t>Ana metin</w:t>
            </w:r>
          </w:p>
        </w:tc>
        <w:tc>
          <w:tcPr>
            <w:tcW w:type="dxa" w:w="2016"/>
            <w:vAlign w:val="center"/>
          </w:tcPr>
          <w:p>
            <w:r/>
            <w:r>
              <w:rPr>
                <w:b w:val="0"/>
                <w:sz w:val="18"/>
              </w:rPr>
              <w:t>Year FE yok; ülke FE var.</w:t>
            </w:r>
          </w:p>
        </w:tc>
      </w:tr>
      <w:tr>
        <w:tc>
          <w:tcPr>
            <w:tcW w:type="dxa" w:w="2016"/>
            <w:vAlign w:val="center"/>
          </w:tcPr>
          <w:p>
            <w:r/>
            <w:r>
              <w:rPr>
                <w:b w:val="0"/>
                <w:sz w:val="18"/>
              </w:rPr>
              <w:t>Table 2</w:t>
            </w:r>
          </w:p>
        </w:tc>
        <w:tc>
          <w:tcPr>
            <w:tcW w:type="dxa" w:w="2016"/>
            <w:vAlign w:val="center"/>
          </w:tcPr>
          <w:p>
            <w:r/>
            <w:r>
              <w:rPr>
                <w:b w:val="0"/>
                <w:sz w:val="18"/>
              </w:rPr>
              <w:t>Robustness</w:t>
            </w:r>
          </w:p>
        </w:tc>
        <w:tc>
          <w:tcPr>
            <w:tcW w:type="dxa" w:w="2016"/>
            <w:vAlign w:val="center"/>
          </w:tcPr>
          <w:p>
            <w:r/>
            <w:r>
              <w:rPr>
                <w:b w:val="0"/>
                <w:sz w:val="18"/>
              </w:rPr>
              <w:t>Iceland hariç, Russia hariç, Coastal Five, NATO states, lagged variables</w:t>
            </w:r>
          </w:p>
        </w:tc>
        <w:tc>
          <w:tcPr>
            <w:tcW w:type="dxa" w:w="2016"/>
            <w:vAlign w:val="center"/>
          </w:tcPr>
          <w:p>
            <w:r/>
            <w:r>
              <w:rPr>
                <w:b w:val="0"/>
                <w:sz w:val="18"/>
              </w:rPr>
              <w:t>Ek/ana metin kısa özet</w:t>
            </w:r>
          </w:p>
        </w:tc>
        <w:tc>
          <w:tcPr>
            <w:tcW w:type="dxa" w:w="2016"/>
            <w:vAlign w:val="center"/>
          </w:tcPr>
          <w:p>
            <w:r/>
            <w:r>
              <w:rPr>
                <w:b w:val="0"/>
                <w:sz w:val="18"/>
              </w:rPr>
              <w:t>Küçük alt örneklemler dikkatli yorumlanmalı.</w:t>
            </w:r>
          </w:p>
        </w:tc>
      </w:tr>
      <w:tr>
        <w:tc>
          <w:tcPr>
            <w:tcW w:type="dxa" w:w="2016"/>
            <w:vAlign w:val="center"/>
          </w:tcPr>
          <w:p>
            <w:r/>
            <w:r>
              <w:rPr>
                <w:b w:val="0"/>
                <w:sz w:val="18"/>
              </w:rPr>
              <w:t>Table 3</w:t>
            </w:r>
          </w:p>
        </w:tc>
        <w:tc>
          <w:tcPr>
            <w:tcW w:type="dxa" w:w="2016"/>
            <w:vAlign w:val="center"/>
          </w:tcPr>
          <w:p>
            <w:r/>
            <w:r>
              <w:rPr>
                <w:b w:val="0"/>
                <w:sz w:val="18"/>
              </w:rPr>
              <w:t>Content-mechanism models</w:t>
            </w:r>
          </w:p>
        </w:tc>
        <w:tc>
          <w:tcPr>
            <w:tcW w:type="dxa" w:w="2016"/>
            <w:vAlign w:val="center"/>
          </w:tcPr>
          <w:p>
            <w:r/>
            <w:r>
              <w:rPr>
                <w:b w:val="0"/>
                <w:sz w:val="18"/>
              </w:rPr>
              <w:t>Stratejik belge çerçeveleme mekanizması</w:t>
            </w:r>
          </w:p>
        </w:tc>
        <w:tc>
          <w:tcPr>
            <w:tcW w:type="dxa" w:w="2016"/>
            <w:vAlign w:val="center"/>
          </w:tcPr>
          <w:p>
            <w:r/>
            <w:r>
              <w:rPr>
                <w:b w:val="0"/>
                <w:sz w:val="18"/>
              </w:rPr>
              <w:t>Ana metin veya appendix</w:t>
            </w:r>
          </w:p>
        </w:tc>
        <w:tc>
          <w:tcPr>
            <w:tcW w:type="dxa" w:w="2016"/>
            <w:vAlign w:val="center"/>
          </w:tcPr>
          <w:p>
            <w:r/>
            <w:r>
              <w:rPr>
                <w:b w:val="0"/>
                <w:sz w:val="18"/>
              </w:rPr>
              <w:t>41 gözlem; nedensellik değil mekanizma kanıtı.</w:t>
            </w:r>
          </w:p>
        </w:tc>
      </w:tr>
      <w:tr>
        <w:tc>
          <w:tcPr>
            <w:tcW w:type="dxa" w:w="2016"/>
            <w:vAlign w:val="center"/>
          </w:tcPr>
          <w:p>
            <w:r/>
            <w:r>
              <w:rPr>
                <w:b w:val="0"/>
                <w:sz w:val="18"/>
              </w:rPr>
              <w:t>Figure 1</w:t>
            </w:r>
          </w:p>
        </w:tc>
        <w:tc>
          <w:tcPr>
            <w:tcW w:type="dxa" w:w="2016"/>
            <w:vAlign w:val="center"/>
          </w:tcPr>
          <w:p>
            <w:r/>
            <w:r>
              <w:rPr>
                <w:b w:val="0"/>
                <w:sz w:val="18"/>
              </w:rPr>
              <w:t>Descriptive trends</w:t>
            </w:r>
          </w:p>
        </w:tc>
        <w:tc>
          <w:tcPr>
            <w:tcW w:type="dxa" w:w="2016"/>
            <w:vAlign w:val="center"/>
          </w:tcPr>
          <w:p>
            <w:r/>
            <w:r>
              <w:rPr>
                <w:b w:val="0"/>
                <w:sz w:val="18"/>
              </w:rPr>
              <w:t>Military burden, post-2022 kırılması, sea ice trend</w:t>
            </w:r>
          </w:p>
        </w:tc>
        <w:tc>
          <w:tcPr>
            <w:tcW w:type="dxa" w:w="2016"/>
            <w:vAlign w:val="center"/>
          </w:tcPr>
          <w:p>
            <w:r/>
            <w:r>
              <w:rPr>
                <w:b w:val="0"/>
                <w:sz w:val="18"/>
              </w:rPr>
              <w:t>Ana metin</w:t>
            </w:r>
          </w:p>
        </w:tc>
        <w:tc>
          <w:tcPr>
            <w:tcW w:type="dxa" w:w="2016"/>
            <w:vAlign w:val="center"/>
          </w:tcPr>
          <w:p>
            <w:r/>
            <w:r>
              <w:rPr>
                <w:b w:val="0"/>
                <w:sz w:val="18"/>
              </w:rPr>
              <w:t>Grafik nedensel kanıt değil.</w:t>
            </w:r>
          </w:p>
        </w:tc>
      </w:tr>
    </w:tbl>
    <w:p>
      <w:pPr>
        <w:pStyle w:val="Heading1"/>
      </w:pPr>
      <w:r>
        <w:t>6. Revize hipotez seti</w:t>
      </w:r>
    </w:p>
    <w:p>
      <w:r>
        <w:rPr>
          <w:b/>
        </w:rPr>
        <w:t xml:space="preserve">H1 – çevresel erişilebilirlik: </w:t>
      </w:r>
      <w:r>
        <w:t>Arktik deniz buzu azalması, tek başına askerî yük artışını açıklamakta yetersizdir; etkisi güvenlik bağlamına koşulludur.</w:t>
      </w:r>
    </w:p>
    <w:p>
      <w:r>
        <w:rPr>
          <w:b/>
        </w:rPr>
        <w:t xml:space="preserve">H2 – savaş sonrası kırılma: </w:t>
      </w:r>
      <w:r>
        <w:t>2022 sonrası dönemde Arktik devletlerinde askerî yük artışı daha belirgindir.</w:t>
      </w:r>
    </w:p>
    <w:p>
      <w:r>
        <w:rPr>
          <w:b/>
        </w:rPr>
        <w:t xml:space="preserve">H3 – stratejik tehdit çerçevesi: </w:t>
      </w:r>
      <w:r>
        <w:t>Rusya tehdidi, güvenlik, kritik altyapı ve dirençlilik çerçeveleri yüksek olan belgeler, daha yüksek askerî yük ile ilişkilidir.</w:t>
      </w:r>
    </w:p>
    <w:p>
      <w:r>
        <w:rPr>
          <w:b/>
        </w:rPr>
        <w:t xml:space="preserve">H4 – ittifak güvenliği: </w:t>
      </w:r>
      <w:r>
        <w:t>NATO/Alliance framing, üyelik dummy’sinden daha anlamlı bir mekanizma göstergesidir; ittifak güvenliği söylemi askerî yük artışının siyasal çerçevesini sağlar.</w:t>
      </w:r>
    </w:p>
    <w:p>
      <w:pPr>
        <w:pStyle w:val="Heading1"/>
      </w:pPr>
      <w:r>
        <w:t>7. Q1 düzeyi için kritik metodolojik uyarılar</w:t>
      </w:r>
    </w:p>
    <w:p>
      <w:pPr>
        <w:pStyle w:val="ListBullet"/>
      </w:pPr>
      <w:r>
        <w:t>Sea-ice decline değişkenini ana nedensel motor gibi sunmak zayıf olur; mevcut veride doğrudan etki desteklenmiyor.</w:t>
      </w:r>
    </w:p>
    <w:p>
      <w:pPr>
        <w:pStyle w:val="ListBullet"/>
      </w:pPr>
      <w:r>
        <w:t>NATO membership dummy çok kaba bir ölçümdür; NATO/Alliance Framing ve post-NATO belge ayrımı daha teorik olarak savunulabilir.</w:t>
      </w:r>
    </w:p>
    <w:p>
      <w:pPr>
        <w:pStyle w:val="ListBullet"/>
      </w:pPr>
      <w:r>
        <w:t>Genel savunma/güvenlik belgeleri Arctic-specific strateji gibi kodlanmamalı; security/alliance supplement katmanı olarak tutulmalı.</w:t>
      </w:r>
    </w:p>
    <w:p>
      <w:pPr>
        <w:pStyle w:val="ListBullet"/>
      </w:pPr>
      <w:r>
        <w:t>Rusya dahil/hariç sonuçlar mutlaka raporlanmalı; Rusya hem aktör hem yapısal outlier’dır.</w:t>
      </w:r>
    </w:p>
    <w:p>
      <w:pPr>
        <w:pStyle w:val="ListBullet"/>
      </w:pPr>
      <w:r>
        <w:t>İzlanda özel vakadır; ordusu olmayan NATO üyesi olduğu için robustness testinde hariç bırakılan model korunmalı.</w:t>
      </w:r>
    </w:p>
    <w:p>
      <w:pPr>
        <w:pStyle w:val="Heading1"/>
      </w:pPr>
      <w:r>
        <w:t>8. Sonraki aşama</w:t>
      </w:r>
    </w:p>
    <w:p>
      <w:r>
        <w:rPr>
          <w:b/>
        </w:rPr>
        <w:t xml:space="preserve">Bir sonraki dosya: </w:t>
      </w:r>
      <w:r>
        <w:t>makalenin Results + Discussion taslak bölümü hazırlanmalı. Bu bölümde önce ana panel bulguları, sonra robustness kontrolleri, ardından içerik analizi mekanizması birlikte yorumlanacak. Ana anlatı şu çizgide kurulmalı: “Post-2022 security shock is the robust empirical breakpoint; strategic framing explains how this shock enters Arctic military burden.”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Arctic Q1 Project – Results Interpretation Memo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