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From Melting Ice to Alliance Security</w:t>
      </w:r>
    </w:p>
    <w:p>
      <w:pPr>
        <w:jc w:val="center"/>
      </w:pPr>
      <w:r>
        <w:rPr>
          <w:i/>
          <w:sz w:val="24"/>
        </w:rPr>
        <w:t>Strategic Framing, NATO Exposure, and Military Burden in the Arctic</w:t>
      </w:r>
    </w:p>
    <w:p>
      <w:pPr>
        <w:jc w:val="center"/>
      </w:pPr>
      <w:r>
        <w:t>Manuscript draft prepared for journal review. Tables and models are generated from the accompanying Python replication package.</w:t>
      </w:r>
    </w:p>
    <w:p>
      <w:pPr>
        <w:pStyle w:val="Heading1"/>
      </w:pPr>
      <w:r>
        <w:t>Abstract</w:t>
      </w:r>
    </w:p>
    <w:p>
      <w:r>
        <w:t>The article asks why the Arctic security debate became sharper after 2022 even though the long-run loss of sea ice does not, by itself, predict higher military burden across Arctic states. It develops a mixed empirical design that combines official strategic documents with a country-year panel for the Arctic Eight between 2000 and 2024. The quantitative results are deliberately interpreted with restraint. A direct sea-ice decline effect is weak and unstable. The more robust pattern is a post-2022 increase in military burden, especially when read alongside the strategic language of Russia threat, allied reinforcement, critical infrastructure, and national resilience. The content analysis is therefore used as mechanism evidence rather than as an independent causal proof. The central claim is that environmental change becomes security-relevant through political and institutional translation: after Russia's full-scale invasion of Ukraine, Arctic governments increasingly connected northern access, infrastructure, maritime surveillance, and defence readiness to alliance security. This is a narrower claim than climate determinism, but it is also more defensible. The findings contribute to climate-security, Arctic governance, and alliance-politics debates by showing that the Arctic's security shift is better understood as a post-2022 alliance-security transformation than as a simple response to melting ice.</w:t>
      </w:r>
    </w:p>
    <w:p>
      <w:r>
        <w:t>Keywords: Arctic security; NATO; Russia-Ukraine war; strategic framing; military burden; sea ice; alliance politics</w:t>
      </w:r>
    </w:p>
    <w:p>
      <w:pPr>
        <w:pStyle w:val="Heading1"/>
      </w:pPr>
      <w:r>
        <w:t>1. Introduction</w:t>
      </w:r>
    </w:p>
    <w:p>
      <w:r>
        <w:t>The Arctic is often described through two images that sit uneasily beside one another. The first is environmental: retreating sea ice, longer navigation seasons, exposed infrastructure, and new expectations about access to resources. The second is strategic: Russian military activity, Nordic defence integration, NATO planning, and a widening concern for maritime corridors in the North Atlantic and High North. The temptation is to collapse these images into a single story in which melting ice mechanically produces militarisation. This paper starts from the opposite premise. Environmental change matters, but not as an automatic cause. It matters after governments translate it into claims about sovereignty, threat, supply security, and alliance obligations.</w:t>
      </w:r>
    </w:p>
    <w:p>
      <w:r>
        <w:t>That distinction is not a minor modelling choice. If the empirical claim is that sea-ice loss directly raises military spending, the evidence should show a stable association between year-to-year ice decline and military burden. It does not. The models reported below instead point to a sharper post-2022 shift. This pattern is more consistent with a security-political rupture than with a gradual environmental driver. The Russian invasion of Ukraine did not create every Arctic security concern, but it changed the credibility of cooperation with Russia, raised the value of allied presence in the north, and made civilian infrastructure and military mobility harder to separate.</w:t>
      </w:r>
    </w:p>
    <w:p>
      <w:r>
        <w:t>The article therefore asks a conditional question: when does Arctic environmental change become linked to military burden? The answer developed here is that sea-ice decline becomes politically consequential when it is embedded in strategic framing and in alliance exposure. Official documents are used to observe that translation process. They do not simply mirror reality; they set priorities, justify investments, and define the vocabulary through which governments connect Arctic access to defence planning.</w:t>
      </w:r>
    </w:p>
    <w:p>
      <w:r>
        <w:t>The empirical design combines a document corpus and a country-year panel. The corpus covers official Arctic, defence, security, and foreign-policy documents for the Arctic Eight. The panel covers 2000-2024 and combines SIPRI military expenditure data, NSIDC sea-ice extent, World Bank macroeconomic controls, and World Bank Pink Sheet energy prices. The main dependent variable is military expenditure as a share of GDP. Because that variable is national rather than Arctic-specific, the analysis uses safeguards: alternative outcomes, sample restrictions, negative-control logic, and a clear distinction between Arctic-specific strategies and broader security documents.</w:t>
      </w:r>
    </w:p>
    <w:p>
      <w:r>
        <w:t>The argument is consequently modest but useful. The paper does not claim that climate change alone militarised the Arctic. It shows that the post-2022 security environment, NATO exposure, and official strategic framing jointly provide a more plausible explanation of the observed shift in military burden and policy language.</w:t>
      </w:r>
    </w:p>
    <w:p>
      <w:pPr>
        <w:pStyle w:val="Heading1"/>
      </w:pPr>
      <w:r>
        <w:t>2. Literature Review and Contribution</w:t>
      </w:r>
    </w:p>
    <w:p>
      <w:pPr>
        <w:pStyle w:val="Heading2"/>
      </w:pPr>
      <w:r>
        <w:t>2.1 Climate-security without environmental determinism</w:t>
      </w:r>
    </w:p>
    <w:p>
      <w:r>
        <w:t>Climate-security research has long warned against treating environmental stress as a direct and uniform cause of conflict. The same warning applies to the Arctic. Sea-ice loss changes the background conditions of governance, navigation, extraction, and surveillance, but those changes do not acquire a stable security meaning without institutions and political interpretation. A shipping route may be treated as an economic opportunity, an environmental risk, a sovereignty issue, or a military corridor. The empirical task is to observe when one interpretation displaces another.</w:t>
      </w:r>
    </w:p>
    <w:p>
      <w:r>
        <w:t>This article therefore uses climate change as an enabling condition rather than as a deterministic trigger. The theoretical expectation is not that every year of lower ice automatically produces higher military spending. The expectation is that declining ice expands the range of strategically relevant activities, while the post-2022 geopolitical environment changes how governments frame and budget for those activities.</w:t>
      </w:r>
    </w:p>
    <w:p>
      <w:pPr>
        <w:pStyle w:val="Heading2"/>
      </w:pPr>
      <w:r>
        <w:t>2.2 Arctic governance and the return of hard security</w:t>
      </w:r>
    </w:p>
    <w:p>
      <w:r>
        <w:t>A large part of the Arctic literature emphasises legal order, institutional cooperation, and the durable role of the Arctic Council. That literature remains important. The Arctic is not a legal vacuum, and most Arctic disputes continue to be managed through established regimes. Yet the cooperative literature is less persuasive if it is used to deny the hardening of security language since 2014 and, especially, since 2022. The region now contains both governance continuity and strategic rupture.</w:t>
      </w:r>
    </w:p>
    <w:p>
      <w:r>
        <w:t>The paper contributes by keeping these two observations together. It does not argue that Arctic governance has collapsed. Rather, it argues that governance and alliance security have become layered. Environmental cooperation continues, but defence planning, resilience, infrastructure protection, and allied mobility have moved closer to the centre of northern policy.</w:t>
      </w:r>
    </w:p>
    <w:p>
      <w:pPr>
        <w:pStyle w:val="Heading2"/>
      </w:pPr>
      <w:r>
        <w:t>2.3 NATO exposure and strategic framing</w:t>
      </w:r>
    </w:p>
    <w:p>
      <w:r>
        <w:t>NATO is treated here as more than a membership dummy. Long-standing NATO members such as Norway, Canada, Denmark, Iceland, and the United States differ from Finland and Sweden, whose post-2022 accession trajectories altered Nordic security geography. Russia is a rival case outside the alliance system. This variation allows the paper to examine alliance exposure as an institutional mechanism: the way in which threats, reinforcements, mobility, and interoperability enter national policy language.</w:t>
      </w:r>
    </w:p>
    <w:p>
      <w:r>
        <w:t>Official strategic documents provide the observable trace of that mechanism. Arctic-specific documents capture how governments talk about the region itself. Defence and national security documents capture the post-2022 alliance-security overlay. The two are not interchangeable; combining them without distinction would exaggerate the Arctic specificity of the evidence. The analysis therefore separates Arctic strategy scores from security/alliance supplement scores.</w:t>
      </w:r>
    </w:p>
    <w:p>
      <w:pPr>
        <w:pStyle w:val="Heading2"/>
      </w:pPr>
      <w:r>
        <w:t>2.4 Contribution</w:t>
      </w:r>
    </w:p>
    <w:p>
      <w:r>
        <w:t>The paper makes four contributions. First, it offers a conditional climate-security argument for the Arctic. Second, it introduces a document-based measure of strategic framing for Arctic states. Third, it places the 2022 war and NATO exposure at the centre of the empirical interpretation. Fourth, it is explicit about measurement limits: military burden is a national outcome, not a direct count of Arctic bases, icebreakers, or exercises. That limitation is addressed rather than hidden.</w:t>
      </w:r>
    </w:p>
    <w:p>
      <w:pPr>
        <w:pStyle w:val="Heading1"/>
      </w:pPr>
      <w:r>
        <w:t>3. Theory and Expectations</w:t>
      </w:r>
    </w:p>
    <w:p>
      <w:r>
        <w:t>The mechanism has three steps. Sea-ice decline increases the material and symbolic salience of the Arctic by making mobility, infrastructure, maritime surveillance, and resource governance more salient. Strategic documents then translate those changes into particular policy frames. Finally, alliance exposure shapes whether those frames become linked to military burden, deterrence, and preparedness.</w:t>
      </w:r>
    </w:p>
    <w:p>
      <w:r>
        <w:t>The 2022 war is the key rupture in this mechanism. Before 2022, many Arctic strategies balanced low-tension cooperation with cautious security awareness. After 2022, the balance shifted. Russian threat language, military mobility, total defence, resilience, critical infrastructure, and allied coordination became harder to separate from Arctic policy. The expectations are therefore not framed as a simple ice-to-spending sequence. They concern conditional and period-specific security translation.</w:t>
      </w:r>
    </w:p>
    <w:p>
      <w:pPr>
        <w:pStyle w:val="Heading2"/>
      </w:pPr>
      <w:r>
        <w:t>Hypotheses</w:t>
      </w:r>
    </w:p>
    <w:p>
      <w:r>
        <w:t>H1: Direct annual sea-ice decline is not expected to have a stable independent effect on military burden once macroeconomic controls and country heterogeneity are included.</w:t>
      </w:r>
    </w:p>
    <w:p>
      <w:r>
        <w:t>H2: The post-2022 period is associated with higher military burden among Arctic states, reflecting the wider alliance-security rupture after Russia's full-scale invasion of Ukraine.</w:t>
      </w:r>
    </w:p>
    <w:p>
      <w:r>
        <w:t>H3: Strategic framing that emphasises Russia threat, defence, resilience, and critical infrastructure is positively associated with military burden in mechanism models.</w:t>
      </w:r>
    </w:p>
    <w:p>
      <w:r>
        <w:t>H4: NATO exposure matters less as a simple membership status than as an alliance-security framing mechanism, especially in post-2022 Nordic and North Atlantic contexts.</w:t>
      </w:r>
    </w:p>
    <w:p>
      <w:pPr>
        <w:pStyle w:val="Heading1"/>
      </w:pPr>
      <w:r>
        <w:t>4. Research Design and Data</w:t>
      </w:r>
    </w:p>
    <w:p>
      <w:r>
        <w:t>The empirical design is mixed but not loosely mixed. Content analysis produces mechanism measures; the country-year panel evaluates material outcomes. The main sample contains the Arctic Eight: Canada, Denmark/Greenland, Finland, Iceland, Norway, Russia, Sweden, and the United States, observed from 2000 to 2024. The Coastal Five are used as a robustness sample because they are directly connected to Arctic Ocean access and maritime jurisdiction.</w:t>
      </w:r>
    </w:p>
    <w:p>
      <w:pPr>
        <w:pStyle w:val="Heading2"/>
      </w:pPr>
      <w:r>
        <w:t>4.1 Document corpus</w:t>
      </w:r>
    </w:p>
    <w:p>
      <w:r>
        <w:t>The corpus is limited to official state-level documents. Ordinary reports, commentary pieces, and academic analyses are excluded from the main analysis. General defence or national security documents are included only when they are necessary to capture post-2022 alliance-security framing; they are not treated as substitutes for Arctic strategies.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84"/>
            <w:vAlign w:val="top"/>
            <w:shd w:fill="D9EAF7"/>
          </w:tcPr>
          <w:p>
            <w:pPr>
              <w:spacing w:after="0" w:line="240" w:lineRule="auto"/>
            </w:pPr>
            <w:r/>
            <w:r>
              <w:rPr>
                <w:b/>
                <w:sz w:val="15"/>
              </w:rPr>
              <w:t>Country</w:t>
            </w:r>
          </w:p>
        </w:tc>
        <w:tc>
          <w:tcPr>
            <w:tcW w:type="dxa" w:w="1080"/>
            <w:vAlign w:val="top"/>
            <w:shd w:fill="D9EAF7"/>
          </w:tcPr>
          <w:p>
            <w:pPr>
              <w:spacing w:after="0" w:line="240" w:lineRule="auto"/>
            </w:pPr>
            <w:r/>
            <w:r>
              <w:rPr>
                <w:b/>
                <w:sz w:val="15"/>
              </w:rPr>
              <w:t>Year</w:t>
            </w:r>
          </w:p>
        </w:tc>
        <w:tc>
          <w:tcPr>
            <w:tcW w:type="dxa" w:w="2880"/>
            <w:vAlign w:val="top"/>
            <w:shd w:fill="D9EAF7"/>
          </w:tcPr>
          <w:p>
            <w:pPr>
              <w:spacing w:after="0" w:line="240" w:lineRule="auto"/>
            </w:pPr>
            <w:r/>
            <w:r>
              <w:rPr>
                <w:b/>
                <w:sz w:val="15"/>
              </w:rPr>
              <w:t>Document type</w:t>
            </w:r>
          </w:p>
        </w:tc>
        <w:tc>
          <w:tcPr>
            <w:tcW w:type="dxa" w:w="1728"/>
            <w:vAlign w:val="top"/>
            <w:shd w:fill="D9EAF7"/>
          </w:tcPr>
          <w:p>
            <w:pPr>
              <w:spacing w:after="0" w:line="240" w:lineRule="auto"/>
            </w:pPr>
            <w:r/>
            <w:r>
              <w:rPr>
                <w:b/>
                <w:sz w:val="15"/>
              </w:rPr>
              <w:t>War period</w:t>
            </w:r>
          </w:p>
        </w:tc>
        <w:tc>
          <w:tcPr>
            <w:tcW w:type="dxa" w:w="2448"/>
            <w:vAlign w:val="top"/>
            <w:shd w:fill="D9EAF7"/>
          </w:tcPr>
          <w:p>
            <w:pPr>
              <w:spacing w:after="0" w:line="240" w:lineRule="auto"/>
            </w:pPr>
            <w:r/>
            <w:r>
              <w:rPr>
                <w:b/>
                <w:sz w:val="15"/>
              </w:rPr>
              <w:t>NATO period</w:t>
            </w:r>
          </w:p>
        </w:tc>
      </w:tr>
      <w:tr>
        <w:tc>
          <w:tcPr>
            <w:tcW w:type="dxa" w:w="1584"/>
            <w:vAlign w:val="top"/>
          </w:tcPr>
          <w:p>
            <w:pPr>
              <w:spacing w:after="0" w:line="240" w:lineRule="auto"/>
            </w:pPr>
            <w:r/>
            <w:r>
              <w:rPr>
                <w:b w:val="0"/>
                <w:sz w:val="15"/>
              </w:rPr>
              <w:t>USA</w:t>
            </w:r>
          </w:p>
        </w:tc>
        <w:tc>
          <w:tcPr>
            <w:tcW w:type="dxa" w:w="1080"/>
            <w:vAlign w:val="top"/>
          </w:tcPr>
          <w:p>
            <w:pPr>
              <w:spacing w:after="0" w:line="240" w:lineRule="auto"/>
            </w:pPr>
            <w:r/>
            <w:r>
              <w:rPr>
                <w:b w:val="0"/>
                <w:sz w:val="15"/>
              </w:rPr>
              <w:t>2022</w:t>
            </w:r>
          </w:p>
        </w:tc>
        <w:tc>
          <w:tcPr>
            <w:tcW w:type="dxa" w:w="2880"/>
            <w:vAlign w:val="top"/>
          </w:tcPr>
          <w:p>
            <w:pPr>
              <w:spacing w:after="0" w:line="240" w:lineRule="auto"/>
            </w:pPr>
            <w:r/>
            <w:r>
              <w:rPr>
                <w:b w:val="0"/>
                <w:sz w:val="15"/>
              </w:rPr>
              <w:t>National Arctic Strategy</w:t>
            </w:r>
          </w:p>
        </w:tc>
        <w:tc>
          <w:tcPr>
            <w:tcW w:type="dxa" w:w="1728"/>
            <w:vAlign w:val="top"/>
          </w:tcPr>
          <w:p>
            <w:pPr>
              <w:spacing w:after="0" w:line="240" w:lineRule="auto"/>
            </w:pPr>
            <w:r/>
            <w:r>
              <w:rPr>
                <w:b w:val="0"/>
                <w:sz w:val="15"/>
              </w:rPr>
              <w:t>Pre-war</w:t>
            </w:r>
          </w:p>
        </w:tc>
        <w:tc>
          <w:tcPr>
            <w:tcW w:type="dxa" w:w="2448"/>
            <w:vAlign w:val="top"/>
          </w:tcPr>
          <w:p>
            <w:pPr>
              <w:spacing w:after="0" w:line="240" w:lineRule="auto"/>
            </w:pPr>
            <w:r/>
            <w:r>
              <w:rPr>
                <w:b w:val="0"/>
                <w:sz w:val="15"/>
              </w:rPr>
              <w:t>Long-standing NATO member</w:t>
            </w:r>
          </w:p>
        </w:tc>
      </w:tr>
      <w:tr>
        <w:tc>
          <w:tcPr>
            <w:tcW w:type="dxa" w:w="1584"/>
            <w:vAlign w:val="top"/>
          </w:tcPr>
          <w:p>
            <w:pPr>
              <w:spacing w:after="0" w:line="240" w:lineRule="auto"/>
            </w:pPr>
            <w:r/>
            <w:r>
              <w:rPr>
                <w:b w:val="0"/>
                <w:sz w:val="15"/>
              </w:rPr>
              <w:t>USA</w:t>
            </w:r>
          </w:p>
        </w:tc>
        <w:tc>
          <w:tcPr>
            <w:tcW w:type="dxa" w:w="1080"/>
            <w:vAlign w:val="top"/>
          </w:tcPr>
          <w:p>
            <w:pPr>
              <w:spacing w:after="0" w:line="240" w:lineRule="auto"/>
            </w:pPr>
            <w:r/>
            <w:r>
              <w:rPr>
                <w:b w:val="0"/>
                <w:sz w:val="15"/>
              </w:rPr>
              <w:t>2024</w:t>
            </w:r>
          </w:p>
        </w:tc>
        <w:tc>
          <w:tcPr>
            <w:tcW w:type="dxa" w:w="2880"/>
            <w:vAlign w:val="top"/>
          </w:tcPr>
          <w:p>
            <w:pPr>
              <w:spacing w:after="0" w:line="240" w:lineRule="auto"/>
            </w:pPr>
            <w:r/>
            <w:r>
              <w:rPr>
                <w:b w:val="0"/>
                <w:sz w:val="15"/>
              </w:rPr>
              <w:t>Defence Arctic Strategy</w:t>
            </w:r>
          </w:p>
        </w:tc>
        <w:tc>
          <w:tcPr>
            <w:tcW w:type="dxa" w:w="1728"/>
            <w:vAlign w:val="top"/>
          </w:tcPr>
          <w:p>
            <w:pPr>
              <w:spacing w:after="0" w:line="240" w:lineRule="auto"/>
            </w:pPr>
            <w:r/>
            <w:r>
              <w:rPr>
                <w:b w:val="0"/>
                <w:sz w:val="15"/>
              </w:rPr>
              <w:t>Post-war</w:t>
            </w:r>
          </w:p>
        </w:tc>
        <w:tc>
          <w:tcPr>
            <w:tcW w:type="dxa" w:w="2448"/>
            <w:vAlign w:val="top"/>
          </w:tcPr>
          <w:p>
            <w:pPr>
              <w:spacing w:after="0" w:line="240" w:lineRule="auto"/>
            </w:pPr>
            <w:r/>
            <w:r>
              <w:rPr>
                <w:b w:val="0"/>
                <w:sz w:val="15"/>
              </w:rPr>
              <w:t>Long-standing NATO member</w:t>
            </w:r>
          </w:p>
        </w:tc>
      </w:tr>
      <w:tr>
        <w:tc>
          <w:tcPr>
            <w:tcW w:type="dxa" w:w="1584"/>
            <w:vAlign w:val="top"/>
          </w:tcPr>
          <w:p>
            <w:pPr>
              <w:spacing w:after="0" w:line="240" w:lineRule="auto"/>
            </w:pPr>
            <w:r/>
            <w:r>
              <w:rPr>
                <w:b w:val="0"/>
                <w:sz w:val="15"/>
              </w:rPr>
              <w:t>Canada</w:t>
            </w:r>
          </w:p>
        </w:tc>
        <w:tc>
          <w:tcPr>
            <w:tcW w:type="dxa" w:w="1080"/>
            <w:vAlign w:val="top"/>
          </w:tcPr>
          <w:p>
            <w:pPr>
              <w:spacing w:after="0" w:line="240" w:lineRule="auto"/>
            </w:pPr>
            <w:r/>
            <w:r>
              <w:rPr>
                <w:b w:val="0"/>
                <w:sz w:val="15"/>
              </w:rPr>
              <w:t>2019</w:t>
            </w:r>
          </w:p>
        </w:tc>
        <w:tc>
          <w:tcPr>
            <w:tcW w:type="dxa" w:w="2880"/>
            <w:vAlign w:val="top"/>
          </w:tcPr>
          <w:p>
            <w:pPr>
              <w:spacing w:after="0" w:line="240" w:lineRule="auto"/>
            </w:pPr>
            <w:r/>
            <w:r>
              <w:rPr>
                <w:b w:val="0"/>
                <w:sz w:val="15"/>
              </w:rPr>
              <w:t>Arctic and Northern Policy Framework</w:t>
            </w:r>
          </w:p>
        </w:tc>
        <w:tc>
          <w:tcPr>
            <w:tcW w:type="dxa" w:w="1728"/>
            <w:vAlign w:val="top"/>
          </w:tcPr>
          <w:p>
            <w:pPr>
              <w:spacing w:after="0" w:line="240" w:lineRule="auto"/>
            </w:pPr>
            <w:r/>
            <w:r>
              <w:rPr>
                <w:b w:val="0"/>
                <w:sz w:val="15"/>
              </w:rPr>
              <w:t>Pre-war</w:t>
            </w:r>
          </w:p>
        </w:tc>
        <w:tc>
          <w:tcPr>
            <w:tcW w:type="dxa" w:w="2448"/>
            <w:vAlign w:val="top"/>
          </w:tcPr>
          <w:p>
            <w:pPr>
              <w:spacing w:after="0" w:line="240" w:lineRule="auto"/>
            </w:pPr>
            <w:r/>
            <w:r>
              <w:rPr>
                <w:b w:val="0"/>
                <w:sz w:val="15"/>
              </w:rPr>
              <w:t>Long-standing NATO member</w:t>
            </w:r>
          </w:p>
        </w:tc>
      </w:tr>
      <w:tr>
        <w:tc>
          <w:tcPr>
            <w:tcW w:type="dxa" w:w="1584"/>
            <w:vAlign w:val="top"/>
          </w:tcPr>
          <w:p>
            <w:pPr>
              <w:spacing w:after="0" w:line="240" w:lineRule="auto"/>
            </w:pPr>
            <w:r/>
            <w:r>
              <w:rPr>
                <w:b w:val="0"/>
                <w:sz w:val="15"/>
              </w:rPr>
              <w:t>Canada</w:t>
            </w:r>
          </w:p>
        </w:tc>
        <w:tc>
          <w:tcPr>
            <w:tcW w:type="dxa" w:w="1080"/>
            <w:vAlign w:val="top"/>
          </w:tcPr>
          <w:p>
            <w:pPr>
              <w:spacing w:after="0" w:line="240" w:lineRule="auto"/>
            </w:pPr>
            <w:r/>
            <w:r>
              <w:rPr>
                <w:b w:val="0"/>
                <w:sz w:val="15"/>
              </w:rPr>
              <w:t>2024</w:t>
            </w:r>
          </w:p>
        </w:tc>
        <w:tc>
          <w:tcPr>
            <w:tcW w:type="dxa" w:w="2880"/>
            <w:vAlign w:val="top"/>
          </w:tcPr>
          <w:p>
            <w:pPr>
              <w:spacing w:after="0" w:line="240" w:lineRule="auto"/>
            </w:pPr>
            <w:r/>
            <w:r>
              <w:rPr>
                <w:b w:val="0"/>
                <w:sz w:val="15"/>
              </w:rPr>
              <w:t>Defence Policy Update</w:t>
            </w:r>
          </w:p>
        </w:tc>
        <w:tc>
          <w:tcPr>
            <w:tcW w:type="dxa" w:w="1728"/>
            <w:vAlign w:val="top"/>
          </w:tcPr>
          <w:p>
            <w:pPr>
              <w:spacing w:after="0" w:line="240" w:lineRule="auto"/>
            </w:pPr>
            <w:r/>
            <w:r>
              <w:rPr>
                <w:b w:val="0"/>
                <w:sz w:val="15"/>
              </w:rPr>
              <w:t>Post-war</w:t>
            </w:r>
          </w:p>
        </w:tc>
        <w:tc>
          <w:tcPr>
            <w:tcW w:type="dxa" w:w="2448"/>
            <w:vAlign w:val="top"/>
          </w:tcPr>
          <w:p>
            <w:pPr>
              <w:spacing w:after="0" w:line="240" w:lineRule="auto"/>
            </w:pPr>
            <w:r/>
            <w:r>
              <w:rPr>
                <w:b w:val="0"/>
                <w:sz w:val="15"/>
              </w:rPr>
              <w:t>Long-standing NATO member</w:t>
            </w:r>
          </w:p>
        </w:tc>
      </w:tr>
      <w:tr>
        <w:tc>
          <w:tcPr>
            <w:tcW w:type="dxa" w:w="1584"/>
            <w:vAlign w:val="top"/>
          </w:tcPr>
          <w:p>
            <w:pPr>
              <w:spacing w:after="0" w:line="240" w:lineRule="auto"/>
            </w:pPr>
            <w:r/>
            <w:r>
              <w:rPr>
                <w:b w:val="0"/>
                <w:sz w:val="15"/>
              </w:rPr>
              <w:t>Russia</w:t>
            </w:r>
          </w:p>
        </w:tc>
        <w:tc>
          <w:tcPr>
            <w:tcW w:type="dxa" w:w="1080"/>
            <w:vAlign w:val="top"/>
          </w:tcPr>
          <w:p>
            <w:pPr>
              <w:spacing w:after="0" w:line="240" w:lineRule="auto"/>
            </w:pPr>
            <w:r/>
            <w:r>
              <w:rPr>
                <w:b w:val="0"/>
                <w:sz w:val="15"/>
              </w:rPr>
              <w:t>2020 / amended 2023</w:t>
            </w:r>
          </w:p>
        </w:tc>
        <w:tc>
          <w:tcPr>
            <w:tcW w:type="dxa" w:w="2880"/>
            <w:vAlign w:val="top"/>
          </w:tcPr>
          <w:p>
            <w:pPr>
              <w:spacing w:after="0" w:line="240" w:lineRule="auto"/>
            </w:pPr>
            <w:r/>
            <w:r>
              <w:rPr>
                <w:b w:val="0"/>
                <w:sz w:val="15"/>
              </w:rPr>
              <w:t>Arctic State Policy / Strategic Planning Document</w:t>
            </w:r>
          </w:p>
        </w:tc>
        <w:tc>
          <w:tcPr>
            <w:tcW w:type="dxa" w:w="1728"/>
            <w:vAlign w:val="top"/>
          </w:tcPr>
          <w:p>
            <w:pPr>
              <w:spacing w:after="0" w:line="240" w:lineRule="auto"/>
            </w:pPr>
            <w:r/>
            <w:r>
              <w:rPr>
                <w:b w:val="0"/>
                <w:sz w:val="15"/>
              </w:rPr>
              <w:t>Pre-war document / amended post-war</w:t>
            </w:r>
          </w:p>
        </w:tc>
        <w:tc>
          <w:tcPr>
            <w:tcW w:type="dxa" w:w="2448"/>
            <w:vAlign w:val="top"/>
          </w:tcPr>
          <w:p>
            <w:pPr>
              <w:spacing w:after="0" w:line="240" w:lineRule="auto"/>
            </w:pPr>
            <w:r/>
            <w:r>
              <w:rPr>
                <w:b w:val="0"/>
                <w:sz w:val="15"/>
              </w:rPr>
              <w:t>Non-NATO / Russia</w:t>
            </w:r>
          </w:p>
        </w:tc>
      </w:tr>
      <w:tr>
        <w:tc>
          <w:tcPr>
            <w:tcW w:type="dxa" w:w="1584"/>
            <w:vAlign w:val="top"/>
          </w:tcPr>
          <w:p>
            <w:pPr>
              <w:spacing w:after="0" w:line="240" w:lineRule="auto"/>
            </w:pPr>
            <w:r/>
            <w:r>
              <w:rPr>
                <w:b w:val="0"/>
                <w:sz w:val="15"/>
              </w:rPr>
              <w:t>Russia</w:t>
            </w:r>
          </w:p>
        </w:tc>
        <w:tc>
          <w:tcPr>
            <w:tcW w:type="dxa" w:w="1080"/>
            <w:vAlign w:val="top"/>
          </w:tcPr>
          <w:p>
            <w:pPr>
              <w:spacing w:after="0" w:line="240" w:lineRule="auto"/>
            </w:pPr>
            <w:r/>
            <w:r>
              <w:rPr>
                <w:b w:val="0"/>
                <w:sz w:val="15"/>
              </w:rPr>
              <w:t>2020 / amended 2023</w:t>
            </w:r>
          </w:p>
        </w:tc>
        <w:tc>
          <w:tcPr>
            <w:tcW w:type="dxa" w:w="2880"/>
            <w:vAlign w:val="top"/>
          </w:tcPr>
          <w:p>
            <w:pPr>
              <w:spacing w:after="0" w:line="240" w:lineRule="auto"/>
            </w:pPr>
            <w:r/>
            <w:r>
              <w:rPr>
                <w:b w:val="0"/>
                <w:sz w:val="15"/>
              </w:rPr>
              <w:t>Arctic Zone Development and National Security Strategy</w:t>
            </w:r>
          </w:p>
        </w:tc>
        <w:tc>
          <w:tcPr>
            <w:tcW w:type="dxa" w:w="1728"/>
            <w:vAlign w:val="top"/>
          </w:tcPr>
          <w:p>
            <w:pPr>
              <w:spacing w:after="0" w:line="240" w:lineRule="auto"/>
            </w:pPr>
            <w:r/>
            <w:r>
              <w:rPr>
                <w:b w:val="0"/>
                <w:sz w:val="15"/>
              </w:rPr>
              <w:t>Pre-war document / amended post-war</w:t>
            </w:r>
          </w:p>
        </w:tc>
        <w:tc>
          <w:tcPr>
            <w:tcW w:type="dxa" w:w="2448"/>
            <w:vAlign w:val="top"/>
          </w:tcPr>
          <w:p>
            <w:pPr>
              <w:spacing w:after="0" w:line="240" w:lineRule="auto"/>
            </w:pPr>
            <w:r/>
            <w:r>
              <w:rPr>
                <w:b w:val="0"/>
                <w:sz w:val="15"/>
              </w:rPr>
              <w:t>Non-NATO / Russia</w:t>
            </w:r>
          </w:p>
        </w:tc>
      </w:tr>
      <w:tr>
        <w:tc>
          <w:tcPr>
            <w:tcW w:type="dxa" w:w="1584"/>
            <w:vAlign w:val="top"/>
          </w:tcPr>
          <w:p>
            <w:pPr>
              <w:spacing w:after="0" w:line="240" w:lineRule="auto"/>
            </w:pPr>
            <w:r/>
            <w:r>
              <w:rPr>
                <w:b w:val="0"/>
                <w:sz w:val="15"/>
              </w:rPr>
              <w:t>Norway</w:t>
            </w:r>
          </w:p>
        </w:tc>
        <w:tc>
          <w:tcPr>
            <w:tcW w:type="dxa" w:w="1080"/>
            <w:vAlign w:val="top"/>
          </w:tcPr>
          <w:p>
            <w:pPr>
              <w:spacing w:after="0" w:line="240" w:lineRule="auto"/>
            </w:pPr>
            <w:r/>
            <w:r>
              <w:rPr>
                <w:b w:val="0"/>
                <w:sz w:val="15"/>
              </w:rPr>
              <w:t>2025</w:t>
            </w:r>
          </w:p>
        </w:tc>
        <w:tc>
          <w:tcPr>
            <w:tcW w:type="dxa" w:w="2880"/>
            <w:vAlign w:val="top"/>
          </w:tcPr>
          <w:p>
            <w:pPr>
              <w:spacing w:after="0" w:line="240" w:lineRule="auto"/>
            </w:pPr>
            <w:r/>
            <w:r>
              <w:rPr>
                <w:b w:val="0"/>
                <w:sz w:val="15"/>
              </w:rPr>
              <w:t>High North Strategy</w:t>
            </w:r>
          </w:p>
        </w:tc>
        <w:tc>
          <w:tcPr>
            <w:tcW w:type="dxa" w:w="1728"/>
            <w:vAlign w:val="top"/>
          </w:tcPr>
          <w:p>
            <w:pPr>
              <w:spacing w:after="0" w:line="240" w:lineRule="auto"/>
            </w:pPr>
            <w:r/>
            <w:r>
              <w:rPr>
                <w:b w:val="0"/>
                <w:sz w:val="15"/>
              </w:rPr>
              <w:t>Post-war</w:t>
            </w:r>
          </w:p>
        </w:tc>
        <w:tc>
          <w:tcPr>
            <w:tcW w:type="dxa" w:w="2448"/>
            <w:vAlign w:val="top"/>
          </w:tcPr>
          <w:p>
            <w:pPr>
              <w:spacing w:after="0" w:line="240" w:lineRule="auto"/>
            </w:pPr>
            <w:r/>
            <w:r>
              <w:rPr>
                <w:b w:val="0"/>
                <w:sz w:val="15"/>
              </w:rPr>
              <w:t>Long-standing NATO member</w:t>
            </w:r>
          </w:p>
        </w:tc>
      </w:tr>
      <w:tr>
        <w:tc>
          <w:tcPr>
            <w:tcW w:type="dxa" w:w="1584"/>
            <w:vAlign w:val="top"/>
          </w:tcPr>
          <w:p>
            <w:pPr>
              <w:spacing w:after="0" w:line="240" w:lineRule="auto"/>
            </w:pPr>
            <w:r/>
            <w:r>
              <w:rPr>
                <w:b w:val="0"/>
                <w:sz w:val="15"/>
              </w:rPr>
              <w:t>Denmark_Greenland</w:t>
            </w:r>
          </w:p>
        </w:tc>
        <w:tc>
          <w:tcPr>
            <w:tcW w:type="dxa" w:w="1080"/>
            <w:vAlign w:val="top"/>
          </w:tcPr>
          <w:p>
            <w:pPr>
              <w:spacing w:after="0" w:line="240" w:lineRule="auto"/>
            </w:pPr>
            <w:r/>
            <w:r>
              <w:rPr>
                <w:b w:val="0"/>
                <w:sz w:val="15"/>
              </w:rPr>
              <w:t>2011</w:t>
            </w:r>
          </w:p>
        </w:tc>
        <w:tc>
          <w:tcPr>
            <w:tcW w:type="dxa" w:w="2880"/>
            <w:vAlign w:val="top"/>
          </w:tcPr>
          <w:p>
            <w:pPr>
              <w:spacing w:after="0" w:line="240" w:lineRule="auto"/>
            </w:pPr>
            <w:r/>
            <w:r>
              <w:rPr>
                <w:b w:val="0"/>
                <w:sz w:val="15"/>
              </w:rPr>
              <w:t>Arctic Strategy</w:t>
            </w:r>
          </w:p>
        </w:tc>
        <w:tc>
          <w:tcPr>
            <w:tcW w:type="dxa" w:w="1728"/>
            <w:vAlign w:val="top"/>
          </w:tcPr>
          <w:p>
            <w:pPr>
              <w:spacing w:after="0" w:line="240" w:lineRule="auto"/>
            </w:pPr>
            <w:r/>
            <w:r>
              <w:rPr>
                <w:b w:val="0"/>
                <w:sz w:val="15"/>
              </w:rPr>
              <w:t>Pre-war</w:t>
            </w:r>
          </w:p>
        </w:tc>
        <w:tc>
          <w:tcPr>
            <w:tcW w:type="dxa" w:w="2448"/>
            <w:vAlign w:val="top"/>
          </w:tcPr>
          <w:p>
            <w:pPr>
              <w:spacing w:after="0" w:line="240" w:lineRule="auto"/>
            </w:pPr>
            <w:r/>
            <w:r>
              <w:rPr>
                <w:b w:val="0"/>
                <w:sz w:val="15"/>
              </w:rPr>
              <w:t>Long-standing NATO member</w:t>
            </w:r>
          </w:p>
        </w:tc>
      </w:tr>
      <w:tr>
        <w:tc>
          <w:tcPr>
            <w:tcW w:type="dxa" w:w="1584"/>
            <w:vAlign w:val="top"/>
          </w:tcPr>
          <w:p>
            <w:pPr>
              <w:spacing w:after="0" w:line="240" w:lineRule="auto"/>
            </w:pPr>
            <w:r/>
            <w:r>
              <w:rPr>
                <w:b w:val="0"/>
                <w:sz w:val="15"/>
              </w:rPr>
              <w:t>Denmark_Greenland</w:t>
            </w:r>
          </w:p>
        </w:tc>
        <w:tc>
          <w:tcPr>
            <w:tcW w:type="dxa" w:w="1080"/>
            <w:vAlign w:val="top"/>
          </w:tcPr>
          <w:p>
            <w:pPr>
              <w:spacing w:after="0" w:line="240" w:lineRule="auto"/>
            </w:pPr>
            <w:r/>
            <w:r>
              <w:rPr>
                <w:b w:val="0"/>
                <w:sz w:val="15"/>
              </w:rPr>
              <w:t>2024</w:t>
            </w:r>
          </w:p>
        </w:tc>
        <w:tc>
          <w:tcPr>
            <w:tcW w:type="dxa" w:w="2880"/>
            <w:vAlign w:val="top"/>
          </w:tcPr>
          <w:p>
            <w:pPr>
              <w:spacing w:after="0" w:line="240" w:lineRule="auto"/>
            </w:pPr>
            <w:r/>
            <w:r>
              <w:rPr>
                <w:b w:val="0"/>
                <w:sz w:val="15"/>
              </w:rPr>
              <w:t>Foreign, Security and Defence Policy</w:t>
            </w:r>
          </w:p>
        </w:tc>
        <w:tc>
          <w:tcPr>
            <w:tcW w:type="dxa" w:w="1728"/>
            <w:vAlign w:val="top"/>
          </w:tcPr>
          <w:p>
            <w:pPr>
              <w:spacing w:after="0" w:line="240" w:lineRule="auto"/>
            </w:pPr>
            <w:r/>
            <w:r>
              <w:rPr>
                <w:b w:val="0"/>
                <w:sz w:val="15"/>
              </w:rPr>
              <w:t>Post-war</w:t>
            </w:r>
          </w:p>
        </w:tc>
        <w:tc>
          <w:tcPr>
            <w:tcW w:type="dxa" w:w="2448"/>
            <w:vAlign w:val="top"/>
          </w:tcPr>
          <w:p>
            <w:pPr>
              <w:spacing w:after="0" w:line="240" w:lineRule="auto"/>
            </w:pPr>
            <w:r/>
            <w:r>
              <w:rPr>
                <w:b w:val="0"/>
                <w:sz w:val="15"/>
              </w:rPr>
              <w:t>Long-standing NATO member / Kingdom of Denmark</w:t>
            </w:r>
          </w:p>
        </w:tc>
      </w:tr>
      <w:tr>
        <w:tc>
          <w:tcPr>
            <w:tcW w:type="dxa" w:w="1584"/>
            <w:vAlign w:val="top"/>
          </w:tcPr>
          <w:p>
            <w:pPr>
              <w:spacing w:after="0" w:line="240" w:lineRule="auto"/>
            </w:pPr>
            <w:r/>
            <w:r>
              <w:rPr>
                <w:b w:val="0"/>
                <w:sz w:val="15"/>
              </w:rPr>
              <w:t>Finland</w:t>
            </w:r>
          </w:p>
        </w:tc>
        <w:tc>
          <w:tcPr>
            <w:tcW w:type="dxa" w:w="1080"/>
            <w:vAlign w:val="top"/>
          </w:tcPr>
          <w:p>
            <w:pPr>
              <w:spacing w:after="0" w:line="240" w:lineRule="auto"/>
            </w:pPr>
            <w:r/>
            <w:r>
              <w:rPr>
                <w:b w:val="0"/>
                <w:sz w:val="15"/>
              </w:rPr>
              <w:t>2021</w:t>
            </w:r>
          </w:p>
        </w:tc>
        <w:tc>
          <w:tcPr>
            <w:tcW w:type="dxa" w:w="2880"/>
            <w:vAlign w:val="top"/>
          </w:tcPr>
          <w:p>
            <w:pPr>
              <w:spacing w:after="0" w:line="240" w:lineRule="auto"/>
            </w:pPr>
            <w:r/>
            <w:r>
              <w:rPr>
                <w:b w:val="0"/>
                <w:sz w:val="15"/>
              </w:rPr>
              <w:t>Arctic Policy Strategy</w:t>
            </w:r>
          </w:p>
        </w:tc>
        <w:tc>
          <w:tcPr>
            <w:tcW w:type="dxa" w:w="1728"/>
            <w:vAlign w:val="top"/>
          </w:tcPr>
          <w:p>
            <w:pPr>
              <w:spacing w:after="0" w:line="240" w:lineRule="auto"/>
            </w:pPr>
            <w:r/>
            <w:r>
              <w:rPr>
                <w:b w:val="0"/>
                <w:sz w:val="15"/>
              </w:rPr>
              <w:t>Pre-war</w:t>
            </w:r>
          </w:p>
        </w:tc>
        <w:tc>
          <w:tcPr>
            <w:tcW w:type="dxa" w:w="2448"/>
            <w:vAlign w:val="top"/>
          </w:tcPr>
          <w:p>
            <w:pPr>
              <w:spacing w:after="0" w:line="240" w:lineRule="auto"/>
            </w:pPr>
            <w:r/>
            <w:r>
              <w:rPr>
                <w:b w:val="0"/>
                <w:sz w:val="15"/>
              </w:rPr>
              <w:t>Pre-NATO</w:t>
            </w:r>
          </w:p>
        </w:tc>
      </w:tr>
      <w:tr>
        <w:tc>
          <w:tcPr>
            <w:tcW w:type="dxa" w:w="1584"/>
            <w:vAlign w:val="top"/>
          </w:tcPr>
          <w:p>
            <w:pPr>
              <w:spacing w:after="0" w:line="240" w:lineRule="auto"/>
            </w:pPr>
            <w:r/>
            <w:r>
              <w:rPr>
                <w:b w:val="0"/>
                <w:sz w:val="15"/>
              </w:rPr>
              <w:t>Finland</w:t>
            </w:r>
          </w:p>
        </w:tc>
        <w:tc>
          <w:tcPr>
            <w:tcW w:type="dxa" w:w="1080"/>
            <w:vAlign w:val="top"/>
          </w:tcPr>
          <w:p>
            <w:pPr>
              <w:spacing w:after="0" w:line="240" w:lineRule="auto"/>
            </w:pPr>
            <w:r/>
            <w:r>
              <w:rPr>
                <w:b w:val="0"/>
                <w:sz w:val="15"/>
              </w:rPr>
              <w:t>2024</w:t>
            </w:r>
          </w:p>
        </w:tc>
        <w:tc>
          <w:tcPr>
            <w:tcW w:type="dxa" w:w="2880"/>
            <w:vAlign w:val="top"/>
          </w:tcPr>
          <w:p>
            <w:pPr>
              <w:spacing w:after="0" w:line="240" w:lineRule="auto"/>
            </w:pPr>
            <w:r/>
            <w:r>
              <w:rPr>
                <w:b w:val="0"/>
                <w:sz w:val="15"/>
              </w:rPr>
              <w:t>Defence Report</w:t>
            </w:r>
          </w:p>
        </w:tc>
        <w:tc>
          <w:tcPr>
            <w:tcW w:type="dxa" w:w="1728"/>
            <w:vAlign w:val="top"/>
          </w:tcPr>
          <w:p>
            <w:pPr>
              <w:spacing w:after="0" w:line="240" w:lineRule="auto"/>
            </w:pPr>
            <w:r/>
            <w:r>
              <w:rPr>
                <w:b w:val="0"/>
                <w:sz w:val="15"/>
              </w:rPr>
              <w:t>Post-war</w:t>
            </w:r>
          </w:p>
        </w:tc>
        <w:tc>
          <w:tcPr>
            <w:tcW w:type="dxa" w:w="2448"/>
            <w:vAlign w:val="top"/>
          </w:tcPr>
          <w:p>
            <w:pPr>
              <w:spacing w:after="0" w:line="240" w:lineRule="auto"/>
            </w:pPr>
            <w:r/>
            <w:r>
              <w:rPr>
                <w:b w:val="0"/>
                <w:sz w:val="15"/>
              </w:rPr>
              <w:t>Post-NATO</w:t>
            </w:r>
          </w:p>
        </w:tc>
      </w:tr>
      <w:tr>
        <w:tc>
          <w:tcPr>
            <w:tcW w:type="dxa" w:w="1584"/>
            <w:vAlign w:val="top"/>
          </w:tcPr>
          <w:p>
            <w:pPr>
              <w:spacing w:after="0" w:line="240" w:lineRule="auto"/>
            </w:pPr>
            <w:r/>
            <w:r>
              <w:rPr>
                <w:b w:val="0"/>
                <w:sz w:val="15"/>
              </w:rPr>
              <w:t>Sweden</w:t>
            </w:r>
          </w:p>
        </w:tc>
        <w:tc>
          <w:tcPr>
            <w:tcW w:type="dxa" w:w="1080"/>
            <w:vAlign w:val="top"/>
          </w:tcPr>
          <w:p>
            <w:pPr>
              <w:spacing w:after="0" w:line="240" w:lineRule="auto"/>
            </w:pPr>
            <w:r/>
            <w:r>
              <w:rPr>
                <w:b w:val="0"/>
                <w:sz w:val="15"/>
              </w:rPr>
              <w:t>2020</w:t>
            </w:r>
          </w:p>
        </w:tc>
        <w:tc>
          <w:tcPr>
            <w:tcW w:type="dxa" w:w="2880"/>
            <w:vAlign w:val="top"/>
          </w:tcPr>
          <w:p>
            <w:pPr>
              <w:spacing w:after="0" w:line="240" w:lineRule="auto"/>
            </w:pPr>
            <w:r/>
            <w:r>
              <w:rPr>
                <w:b w:val="0"/>
                <w:sz w:val="15"/>
              </w:rPr>
              <w:t>Arctic Strategy</w:t>
            </w:r>
          </w:p>
        </w:tc>
        <w:tc>
          <w:tcPr>
            <w:tcW w:type="dxa" w:w="1728"/>
            <w:vAlign w:val="top"/>
          </w:tcPr>
          <w:p>
            <w:pPr>
              <w:spacing w:after="0" w:line="240" w:lineRule="auto"/>
            </w:pPr>
            <w:r/>
            <w:r>
              <w:rPr>
                <w:b w:val="0"/>
                <w:sz w:val="15"/>
              </w:rPr>
              <w:t>Pre-war</w:t>
            </w:r>
          </w:p>
        </w:tc>
        <w:tc>
          <w:tcPr>
            <w:tcW w:type="dxa" w:w="2448"/>
            <w:vAlign w:val="top"/>
          </w:tcPr>
          <w:p>
            <w:pPr>
              <w:spacing w:after="0" w:line="240" w:lineRule="auto"/>
            </w:pPr>
            <w:r/>
            <w:r>
              <w:rPr>
                <w:b w:val="0"/>
                <w:sz w:val="15"/>
              </w:rPr>
              <w:t>Pre-NATO</w:t>
            </w:r>
          </w:p>
        </w:tc>
      </w:tr>
      <w:tr>
        <w:tc>
          <w:tcPr>
            <w:tcW w:type="dxa" w:w="1584"/>
            <w:vAlign w:val="top"/>
          </w:tcPr>
          <w:p>
            <w:pPr>
              <w:spacing w:after="0" w:line="240" w:lineRule="auto"/>
            </w:pPr>
            <w:r/>
            <w:r>
              <w:rPr>
                <w:b w:val="0"/>
                <w:sz w:val="15"/>
              </w:rPr>
              <w:t>Sweden</w:t>
            </w:r>
          </w:p>
        </w:tc>
        <w:tc>
          <w:tcPr>
            <w:tcW w:type="dxa" w:w="1080"/>
            <w:vAlign w:val="top"/>
          </w:tcPr>
          <w:p>
            <w:pPr>
              <w:spacing w:after="0" w:line="240" w:lineRule="auto"/>
            </w:pPr>
            <w:r/>
            <w:r>
              <w:rPr>
                <w:b w:val="0"/>
                <w:sz w:val="15"/>
              </w:rPr>
              <w:t>2024</w:t>
            </w:r>
          </w:p>
        </w:tc>
        <w:tc>
          <w:tcPr>
            <w:tcW w:type="dxa" w:w="2880"/>
            <w:vAlign w:val="top"/>
          </w:tcPr>
          <w:p>
            <w:pPr>
              <w:spacing w:after="0" w:line="240" w:lineRule="auto"/>
            </w:pPr>
            <w:r/>
            <w:r>
              <w:rPr>
                <w:b w:val="0"/>
                <w:sz w:val="15"/>
              </w:rPr>
              <w:t>National Security Strategy</w:t>
            </w:r>
          </w:p>
        </w:tc>
        <w:tc>
          <w:tcPr>
            <w:tcW w:type="dxa" w:w="1728"/>
            <w:vAlign w:val="top"/>
          </w:tcPr>
          <w:p>
            <w:pPr>
              <w:spacing w:after="0" w:line="240" w:lineRule="auto"/>
            </w:pPr>
            <w:r/>
            <w:r>
              <w:rPr>
                <w:b w:val="0"/>
                <w:sz w:val="15"/>
              </w:rPr>
              <w:t>Post-war</w:t>
            </w:r>
          </w:p>
        </w:tc>
        <w:tc>
          <w:tcPr>
            <w:tcW w:type="dxa" w:w="2448"/>
            <w:vAlign w:val="top"/>
          </w:tcPr>
          <w:p>
            <w:pPr>
              <w:spacing w:after="0" w:line="240" w:lineRule="auto"/>
            </w:pPr>
            <w:r/>
            <w:r>
              <w:rPr>
                <w:b w:val="0"/>
                <w:sz w:val="15"/>
              </w:rPr>
              <w:t>Post-NATO</w:t>
            </w:r>
          </w:p>
        </w:tc>
      </w:tr>
      <w:tr>
        <w:tc>
          <w:tcPr>
            <w:tcW w:type="dxa" w:w="1584"/>
            <w:vAlign w:val="top"/>
          </w:tcPr>
          <w:p>
            <w:pPr>
              <w:spacing w:after="0" w:line="240" w:lineRule="auto"/>
            </w:pPr>
            <w:r/>
            <w:r>
              <w:rPr>
                <w:b w:val="0"/>
                <w:sz w:val="15"/>
              </w:rPr>
              <w:t>Iceland</w:t>
            </w:r>
          </w:p>
        </w:tc>
        <w:tc>
          <w:tcPr>
            <w:tcW w:type="dxa" w:w="1080"/>
            <w:vAlign w:val="top"/>
          </w:tcPr>
          <w:p>
            <w:pPr>
              <w:spacing w:after="0" w:line="240" w:lineRule="auto"/>
            </w:pPr>
            <w:r/>
            <w:r>
              <w:rPr>
                <w:b w:val="0"/>
                <w:sz w:val="15"/>
              </w:rPr>
              <w:t>2021</w:t>
            </w:r>
          </w:p>
        </w:tc>
        <w:tc>
          <w:tcPr>
            <w:tcW w:type="dxa" w:w="2880"/>
            <w:vAlign w:val="top"/>
          </w:tcPr>
          <w:p>
            <w:pPr>
              <w:spacing w:after="0" w:line="240" w:lineRule="auto"/>
            </w:pPr>
            <w:r/>
            <w:r>
              <w:rPr>
                <w:b w:val="0"/>
                <w:sz w:val="15"/>
              </w:rPr>
              <w:t>Arctic Policy</w:t>
            </w:r>
          </w:p>
        </w:tc>
        <w:tc>
          <w:tcPr>
            <w:tcW w:type="dxa" w:w="1728"/>
            <w:vAlign w:val="top"/>
          </w:tcPr>
          <w:p>
            <w:pPr>
              <w:spacing w:after="0" w:line="240" w:lineRule="auto"/>
            </w:pPr>
            <w:r/>
            <w:r>
              <w:rPr>
                <w:b w:val="0"/>
                <w:sz w:val="15"/>
              </w:rPr>
              <w:t>Pre-war</w:t>
            </w:r>
          </w:p>
        </w:tc>
        <w:tc>
          <w:tcPr>
            <w:tcW w:type="dxa" w:w="2448"/>
            <w:vAlign w:val="top"/>
          </w:tcPr>
          <w:p>
            <w:pPr>
              <w:spacing w:after="0" w:line="240" w:lineRule="auto"/>
            </w:pPr>
            <w:r/>
            <w:r>
              <w:rPr>
                <w:b w:val="0"/>
                <w:sz w:val="15"/>
              </w:rPr>
              <w:t>Long-standing NATO member</w:t>
            </w:r>
          </w:p>
        </w:tc>
      </w:tr>
      <w:tr>
        <w:tc>
          <w:tcPr>
            <w:tcW w:type="dxa" w:w="1584"/>
            <w:vAlign w:val="top"/>
          </w:tcPr>
          <w:p>
            <w:pPr>
              <w:spacing w:after="0" w:line="240" w:lineRule="auto"/>
            </w:pPr>
            <w:r/>
            <w:r>
              <w:rPr>
                <w:b w:val="0"/>
                <w:sz w:val="15"/>
              </w:rPr>
              <w:t>Iceland</w:t>
            </w:r>
          </w:p>
        </w:tc>
        <w:tc>
          <w:tcPr>
            <w:tcW w:type="dxa" w:w="1080"/>
            <w:vAlign w:val="top"/>
          </w:tcPr>
          <w:p>
            <w:pPr>
              <w:spacing w:after="0" w:line="240" w:lineRule="auto"/>
            </w:pPr>
            <w:r/>
            <w:r>
              <w:rPr>
                <w:b w:val="0"/>
                <w:sz w:val="15"/>
              </w:rPr>
              <w:t>2023</w:t>
            </w:r>
          </w:p>
        </w:tc>
        <w:tc>
          <w:tcPr>
            <w:tcW w:type="dxa" w:w="2880"/>
            <w:vAlign w:val="top"/>
          </w:tcPr>
          <w:p>
            <w:pPr>
              <w:spacing w:after="0" w:line="240" w:lineRule="auto"/>
            </w:pPr>
            <w:r/>
            <w:r>
              <w:rPr>
                <w:b w:val="0"/>
                <w:sz w:val="15"/>
              </w:rPr>
              <w:t>National Security Policy</w:t>
            </w:r>
          </w:p>
        </w:tc>
        <w:tc>
          <w:tcPr>
            <w:tcW w:type="dxa" w:w="1728"/>
            <w:vAlign w:val="top"/>
          </w:tcPr>
          <w:p>
            <w:pPr>
              <w:spacing w:after="0" w:line="240" w:lineRule="auto"/>
            </w:pPr>
            <w:r/>
            <w:r>
              <w:rPr>
                <w:b w:val="0"/>
                <w:sz w:val="15"/>
              </w:rPr>
              <w:t>Post-war</w:t>
            </w:r>
          </w:p>
        </w:tc>
        <w:tc>
          <w:tcPr>
            <w:tcW w:type="dxa" w:w="2448"/>
            <w:vAlign w:val="top"/>
          </w:tcPr>
          <w:p>
            <w:pPr>
              <w:spacing w:after="0" w:line="240" w:lineRule="auto"/>
            </w:pPr>
            <w:r/>
            <w:r>
              <w:rPr>
                <w:b w:val="0"/>
                <w:sz w:val="15"/>
              </w:rPr>
              <w:t>Long-standing NATO member</w:t>
            </w:r>
          </w:p>
        </w:tc>
      </w:tr>
    </w:tbl>
    <w:p/>
    <w:p>
      <w:pPr>
        <w:pStyle w:val="Heading2"/>
      </w:pPr>
      <w:r>
        <w:t>4.2 Measures</w:t>
      </w:r>
    </w:p>
    <w:p>
      <w:r>
        <w:t>The dependent variable is military expenditure as a share of GDP from SIPRI. Alternative outcomes include log military expenditure and military expenditure growth. Because military burden is national, not Arctic-specific, the paper avoids language that equates it with a direct Arctic force posture. It is treated as a broad indicator of defence effort under changing strategic conditions.</w:t>
      </w:r>
    </w:p>
    <w:p>
      <w:r>
        <w:t>Sea-ice decline is calculated from September Arctic sea-ice extent, using NSIDC data accessed through the Our World in Data download. Energy prices are annual averages from the World Bank Pink Sheet, covering Brent oil and European natural gas. Macroeconomic controls come from the World Development Indicators and include GDP per capita, GDP growth, inflation, trade openness, population, and natural-resource rents.</w:t>
      </w:r>
    </w:p>
    <w:p>
      <w:r>
        <w:t>Content variables are built from dictionary-based scoring and manual validation. The main strategic categories include security framing, military/defence framing, sovereignty, resource access, NATO/alliance framing, Russia-threat framing, resilience/total defence, critical infrastructure, climate framing, and cooperation/governance. The scores are not presented as perfect measures of intent; they are used as structured evidence of how governments connected Arctic issues to security language.</w:t>
      </w:r>
    </w:p>
    <w:p>
      <w:pPr>
        <w:pStyle w:val="Heading2"/>
      </w:pPr>
      <w:r>
        <w:t>4.3 Software and reproducibility</w:t>
      </w:r>
    </w:p>
    <w:p>
      <w:r>
        <w:t>All data processing, text extraction, dictionary scoring, panel construction, descriptive diagnostics, baseline regressions, and robustness checks were conducted in Python. The local environment used Anaconda Python 3.13. The replication scripts use pandas, numpy, statsmodels, openpyxl, pypdf, and python-docx. Microsoft Excel was used only to inspect auditable output workbooks; it was not used to manually estimate models. Microsoft Word/LibreOffice were used for manuscript preparation and rendering checks. The GitHub-ready replication package contains the scripts, requirements file, processed data, model outputs, corpus index, codebook, and instructions for rerunning the analysis.</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top"/>
            <w:shd w:fill="D9EAF7"/>
          </w:tcPr>
          <w:p>
            <w:pPr>
              <w:spacing w:after="0" w:line="240" w:lineRule="auto"/>
            </w:pPr>
            <w:r/>
            <w:r>
              <w:rPr>
                <w:b/>
                <w:sz w:val="16"/>
              </w:rPr>
              <w:t>Task</w:t>
            </w:r>
          </w:p>
        </w:tc>
        <w:tc>
          <w:tcPr>
            <w:tcW w:type="dxa" w:w="3024"/>
            <w:vAlign w:val="top"/>
            <w:shd w:fill="D9EAF7"/>
          </w:tcPr>
          <w:p>
            <w:pPr>
              <w:spacing w:after="0" w:line="240" w:lineRule="auto"/>
            </w:pPr>
            <w:r/>
            <w:r>
              <w:rPr>
                <w:b/>
                <w:sz w:val="16"/>
              </w:rPr>
              <w:t>Software / package</w:t>
            </w:r>
          </w:p>
        </w:tc>
        <w:tc>
          <w:tcPr>
            <w:tcW w:type="dxa" w:w="4464"/>
            <w:vAlign w:val="top"/>
            <w:shd w:fill="D9EAF7"/>
          </w:tcPr>
          <w:p>
            <w:pPr>
              <w:spacing w:after="0" w:line="240" w:lineRule="auto"/>
            </w:pPr>
            <w:r/>
            <w:r>
              <w:rPr>
                <w:b/>
                <w:sz w:val="16"/>
              </w:rPr>
              <w:t>Role</w:t>
            </w:r>
          </w:p>
        </w:tc>
      </w:tr>
      <w:tr>
        <w:tc>
          <w:tcPr>
            <w:tcW w:type="dxa" w:w="2592"/>
            <w:vAlign w:val="top"/>
          </w:tcPr>
          <w:p>
            <w:pPr>
              <w:spacing w:after="0" w:line="240" w:lineRule="auto"/>
            </w:pPr>
            <w:r/>
            <w:r>
              <w:rPr>
                <w:b w:val="0"/>
                <w:sz w:val="16"/>
              </w:rPr>
              <w:t>Data cleaning and panel construction</w:t>
            </w:r>
          </w:p>
        </w:tc>
        <w:tc>
          <w:tcPr>
            <w:tcW w:type="dxa" w:w="3024"/>
            <w:vAlign w:val="top"/>
          </w:tcPr>
          <w:p>
            <w:pPr>
              <w:spacing w:after="0" w:line="240" w:lineRule="auto"/>
            </w:pPr>
            <w:r/>
            <w:r>
              <w:rPr>
                <w:b w:val="0"/>
                <w:sz w:val="16"/>
              </w:rPr>
              <w:t>Python; pandas; numpy</w:t>
            </w:r>
          </w:p>
        </w:tc>
        <w:tc>
          <w:tcPr>
            <w:tcW w:type="dxa" w:w="4464"/>
            <w:vAlign w:val="top"/>
          </w:tcPr>
          <w:p>
            <w:pPr>
              <w:spacing w:after="0" w:line="240" w:lineRule="auto"/>
            </w:pPr>
            <w:r/>
            <w:r>
              <w:rPr>
                <w:b w:val="0"/>
                <w:sz w:val="16"/>
              </w:rPr>
              <w:t>Reshaping country-year data, merging SIPRI, WDI, sea-ice, and energy-price series</w:t>
            </w:r>
          </w:p>
        </w:tc>
      </w:tr>
      <w:tr>
        <w:tc>
          <w:tcPr>
            <w:tcW w:type="dxa" w:w="2592"/>
            <w:vAlign w:val="top"/>
          </w:tcPr>
          <w:p>
            <w:pPr>
              <w:spacing w:after="0" w:line="240" w:lineRule="auto"/>
            </w:pPr>
            <w:r/>
            <w:r>
              <w:rPr>
                <w:b w:val="0"/>
                <w:sz w:val="16"/>
              </w:rPr>
              <w:t>PDF text extraction</w:t>
            </w:r>
          </w:p>
        </w:tc>
        <w:tc>
          <w:tcPr>
            <w:tcW w:type="dxa" w:w="3024"/>
            <w:vAlign w:val="top"/>
          </w:tcPr>
          <w:p>
            <w:pPr>
              <w:spacing w:after="0" w:line="240" w:lineRule="auto"/>
            </w:pPr>
            <w:r/>
            <w:r>
              <w:rPr>
                <w:b w:val="0"/>
                <w:sz w:val="16"/>
              </w:rPr>
              <w:t>Python; pypdf</w:t>
            </w:r>
          </w:p>
        </w:tc>
        <w:tc>
          <w:tcPr>
            <w:tcW w:type="dxa" w:w="4464"/>
            <w:vAlign w:val="top"/>
          </w:tcPr>
          <w:p>
            <w:pPr>
              <w:spacing w:after="0" w:line="240" w:lineRule="auto"/>
            </w:pPr>
            <w:r/>
            <w:r>
              <w:rPr>
                <w:b w:val="0"/>
                <w:sz w:val="16"/>
              </w:rPr>
              <w:t>Extracting text from official strategy documents</w:t>
            </w:r>
          </w:p>
        </w:tc>
      </w:tr>
      <w:tr>
        <w:tc>
          <w:tcPr>
            <w:tcW w:type="dxa" w:w="2592"/>
            <w:vAlign w:val="top"/>
          </w:tcPr>
          <w:p>
            <w:pPr>
              <w:spacing w:after="0" w:line="240" w:lineRule="auto"/>
            </w:pPr>
            <w:r/>
            <w:r>
              <w:rPr>
                <w:b w:val="0"/>
                <w:sz w:val="16"/>
              </w:rPr>
              <w:t>Content scoring</w:t>
            </w:r>
          </w:p>
        </w:tc>
        <w:tc>
          <w:tcPr>
            <w:tcW w:type="dxa" w:w="3024"/>
            <w:vAlign w:val="top"/>
          </w:tcPr>
          <w:p>
            <w:pPr>
              <w:spacing w:after="0" w:line="240" w:lineRule="auto"/>
            </w:pPr>
            <w:r/>
            <w:r>
              <w:rPr>
                <w:b w:val="0"/>
                <w:sz w:val="16"/>
              </w:rPr>
              <w:t>Python; pandas; dictionary scripts</w:t>
            </w:r>
          </w:p>
        </w:tc>
        <w:tc>
          <w:tcPr>
            <w:tcW w:type="dxa" w:w="4464"/>
            <w:vAlign w:val="top"/>
          </w:tcPr>
          <w:p>
            <w:pPr>
              <w:spacing w:after="0" w:line="240" w:lineRule="auto"/>
            </w:pPr>
            <w:r/>
            <w:r>
              <w:rPr>
                <w:b w:val="0"/>
                <w:sz w:val="16"/>
              </w:rPr>
              <w:t>Producing document-level framing scores and mechanism indicators</w:t>
            </w:r>
          </w:p>
        </w:tc>
      </w:tr>
      <w:tr>
        <w:tc>
          <w:tcPr>
            <w:tcW w:type="dxa" w:w="2592"/>
            <w:vAlign w:val="top"/>
          </w:tcPr>
          <w:p>
            <w:pPr>
              <w:spacing w:after="0" w:line="240" w:lineRule="auto"/>
            </w:pPr>
            <w:r/>
            <w:r>
              <w:rPr>
                <w:b w:val="0"/>
                <w:sz w:val="16"/>
              </w:rPr>
              <w:t>Econometric models</w:t>
            </w:r>
          </w:p>
        </w:tc>
        <w:tc>
          <w:tcPr>
            <w:tcW w:type="dxa" w:w="3024"/>
            <w:vAlign w:val="top"/>
          </w:tcPr>
          <w:p>
            <w:pPr>
              <w:spacing w:after="0" w:line="240" w:lineRule="auto"/>
            </w:pPr>
            <w:r/>
            <w:r>
              <w:rPr>
                <w:b w:val="0"/>
                <w:sz w:val="16"/>
              </w:rPr>
              <w:t>Python; statsmodels</w:t>
            </w:r>
          </w:p>
        </w:tc>
        <w:tc>
          <w:tcPr>
            <w:tcW w:type="dxa" w:w="4464"/>
            <w:vAlign w:val="top"/>
          </w:tcPr>
          <w:p>
            <w:pPr>
              <w:spacing w:after="0" w:line="240" w:lineRule="auto"/>
            </w:pPr>
            <w:r/>
            <w:r>
              <w:rPr>
                <w:b w:val="0"/>
                <w:sz w:val="16"/>
              </w:rPr>
              <w:t>Baseline and robustness regressions with country fixed effects</w:t>
            </w:r>
          </w:p>
        </w:tc>
      </w:tr>
      <w:tr>
        <w:tc>
          <w:tcPr>
            <w:tcW w:type="dxa" w:w="2592"/>
            <w:vAlign w:val="top"/>
          </w:tcPr>
          <w:p>
            <w:pPr>
              <w:spacing w:after="0" w:line="240" w:lineRule="auto"/>
            </w:pPr>
            <w:r/>
            <w:r>
              <w:rPr>
                <w:b w:val="0"/>
                <w:sz w:val="16"/>
              </w:rPr>
              <w:t>Workbook outputs</w:t>
            </w:r>
          </w:p>
        </w:tc>
        <w:tc>
          <w:tcPr>
            <w:tcW w:type="dxa" w:w="3024"/>
            <w:vAlign w:val="top"/>
          </w:tcPr>
          <w:p>
            <w:pPr>
              <w:spacing w:after="0" w:line="240" w:lineRule="auto"/>
            </w:pPr>
            <w:r/>
            <w:r>
              <w:rPr>
                <w:b w:val="0"/>
                <w:sz w:val="16"/>
              </w:rPr>
              <w:t>openpyxl through Python scripts</w:t>
            </w:r>
          </w:p>
        </w:tc>
        <w:tc>
          <w:tcPr>
            <w:tcW w:type="dxa" w:w="4464"/>
            <w:vAlign w:val="top"/>
          </w:tcPr>
          <w:p>
            <w:pPr>
              <w:spacing w:after="0" w:line="240" w:lineRule="auto"/>
            </w:pPr>
            <w:r/>
            <w:r>
              <w:rPr>
                <w:b w:val="0"/>
                <w:sz w:val="16"/>
              </w:rPr>
              <w:t>Writing auditable Excel outputs generated by code</w:t>
            </w:r>
          </w:p>
        </w:tc>
      </w:tr>
      <w:tr>
        <w:tc>
          <w:tcPr>
            <w:tcW w:type="dxa" w:w="2592"/>
            <w:vAlign w:val="top"/>
          </w:tcPr>
          <w:p>
            <w:pPr>
              <w:spacing w:after="0" w:line="240" w:lineRule="auto"/>
            </w:pPr>
            <w:r/>
            <w:r>
              <w:rPr>
                <w:b w:val="0"/>
                <w:sz w:val="16"/>
              </w:rPr>
              <w:t>Manuscript preparation</w:t>
            </w:r>
          </w:p>
        </w:tc>
        <w:tc>
          <w:tcPr>
            <w:tcW w:type="dxa" w:w="3024"/>
            <w:vAlign w:val="top"/>
          </w:tcPr>
          <w:p>
            <w:pPr>
              <w:spacing w:after="0" w:line="240" w:lineRule="auto"/>
            </w:pPr>
            <w:r/>
            <w:r>
              <w:rPr>
                <w:b w:val="0"/>
                <w:sz w:val="16"/>
              </w:rPr>
              <w:t>python-docx; Microsoft Word/LibreOffice</w:t>
            </w:r>
          </w:p>
        </w:tc>
        <w:tc>
          <w:tcPr>
            <w:tcW w:type="dxa" w:w="4464"/>
            <w:vAlign w:val="top"/>
          </w:tcPr>
          <w:p>
            <w:pPr>
              <w:spacing w:after="0" w:line="240" w:lineRule="auto"/>
            </w:pPr>
            <w:r/>
            <w:r>
              <w:rPr>
                <w:b w:val="0"/>
                <w:sz w:val="16"/>
              </w:rPr>
              <w:t>Drafting, formatting, and render checks</w:t>
            </w:r>
          </w:p>
        </w:tc>
      </w:tr>
    </w:tbl>
    <w:p/>
    <w:p>
      <w:pPr>
        <w:pStyle w:val="Heading2"/>
      </w:pPr>
      <w:r>
        <w:t>4.4 Baseline specification</w:t>
      </w:r>
    </w:p>
    <w:p>
      <w:r>
        <w:t>The main specification estimates military burden as a function of sea-ice decline, energy prices, the post-2022 war period, macroeconomic controls, and country fixed effects. Year fixed effects are not included in the main specifications because sea-ice and energy-price variables vary only by year and would therefore be absorbed. This is a substantive trade-off rather than an oversight; the models are interpreted as screening and mechanism tests rather than as exhaustive causal identification.</w:t>
      </w:r>
    </w:p>
    <w:p>
      <w:r>
        <w:t>MilitaryBurden_it = alpha_i + beta1 SeaIceDecline_t + beta2 EnergyPrice_t + beta3 Post2022_t + beta4 X_it + epsilon_it</w:t>
      </w:r>
    </w:p>
    <w:p>
      <w:pPr>
        <w:pStyle w:val="Heading1"/>
      </w:pPr>
      <w:r>
        <w:t>5. Results</w:t>
      </w:r>
    </w:p>
    <w:p>
      <w:r>
        <w:t>The results point in one direction more clearly than in others. The direct sea-ice coefficient is small and unstable across the main specifications. Energy prices do not rescue a simple environmental-access argument. By contrast, the post-2022 coefficient is consistently positive in the screening models. The empirical centre of the paper is therefore the post-2022 alliance-security shift, not an automatic climate-to-militarisation path.</w:t>
      </w:r>
    </w:p>
    <w:p>
      <w:pPr>
        <w:pStyle w:val="Heading2"/>
      </w:pPr>
      <w:r>
        <w:t>Table 1. Main panel screening models: military burden (% GDP)</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448"/>
            <w:vAlign w:val="top"/>
            <w:shd w:fill="D9EAF7"/>
          </w:tcPr>
          <w:p>
            <w:pPr>
              <w:spacing w:after="0" w:line="240" w:lineRule="auto"/>
            </w:pPr>
            <w:r/>
            <w:r>
              <w:rPr>
                <w:b/>
                <w:sz w:val="14"/>
              </w:rPr>
            </w:r>
          </w:p>
        </w:tc>
        <w:tc>
          <w:tcPr>
            <w:tcW w:type="dxa" w:w="1728"/>
            <w:vAlign w:val="top"/>
            <w:shd w:fill="D9EAF7"/>
          </w:tcPr>
          <w:p>
            <w:pPr>
              <w:spacing w:after="0" w:line="240" w:lineRule="auto"/>
            </w:pPr>
            <w:r/>
            <w:r>
              <w:rPr>
                <w:b/>
                <w:sz w:val="14"/>
              </w:rPr>
            </w:r>
          </w:p>
        </w:tc>
        <w:tc>
          <w:tcPr>
            <w:tcW w:type="dxa" w:w="1872"/>
            <w:vAlign w:val="top"/>
            <w:shd w:fill="D9EAF7"/>
          </w:tcPr>
          <w:p>
            <w:pPr>
              <w:spacing w:after="0" w:line="240" w:lineRule="auto"/>
            </w:pPr>
            <w:r/>
            <w:r>
              <w:rPr>
                <w:b/>
                <w:sz w:val="14"/>
              </w:rPr>
            </w:r>
          </w:p>
        </w:tc>
        <w:tc>
          <w:tcPr>
            <w:tcW w:type="dxa" w:w="1872"/>
            <w:vAlign w:val="top"/>
            <w:shd w:fill="D9EAF7"/>
          </w:tcPr>
          <w:p>
            <w:pPr>
              <w:spacing w:after="0" w:line="240" w:lineRule="auto"/>
            </w:pPr>
            <w:r/>
            <w:r>
              <w:rPr>
                <w:b/>
                <w:sz w:val="14"/>
              </w:rPr>
            </w:r>
          </w:p>
        </w:tc>
        <w:tc>
          <w:tcPr>
            <w:tcW w:type="dxa" w:w="1728"/>
            <w:vAlign w:val="top"/>
            <w:shd w:fill="D9EAF7"/>
          </w:tcPr>
          <w:p>
            <w:pPr>
              <w:spacing w:after="0" w:line="240" w:lineRule="auto"/>
            </w:pPr>
            <w:r/>
            <w:r>
              <w:rPr>
                <w:b/>
                <w:sz w:val="14"/>
              </w:rPr>
            </w:r>
          </w:p>
        </w:tc>
        <w:tc>
          <w:tcPr>
            <w:tcW w:type="dxa" w:w="1728"/>
            <w:vAlign w:val="top"/>
            <w:shd w:fill="D9EAF7"/>
          </w:tcPr>
          <w:p>
            <w:pPr>
              <w:spacing w:after="0" w:line="240" w:lineRule="auto"/>
            </w:pPr>
            <w:r/>
            <w:r>
              <w:rPr>
                <w:b/>
                <w:sz w:val="14"/>
              </w:rPr>
            </w:r>
          </w:p>
        </w:tc>
      </w:tr>
      <w:tr>
        <w:tc>
          <w:tcPr>
            <w:tcW w:type="dxa" w:w="2448"/>
            <w:vAlign w:val="top"/>
          </w:tcPr>
          <w:p>
            <w:pPr>
              <w:spacing w:after="0" w:line="240" w:lineRule="auto"/>
            </w:pPr>
            <w:r/>
            <w:r>
              <w:rPr>
                <w:b w:val="0"/>
                <w:sz w:val="14"/>
              </w:rPr>
              <w:t>Variable</w:t>
            </w:r>
          </w:p>
        </w:tc>
        <w:tc>
          <w:tcPr>
            <w:tcW w:type="dxa" w:w="1728"/>
            <w:vAlign w:val="top"/>
          </w:tcPr>
          <w:p>
            <w:pPr>
              <w:spacing w:after="0" w:line="240" w:lineRule="auto"/>
            </w:pPr>
            <w:r/>
            <w:r>
              <w:rPr>
                <w:b w:val="0"/>
                <w:sz w:val="14"/>
              </w:rPr>
              <w:t>Baseline</w:t>
              <w:br/>
              <w:t>Arctic Eight</w:t>
            </w:r>
          </w:p>
        </w:tc>
        <w:tc>
          <w:tcPr>
            <w:tcW w:type="dxa" w:w="1872"/>
            <w:vAlign w:val="top"/>
          </w:tcPr>
          <w:p>
            <w:pPr>
              <w:spacing w:after="0" w:line="240" w:lineRule="auto"/>
            </w:pPr>
            <w:r/>
            <w:r>
              <w:rPr>
                <w:b w:val="0"/>
                <w:sz w:val="14"/>
              </w:rPr>
              <w:t>Energy interaction</w:t>
              <w:br/>
              <w:t>Arctic Eight</w:t>
            </w:r>
          </w:p>
        </w:tc>
        <w:tc>
          <w:tcPr>
            <w:tcW w:type="dxa" w:w="1872"/>
            <w:vAlign w:val="top"/>
          </w:tcPr>
          <w:p>
            <w:pPr>
              <w:spacing w:after="0" w:line="240" w:lineRule="auto"/>
            </w:pPr>
            <w:r/>
            <w:r>
              <w:rPr>
                <w:b w:val="0"/>
                <w:sz w:val="14"/>
              </w:rPr>
              <w:t>Lagged env./energy</w:t>
              <w:br/>
              <w:t>Arctic Eight</w:t>
            </w:r>
          </w:p>
        </w:tc>
        <w:tc>
          <w:tcPr>
            <w:tcW w:type="dxa" w:w="1728"/>
            <w:vAlign w:val="top"/>
          </w:tcPr>
          <w:p>
            <w:pPr>
              <w:spacing w:after="0" w:line="240" w:lineRule="auto"/>
            </w:pPr>
            <w:r/>
            <w:r>
              <w:rPr>
                <w:b w:val="0"/>
                <w:sz w:val="14"/>
              </w:rPr>
              <w:t>Post-2022 × NATO</w:t>
            </w:r>
          </w:p>
        </w:tc>
        <w:tc>
          <w:tcPr>
            <w:tcW w:type="dxa" w:w="1728"/>
            <w:vAlign w:val="top"/>
          </w:tcPr>
          <w:p>
            <w:pPr>
              <w:spacing w:after="0" w:line="240" w:lineRule="auto"/>
            </w:pPr>
            <w:r/>
            <w:r>
              <w:rPr>
                <w:b w:val="0"/>
                <w:sz w:val="14"/>
              </w:rPr>
              <w:t>Post-2022 × Russia</w:t>
            </w:r>
          </w:p>
        </w:tc>
      </w:tr>
      <w:tr>
        <w:tc>
          <w:tcPr>
            <w:tcW w:type="dxa" w:w="2448"/>
            <w:vAlign w:val="top"/>
          </w:tcPr>
          <w:p>
            <w:pPr>
              <w:spacing w:after="0" w:line="240" w:lineRule="auto"/>
            </w:pPr>
            <w:r/>
            <w:r>
              <w:rPr>
                <w:b w:val="0"/>
                <w:sz w:val="14"/>
              </w:rPr>
              <w:t>Sea-ice decline</w:t>
            </w:r>
          </w:p>
        </w:tc>
        <w:tc>
          <w:tcPr>
            <w:tcW w:type="dxa" w:w="1728"/>
            <w:vAlign w:val="top"/>
          </w:tcPr>
          <w:p>
            <w:pPr>
              <w:spacing w:after="0" w:line="240" w:lineRule="auto"/>
            </w:pPr>
            <w:r/>
            <w:r>
              <w:rPr>
                <w:b w:val="0"/>
                <w:sz w:val="14"/>
              </w:rPr>
              <w:t>-0.012</w:t>
              <w:br/>
              <w:t>(0.039)</w:t>
            </w:r>
          </w:p>
        </w:tc>
        <w:tc>
          <w:tcPr>
            <w:tcW w:type="dxa" w:w="1872"/>
            <w:vAlign w:val="top"/>
          </w:tcPr>
          <w:p>
            <w:pPr>
              <w:spacing w:after="0" w:line="240" w:lineRule="auto"/>
            </w:pPr>
            <w:r/>
            <w:r>
              <w:rPr>
                <w:b w:val="0"/>
                <w:sz w:val="14"/>
              </w:rPr>
              <w:t>0.026</w:t>
              <w:br/>
              <w:t>(0.114)</w:t>
            </w:r>
          </w:p>
        </w:tc>
        <w:tc>
          <w:tcPr>
            <w:tcW w:type="dxa" w:w="1872"/>
            <w:vAlign w:val="top"/>
          </w:tcPr>
          <w:p>
            <w:pPr>
              <w:spacing w:after="0" w:line="240" w:lineRule="auto"/>
            </w:pPr>
            <w:r/>
            <w:r>
              <w:rPr>
                <w:b w:val="0"/>
                <w:sz w:val="14"/>
              </w:rPr>
              <w:t>0.026</w:t>
              <w:br/>
              <w:t>(0.112)</w:t>
            </w:r>
          </w:p>
        </w:tc>
        <w:tc>
          <w:tcPr>
            <w:tcW w:type="dxa" w:w="1728"/>
            <w:vAlign w:val="top"/>
          </w:tcPr>
          <w:p>
            <w:pPr>
              <w:spacing w:after="0" w:line="240" w:lineRule="auto"/>
            </w:pPr>
            <w:r/>
            <w:r>
              <w:rPr>
                <w:b w:val="0"/>
                <w:sz w:val="14"/>
              </w:rPr>
              <w:t>-0.016</w:t>
              <w:br/>
              <w:t>(0.038)</w:t>
            </w:r>
          </w:p>
        </w:tc>
        <w:tc>
          <w:tcPr>
            <w:tcW w:type="dxa" w:w="1728"/>
            <w:vAlign w:val="top"/>
          </w:tcPr>
          <w:p>
            <w:pPr>
              <w:spacing w:after="0" w:line="240" w:lineRule="auto"/>
            </w:pPr>
            <w:r/>
            <w:r>
              <w:rPr>
                <w:b w:val="0"/>
                <w:sz w:val="14"/>
              </w:rPr>
              <w:t>-0.008</w:t>
              <w:br/>
              <w:t>(0.034)</w:t>
            </w:r>
          </w:p>
        </w:tc>
      </w:tr>
      <w:tr>
        <w:tc>
          <w:tcPr>
            <w:tcW w:type="dxa" w:w="2448"/>
            <w:vAlign w:val="top"/>
          </w:tcPr>
          <w:p>
            <w:pPr>
              <w:spacing w:after="0" w:line="240" w:lineRule="auto"/>
            </w:pPr>
            <w:r/>
            <w:r>
              <w:rPr>
                <w:b w:val="0"/>
                <w:sz w:val="14"/>
              </w:rPr>
              <w:t>Energy price index</w:t>
            </w:r>
          </w:p>
        </w:tc>
        <w:tc>
          <w:tcPr>
            <w:tcW w:type="dxa" w:w="1728"/>
            <w:vAlign w:val="top"/>
          </w:tcPr>
          <w:p>
            <w:pPr>
              <w:spacing w:after="0" w:line="240" w:lineRule="auto"/>
            </w:pPr>
            <w:r/>
            <w:r>
              <w:rPr>
                <w:b w:val="0"/>
                <w:sz w:val="14"/>
              </w:rPr>
              <w:t>-0.001</w:t>
              <w:br/>
              <w:t>(0.001)</w:t>
            </w:r>
          </w:p>
        </w:tc>
        <w:tc>
          <w:tcPr>
            <w:tcW w:type="dxa" w:w="1872"/>
            <w:vAlign w:val="top"/>
          </w:tcPr>
          <w:p>
            <w:pPr>
              <w:spacing w:after="0" w:line="240" w:lineRule="auto"/>
            </w:pPr>
            <w:r/>
            <w:r>
              <w:rPr>
                <w:b w:val="0"/>
                <w:sz w:val="14"/>
              </w:rPr>
              <w:t>-0.001</w:t>
              <w:br/>
              <w:t>(0.001)</w:t>
            </w:r>
          </w:p>
        </w:tc>
        <w:tc>
          <w:tcPr>
            <w:tcW w:type="dxa" w:w="1872"/>
            <w:vAlign w:val="top"/>
          </w:tcPr>
          <w:p>
            <w:pPr>
              <w:spacing w:after="0" w:line="240" w:lineRule="auto"/>
            </w:pPr>
            <w:r/>
            <w:r>
              <w:rPr>
                <w:b w:val="0"/>
                <w:sz w:val="14"/>
              </w:rPr>
              <w:t>-0.000</w:t>
              <w:br/>
              <w:t>(0.001)</w:t>
            </w:r>
          </w:p>
        </w:tc>
        <w:tc>
          <w:tcPr>
            <w:tcW w:type="dxa" w:w="1728"/>
            <w:vAlign w:val="top"/>
          </w:tcPr>
          <w:p>
            <w:pPr>
              <w:spacing w:after="0" w:line="240" w:lineRule="auto"/>
            </w:pPr>
            <w:r/>
            <w:r>
              <w:rPr>
                <w:b w:val="0"/>
                <w:sz w:val="14"/>
              </w:rPr>
              <w:t>-0.001</w:t>
              <w:br/>
              <w:t>(0.001)</w:t>
            </w:r>
          </w:p>
        </w:tc>
        <w:tc>
          <w:tcPr>
            <w:tcW w:type="dxa" w:w="1728"/>
            <w:vAlign w:val="top"/>
          </w:tcPr>
          <w:p>
            <w:pPr>
              <w:spacing w:after="0" w:line="240" w:lineRule="auto"/>
            </w:pPr>
            <w:r/>
            <w:r>
              <w:rPr>
                <w:b w:val="0"/>
                <w:sz w:val="14"/>
              </w:rPr>
              <w:t>-0.001</w:t>
              <w:br/>
              <w:t>(0.001)</w:t>
            </w:r>
          </w:p>
        </w:tc>
      </w:tr>
      <w:tr>
        <w:tc>
          <w:tcPr>
            <w:tcW w:type="dxa" w:w="2448"/>
            <w:vAlign w:val="top"/>
          </w:tcPr>
          <w:p>
            <w:pPr>
              <w:spacing w:after="0" w:line="240" w:lineRule="auto"/>
            </w:pPr>
            <w:r/>
            <w:r>
              <w:rPr>
                <w:b w:val="0"/>
                <w:sz w:val="14"/>
              </w:rPr>
              <w:t>Sea-ice × energy</w:t>
            </w:r>
          </w:p>
        </w:tc>
        <w:tc>
          <w:tcPr>
            <w:tcW w:type="dxa" w:w="1728"/>
            <w:vAlign w:val="top"/>
          </w:tcPr>
          <w:p>
            <w:pPr>
              <w:spacing w:after="0" w:line="240" w:lineRule="auto"/>
            </w:pPr>
            <w:r/>
            <w:r>
              <w:rPr>
                <w:b w:val="0"/>
                <w:sz w:val="14"/>
              </w:rPr>
            </w:r>
          </w:p>
        </w:tc>
        <w:tc>
          <w:tcPr>
            <w:tcW w:type="dxa" w:w="1872"/>
            <w:vAlign w:val="top"/>
          </w:tcPr>
          <w:p>
            <w:pPr>
              <w:spacing w:after="0" w:line="240" w:lineRule="auto"/>
            </w:pPr>
            <w:r/>
            <w:r>
              <w:rPr>
                <w:b w:val="0"/>
                <w:sz w:val="14"/>
              </w:rPr>
              <w:t>-0.000</w:t>
              <w:br/>
              <w:t>(0.001)</w:t>
            </w:r>
          </w:p>
        </w:tc>
        <w:tc>
          <w:tcPr>
            <w:tcW w:type="dxa" w:w="1872"/>
            <w:vAlign w:val="top"/>
          </w:tcPr>
          <w:p>
            <w:pPr>
              <w:spacing w:after="0" w:line="240" w:lineRule="auto"/>
            </w:pPr>
            <w:r/>
            <w:r>
              <w:rPr>
                <w:b w:val="0"/>
                <w:sz w:val="14"/>
              </w:rPr>
              <w:t>0.000</w:t>
              <w:br/>
              <w:t>(0.001)</w:t>
            </w:r>
          </w:p>
        </w:tc>
        <w:tc>
          <w:tcPr>
            <w:tcW w:type="dxa" w:w="1728"/>
            <w:vAlign w:val="top"/>
          </w:tcPr>
          <w:p>
            <w:pPr>
              <w:spacing w:after="0" w:line="240" w:lineRule="auto"/>
            </w:pPr>
            <w:r/>
            <w:r>
              <w:rPr>
                <w:b w:val="0"/>
                <w:sz w:val="14"/>
              </w:rPr>
            </w:r>
          </w:p>
        </w:tc>
        <w:tc>
          <w:tcPr>
            <w:tcW w:type="dxa" w:w="1728"/>
            <w:vAlign w:val="top"/>
          </w:tcPr>
          <w:p>
            <w:pPr>
              <w:spacing w:after="0" w:line="240" w:lineRule="auto"/>
            </w:pPr>
            <w:r/>
            <w:r>
              <w:rPr>
                <w:b w:val="0"/>
                <w:sz w:val="14"/>
              </w:rPr>
            </w:r>
          </w:p>
        </w:tc>
      </w:tr>
      <w:tr>
        <w:tc>
          <w:tcPr>
            <w:tcW w:type="dxa" w:w="2448"/>
            <w:vAlign w:val="top"/>
          </w:tcPr>
          <w:p>
            <w:pPr>
              <w:spacing w:after="0" w:line="240" w:lineRule="auto"/>
            </w:pPr>
            <w:r/>
            <w:r>
              <w:rPr>
                <w:b w:val="0"/>
                <w:sz w:val="14"/>
              </w:rPr>
              <w:t>Post-2022 war</w:t>
            </w:r>
          </w:p>
        </w:tc>
        <w:tc>
          <w:tcPr>
            <w:tcW w:type="dxa" w:w="1728"/>
            <w:vAlign w:val="top"/>
          </w:tcPr>
          <w:p>
            <w:pPr>
              <w:spacing w:after="0" w:line="240" w:lineRule="auto"/>
            </w:pPr>
            <w:r/>
            <w:r>
              <w:rPr>
                <w:b w:val="0"/>
                <w:sz w:val="14"/>
              </w:rPr>
              <w:t>0.690***</w:t>
              <w:br/>
              <w:t>(0.245)</w:t>
            </w:r>
          </w:p>
        </w:tc>
        <w:tc>
          <w:tcPr>
            <w:tcW w:type="dxa" w:w="1872"/>
            <w:vAlign w:val="top"/>
          </w:tcPr>
          <w:p>
            <w:pPr>
              <w:spacing w:after="0" w:line="240" w:lineRule="auto"/>
            </w:pPr>
            <w:r/>
            <w:r>
              <w:rPr>
                <w:b w:val="0"/>
                <w:sz w:val="14"/>
              </w:rPr>
              <w:t>0.697***</w:t>
              <w:br/>
              <w:t>(0.248)</w:t>
            </w:r>
          </w:p>
        </w:tc>
        <w:tc>
          <w:tcPr>
            <w:tcW w:type="dxa" w:w="1872"/>
            <w:vAlign w:val="top"/>
          </w:tcPr>
          <w:p>
            <w:pPr>
              <w:spacing w:after="0" w:line="240" w:lineRule="auto"/>
            </w:pPr>
            <w:r/>
            <w:r>
              <w:rPr>
                <w:b w:val="0"/>
                <w:sz w:val="14"/>
              </w:rPr>
              <w:t>0.693***</w:t>
              <w:br/>
              <w:t>(0.262)</w:t>
            </w:r>
          </w:p>
        </w:tc>
        <w:tc>
          <w:tcPr>
            <w:tcW w:type="dxa" w:w="1728"/>
            <w:vAlign w:val="top"/>
          </w:tcPr>
          <w:p>
            <w:pPr>
              <w:spacing w:after="0" w:line="240" w:lineRule="auto"/>
            </w:pPr>
            <w:r/>
            <w:r>
              <w:rPr>
                <w:b w:val="0"/>
                <w:sz w:val="14"/>
              </w:rPr>
              <w:t>1.235**</w:t>
              <w:br/>
              <w:t>(0.543)</w:t>
            </w:r>
          </w:p>
        </w:tc>
        <w:tc>
          <w:tcPr>
            <w:tcW w:type="dxa" w:w="1728"/>
            <w:vAlign w:val="top"/>
          </w:tcPr>
          <w:p>
            <w:pPr>
              <w:spacing w:after="0" w:line="240" w:lineRule="auto"/>
            </w:pPr>
            <w:r/>
            <w:r>
              <w:rPr>
                <w:b w:val="0"/>
                <w:sz w:val="14"/>
              </w:rPr>
              <w:t>0.402***</w:t>
              <w:br/>
              <w:t>(0.137)</w:t>
            </w:r>
          </w:p>
        </w:tc>
      </w:tr>
      <w:tr>
        <w:tc>
          <w:tcPr>
            <w:tcW w:type="dxa" w:w="2448"/>
            <w:vAlign w:val="top"/>
          </w:tcPr>
          <w:p>
            <w:pPr>
              <w:spacing w:after="0" w:line="240" w:lineRule="auto"/>
            </w:pPr>
            <w:r/>
            <w:r>
              <w:rPr>
                <w:b w:val="0"/>
                <w:sz w:val="14"/>
              </w:rPr>
              <w:t>Post-2022 × NATO</w:t>
            </w:r>
          </w:p>
        </w:tc>
        <w:tc>
          <w:tcPr>
            <w:tcW w:type="dxa" w:w="1728"/>
            <w:vAlign w:val="top"/>
          </w:tcPr>
          <w:p>
            <w:pPr>
              <w:spacing w:after="0" w:line="240" w:lineRule="auto"/>
            </w:pPr>
            <w:r/>
            <w:r>
              <w:rPr>
                <w:b w:val="0"/>
                <w:sz w:val="14"/>
              </w:rPr>
            </w:r>
          </w:p>
        </w:tc>
        <w:tc>
          <w:tcPr>
            <w:tcW w:type="dxa" w:w="1872"/>
            <w:vAlign w:val="top"/>
          </w:tcPr>
          <w:p>
            <w:pPr>
              <w:spacing w:after="0" w:line="240" w:lineRule="auto"/>
            </w:pPr>
            <w:r/>
            <w:r>
              <w:rPr>
                <w:b w:val="0"/>
                <w:sz w:val="14"/>
              </w:rPr>
            </w:r>
          </w:p>
        </w:tc>
        <w:tc>
          <w:tcPr>
            <w:tcW w:type="dxa" w:w="1872"/>
            <w:vAlign w:val="top"/>
          </w:tcPr>
          <w:p>
            <w:pPr>
              <w:spacing w:after="0" w:line="240" w:lineRule="auto"/>
            </w:pPr>
            <w:r/>
            <w:r>
              <w:rPr>
                <w:b w:val="0"/>
                <w:sz w:val="14"/>
              </w:rPr>
            </w:r>
          </w:p>
        </w:tc>
        <w:tc>
          <w:tcPr>
            <w:tcW w:type="dxa" w:w="1728"/>
            <w:vAlign w:val="top"/>
          </w:tcPr>
          <w:p>
            <w:pPr>
              <w:spacing w:after="0" w:line="240" w:lineRule="auto"/>
            </w:pPr>
            <w:r/>
            <w:r>
              <w:rPr>
                <w:b w:val="0"/>
                <w:sz w:val="14"/>
              </w:rPr>
              <w:t>-0.729</w:t>
              <w:br/>
              <w:t>(0.483)</w:t>
            </w:r>
          </w:p>
        </w:tc>
        <w:tc>
          <w:tcPr>
            <w:tcW w:type="dxa" w:w="1728"/>
            <w:vAlign w:val="top"/>
          </w:tcPr>
          <w:p>
            <w:pPr>
              <w:spacing w:after="0" w:line="240" w:lineRule="auto"/>
            </w:pPr>
            <w:r/>
            <w:r>
              <w:rPr>
                <w:b w:val="0"/>
                <w:sz w:val="14"/>
              </w:rPr>
            </w:r>
          </w:p>
        </w:tc>
      </w:tr>
      <w:tr>
        <w:tc>
          <w:tcPr>
            <w:tcW w:type="dxa" w:w="2448"/>
            <w:vAlign w:val="top"/>
          </w:tcPr>
          <w:p>
            <w:pPr>
              <w:spacing w:after="0" w:line="240" w:lineRule="auto"/>
            </w:pPr>
            <w:r/>
            <w:r>
              <w:rPr>
                <w:b w:val="0"/>
                <w:sz w:val="14"/>
              </w:rPr>
              <w:t>Post-2022 × Russia</w:t>
            </w:r>
          </w:p>
        </w:tc>
        <w:tc>
          <w:tcPr>
            <w:tcW w:type="dxa" w:w="1728"/>
            <w:vAlign w:val="top"/>
          </w:tcPr>
          <w:p>
            <w:pPr>
              <w:spacing w:after="0" w:line="240" w:lineRule="auto"/>
            </w:pPr>
            <w:r/>
            <w:r>
              <w:rPr>
                <w:b w:val="0"/>
                <w:sz w:val="14"/>
              </w:rPr>
            </w:r>
          </w:p>
        </w:tc>
        <w:tc>
          <w:tcPr>
            <w:tcW w:type="dxa" w:w="1872"/>
            <w:vAlign w:val="top"/>
          </w:tcPr>
          <w:p>
            <w:pPr>
              <w:spacing w:after="0" w:line="240" w:lineRule="auto"/>
            </w:pPr>
            <w:r/>
            <w:r>
              <w:rPr>
                <w:b w:val="0"/>
                <w:sz w:val="14"/>
              </w:rPr>
            </w:r>
          </w:p>
        </w:tc>
        <w:tc>
          <w:tcPr>
            <w:tcW w:type="dxa" w:w="1872"/>
            <w:vAlign w:val="top"/>
          </w:tcPr>
          <w:p>
            <w:pPr>
              <w:spacing w:after="0" w:line="240" w:lineRule="auto"/>
            </w:pPr>
            <w:r/>
            <w:r>
              <w:rPr>
                <w:b w:val="0"/>
                <w:sz w:val="14"/>
              </w:rPr>
            </w:r>
          </w:p>
        </w:tc>
        <w:tc>
          <w:tcPr>
            <w:tcW w:type="dxa" w:w="1728"/>
            <w:vAlign w:val="top"/>
          </w:tcPr>
          <w:p>
            <w:pPr>
              <w:spacing w:after="0" w:line="240" w:lineRule="auto"/>
            </w:pPr>
            <w:r/>
            <w:r>
              <w:rPr>
                <w:b w:val="0"/>
                <w:sz w:val="14"/>
              </w:rPr>
            </w:r>
          </w:p>
        </w:tc>
        <w:tc>
          <w:tcPr>
            <w:tcW w:type="dxa" w:w="1728"/>
            <w:vAlign w:val="top"/>
          </w:tcPr>
          <w:p>
            <w:pPr>
              <w:spacing w:after="0" w:line="240" w:lineRule="auto"/>
            </w:pPr>
            <w:r/>
            <w:r>
              <w:rPr>
                <w:b w:val="0"/>
                <w:sz w:val="14"/>
              </w:rPr>
              <w:t>1.532*</w:t>
              <w:br/>
              <w:t>(0.870)</w:t>
            </w:r>
          </w:p>
        </w:tc>
      </w:tr>
      <w:tr>
        <w:tc>
          <w:tcPr>
            <w:tcW w:type="dxa" w:w="2448"/>
            <w:vAlign w:val="top"/>
          </w:tcPr>
          <w:p>
            <w:pPr>
              <w:spacing w:after="0" w:line="240" w:lineRule="auto"/>
            </w:pPr>
            <w:r/>
            <w:r>
              <w:rPr>
                <w:b w:val="0"/>
                <w:sz w:val="14"/>
              </w:rPr>
              <w:t>GDP per capita (log)</w:t>
            </w:r>
          </w:p>
        </w:tc>
        <w:tc>
          <w:tcPr>
            <w:tcW w:type="dxa" w:w="1728"/>
            <w:vAlign w:val="top"/>
          </w:tcPr>
          <w:p>
            <w:pPr>
              <w:spacing w:after="0" w:line="240" w:lineRule="auto"/>
            </w:pPr>
            <w:r/>
            <w:r>
              <w:rPr>
                <w:b w:val="0"/>
                <w:sz w:val="14"/>
              </w:rPr>
              <w:t>-0.006</w:t>
              <w:br/>
              <w:t>(0.226)</w:t>
            </w:r>
          </w:p>
        </w:tc>
        <w:tc>
          <w:tcPr>
            <w:tcW w:type="dxa" w:w="1872"/>
            <w:vAlign w:val="top"/>
          </w:tcPr>
          <w:p>
            <w:pPr>
              <w:spacing w:after="0" w:line="240" w:lineRule="auto"/>
            </w:pPr>
            <w:r/>
            <w:r>
              <w:rPr>
                <w:b w:val="0"/>
                <w:sz w:val="14"/>
              </w:rPr>
              <w:t>-0.007</w:t>
              <w:br/>
              <w:t>(0.225)</w:t>
            </w:r>
          </w:p>
        </w:tc>
        <w:tc>
          <w:tcPr>
            <w:tcW w:type="dxa" w:w="1872"/>
            <w:vAlign w:val="top"/>
          </w:tcPr>
          <w:p>
            <w:pPr>
              <w:spacing w:after="0" w:line="240" w:lineRule="auto"/>
            </w:pPr>
            <w:r/>
            <w:r>
              <w:rPr>
                <w:b w:val="0"/>
                <w:sz w:val="14"/>
              </w:rPr>
              <w:t>-0.098</w:t>
              <w:br/>
              <w:t>(0.147)</w:t>
            </w:r>
          </w:p>
        </w:tc>
        <w:tc>
          <w:tcPr>
            <w:tcW w:type="dxa" w:w="1728"/>
            <w:vAlign w:val="top"/>
          </w:tcPr>
          <w:p>
            <w:pPr>
              <w:spacing w:after="0" w:line="240" w:lineRule="auto"/>
            </w:pPr>
            <w:r/>
            <w:r>
              <w:rPr>
                <w:b w:val="0"/>
                <w:sz w:val="14"/>
              </w:rPr>
              <w:t>-0.020</w:t>
              <w:br/>
              <w:t>(0.224)</w:t>
            </w:r>
          </w:p>
        </w:tc>
        <w:tc>
          <w:tcPr>
            <w:tcW w:type="dxa" w:w="1728"/>
            <w:vAlign w:val="top"/>
          </w:tcPr>
          <w:p>
            <w:pPr>
              <w:spacing w:after="0" w:line="240" w:lineRule="auto"/>
            </w:pPr>
            <w:r/>
            <w:r>
              <w:rPr>
                <w:b w:val="0"/>
                <w:sz w:val="14"/>
              </w:rPr>
              <w:t>-0.097</w:t>
              <w:br/>
              <w:t>(0.192)</w:t>
            </w:r>
          </w:p>
        </w:tc>
      </w:tr>
    </w:tbl>
    <w:p/>
    <w:p>
      <w:r>
        <w:t>Note: Standard errors are in parentheses. The table is used for screening and substantive interpretation. It should not be read as a final causal design with year fixed effects.</w:t>
      </w:r>
    </w:p>
    <w:p>
      <w:pPr>
        <w:pStyle w:val="Heading2"/>
      </w:pPr>
      <w:r>
        <w:t>5.1 Robustness checks</w:t>
      </w:r>
    </w:p>
    <w:p>
      <w:r>
        <w:t>Robustness checks test whether the core signal is driven by special cases. Excluding Iceland addresses its unusual defence structure. Excluding Russia checks whether the rival case alone drives the post-2022 association. The Coastal Five restriction focuses on direct Arctic exposure. The NATO-state sample isolates the alliance side. These checks do not all carry the same inferential weight, but they help identify whether the result is merely a single-country artefact.</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792"/>
            <w:vAlign w:val="top"/>
            <w:shd w:fill="D9EAF7"/>
          </w:tcPr>
          <w:p>
            <w:pPr>
              <w:spacing w:after="0" w:line="240" w:lineRule="auto"/>
            </w:pPr>
            <w:r/>
            <w:r>
              <w:rPr>
                <w:b/>
                <w:sz w:val="13"/>
              </w:rPr>
            </w:r>
          </w:p>
        </w:tc>
        <w:tc>
          <w:tcPr>
            <w:tcW w:type="dxa" w:w="2448"/>
            <w:vAlign w:val="top"/>
            <w:shd w:fill="D9EAF7"/>
          </w:tcPr>
          <w:p>
            <w:pPr>
              <w:spacing w:after="0" w:line="240" w:lineRule="auto"/>
            </w:pPr>
            <w:r/>
            <w:r>
              <w:rPr>
                <w:b/>
                <w:sz w:val="13"/>
              </w:rPr>
            </w:r>
          </w:p>
        </w:tc>
        <w:tc>
          <w:tcPr>
            <w:tcW w:type="dxa" w:w="648"/>
            <w:vAlign w:val="top"/>
            <w:shd w:fill="D9EAF7"/>
          </w:tcPr>
          <w:p>
            <w:pPr>
              <w:spacing w:after="0" w:line="240" w:lineRule="auto"/>
            </w:pPr>
            <w:r/>
            <w:r>
              <w:rPr>
                <w:b/>
                <w:sz w:val="13"/>
              </w:rPr>
            </w:r>
          </w:p>
        </w:tc>
        <w:tc>
          <w:tcPr>
            <w:tcW w:type="dxa" w:w="648"/>
            <w:vAlign w:val="top"/>
            <w:shd w:fill="D9EAF7"/>
          </w:tcPr>
          <w:p>
            <w:pPr>
              <w:spacing w:after="0" w:line="240" w:lineRule="auto"/>
            </w:pPr>
            <w:r/>
            <w:r>
              <w:rPr>
                <w:b/>
                <w:sz w:val="13"/>
              </w:rPr>
            </w:r>
          </w:p>
        </w:tc>
        <w:tc>
          <w:tcPr>
            <w:tcW w:type="dxa" w:w="792"/>
            <w:vAlign w:val="top"/>
            <w:shd w:fill="D9EAF7"/>
          </w:tcPr>
          <w:p>
            <w:pPr>
              <w:spacing w:after="0" w:line="240" w:lineRule="auto"/>
            </w:pPr>
            <w:r/>
            <w:r>
              <w:rPr>
                <w:b/>
                <w:sz w:val="13"/>
              </w:rPr>
            </w:r>
          </w:p>
        </w:tc>
        <w:tc>
          <w:tcPr>
            <w:tcW w:type="dxa" w:w="2448"/>
            <w:vAlign w:val="top"/>
            <w:shd w:fill="D9EAF7"/>
          </w:tcPr>
          <w:p>
            <w:pPr>
              <w:spacing w:after="0" w:line="240" w:lineRule="auto"/>
            </w:pPr>
            <w:r/>
            <w:r>
              <w:rPr>
                <w:b/>
                <w:sz w:val="13"/>
              </w:rPr>
            </w:r>
          </w:p>
        </w:tc>
        <w:tc>
          <w:tcPr>
            <w:tcW w:type="dxa" w:w="3024"/>
            <w:vAlign w:val="top"/>
            <w:shd w:fill="D9EAF7"/>
          </w:tcPr>
          <w:p>
            <w:pPr>
              <w:spacing w:after="0" w:line="240" w:lineRule="auto"/>
            </w:pPr>
            <w:r/>
            <w:r>
              <w:rPr>
                <w:b/>
                <w:sz w:val="13"/>
              </w:rPr>
            </w:r>
          </w:p>
        </w:tc>
      </w:tr>
      <w:tr>
        <w:tc>
          <w:tcPr>
            <w:tcW w:type="dxa" w:w="792"/>
            <w:vAlign w:val="top"/>
          </w:tcPr>
          <w:p>
            <w:pPr>
              <w:spacing w:after="0" w:line="240" w:lineRule="auto"/>
            </w:pPr>
            <w:r/>
            <w:r>
              <w:rPr>
                <w:b w:val="0"/>
                <w:sz w:val="13"/>
              </w:rPr>
              <w:t>Model</w:t>
            </w:r>
          </w:p>
        </w:tc>
        <w:tc>
          <w:tcPr>
            <w:tcW w:type="dxa" w:w="2448"/>
            <w:vAlign w:val="top"/>
          </w:tcPr>
          <w:p>
            <w:pPr>
              <w:spacing w:after="0" w:line="240" w:lineRule="auto"/>
            </w:pPr>
            <w:r/>
            <w:r>
              <w:rPr>
                <w:b w:val="0"/>
                <w:sz w:val="13"/>
              </w:rPr>
              <w:t>Sample / specification</w:t>
            </w:r>
          </w:p>
        </w:tc>
        <w:tc>
          <w:tcPr>
            <w:tcW w:type="dxa" w:w="648"/>
            <w:vAlign w:val="top"/>
          </w:tcPr>
          <w:p>
            <w:pPr>
              <w:spacing w:after="0" w:line="240" w:lineRule="auto"/>
            </w:pPr>
            <w:r/>
            <w:r>
              <w:rPr>
                <w:b w:val="0"/>
                <w:sz w:val="13"/>
              </w:rPr>
              <w:t>N</w:t>
            </w:r>
          </w:p>
        </w:tc>
        <w:tc>
          <w:tcPr>
            <w:tcW w:type="dxa" w:w="648"/>
            <w:vAlign w:val="top"/>
          </w:tcPr>
          <w:p>
            <w:pPr>
              <w:spacing w:after="0" w:line="240" w:lineRule="auto"/>
            </w:pPr>
            <w:r/>
            <w:r>
              <w:rPr>
                <w:b w:val="0"/>
                <w:sz w:val="13"/>
              </w:rPr>
              <w:t>R²</w:t>
            </w:r>
          </w:p>
        </w:tc>
        <w:tc>
          <w:tcPr>
            <w:tcW w:type="dxa" w:w="792"/>
            <w:vAlign w:val="top"/>
          </w:tcPr>
          <w:p>
            <w:pPr>
              <w:spacing w:after="0" w:line="240" w:lineRule="auto"/>
            </w:pPr>
            <w:r/>
            <w:r>
              <w:rPr>
                <w:b w:val="0"/>
                <w:sz w:val="13"/>
              </w:rPr>
              <w:t>Adj. R²</w:t>
            </w:r>
          </w:p>
        </w:tc>
        <w:tc>
          <w:tcPr>
            <w:tcW w:type="dxa" w:w="2448"/>
            <w:vAlign w:val="top"/>
          </w:tcPr>
          <w:p>
            <w:pPr>
              <w:spacing w:after="0" w:line="240" w:lineRule="auto"/>
            </w:pPr>
            <w:r/>
            <w:r>
              <w:rPr>
                <w:b w:val="0"/>
                <w:sz w:val="13"/>
              </w:rPr>
              <w:t>Key purpose</w:t>
            </w:r>
          </w:p>
        </w:tc>
        <w:tc>
          <w:tcPr>
            <w:tcW w:type="dxa" w:w="3024"/>
            <w:vAlign w:val="top"/>
          </w:tcPr>
          <w:p>
            <w:pPr>
              <w:spacing w:after="0" w:line="240" w:lineRule="auto"/>
            </w:pPr>
            <w:r/>
            <w:r>
              <w:rPr>
                <w:b w:val="0"/>
                <w:sz w:val="13"/>
              </w:rPr>
              <w:t>Preliminary interpretation</w:t>
            </w:r>
          </w:p>
        </w:tc>
      </w:tr>
      <w:tr>
        <w:tc>
          <w:tcPr>
            <w:tcW w:type="dxa" w:w="792"/>
            <w:vAlign w:val="top"/>
          </w:tcPr>
          <w:p>
            <w:pPr>
              <w:spacing w:after="0" w:line="240" w:lineRule="auto"/>
            </w:pPr>
            <w:r/>
            <w:r>
              <w:rPr>
                <w:b w:val="0"/>
                <w:sz w:val="13"/>
              </w:rPr>
              <w:t>R3</w:t>
            </w:r>
          </w:p>
        </w:tc>
        <w:tc>
          <w:tcPr>
            <w:tcW w:type="dxa" w:w="2448"/>
            <w:vAlign w:val="top"/>
          </w:tcPr>
          <w:p>
            <w:pPr>
              <w:spacing w:after="0" w:line="240" w:lineRule="auto"/>
            </w:pPr>
            <w:r/>
            <w:r>
              <w:rPr>
                <w:b w:val="0"/>
                <w:sz w:val="13"/>
              </w:rPr>
              <w:t>Iceland excluded</w:t>
            </w:r>
          </w:p>
        </w:tc>
        <w:tc>
          <w:tcPr>
            <w:tcW w:type="dxa" w:w="648"/>
            <w:vAlign w:val="top"/>
          </w:tcPr>
          <w:p>
            <w:pPr>
              <w:spacing w:after="0" w:line="240" w:lineRule="auto"/>
            </w:pPr>
            <w:r/>
            <w:r>
              <w:rPr>
                <w:b w:val="0"/>
                <w:sz w:val="13"/>
              </w:rPr>
              <w:t>175</w:t>
            </w:r>
          </w:p>
        </w:tc>
        <w:tc>
          <w:tcPr>
            <w:tcW w:type="dxa" w:w="648"/>
            <w:vAlign w:val="top"/>
          </w:tcPr>
          <w:p>
            <w:pPr>
              <w:spacing w:after="0" w:line="240" w:lineRule="auto"/>
            </w:pPr>
            <w:r/>
            <w:r>
              <w:rPr>
                <w:b w:val="0"/>
                <w:sz w:val="13"/>
              </w:rPr>
              <w:t>0.911</w:t>
            </w:r>
          </w:p>
        </w:tc>
        <w:tc>
          <w:tcPr>
            <w:tcW w:type="dxa" w:w="792"/>
            <w:vAlign w:val="top"/>
          </w:tcPr>
          <w:p>
            <w:pPr>
              <w:spacing w:after="0" w:line="240" w:lineRule="auto"/>
            </w:pPr>
            <w:r/>
            <w:r>
              <w:rPr>
                <w:b w:val="0"/>
                <w:sz w:val="13"/>
              </w:rPr>
              <w:t>0.903</w:t>
            </w:r>
          </w:p>
        </w:tc>
        <w:tc>
          <w:tcPr>
            <w:tcW w:type="dxa" w:w="2448"/>
            <w:vAlign w:val="top"/>
          </w:tcPr>
          <w:p>
            <w:pPr>
              <w:spacing w:after="0" w:line="240" w:lineRule="auto"/>
            </w:pPr>
            <w:r/>
            <w:r>
              <w:rPr>
                <w:b w:val="0"/>
                <w:sz w:val="13"/>
              </w:rPr>
              <w:t>Tests whether Iceland's no-standing-army status drives results.</w:t>
            </w:r>
          </w:p>
        </w:tc>
        <w:tc>
          <w:tcPr>
            <w:tcW w:type="dxa" w:w="3024"/>
            <w:vAlign w:val="top"/>
          </w:tcPr>
          <w:p>
            <w:pPr>
              <w:spacing w:after="0" w:line="240" w:lineRule="auto"/>
            </w:pPr>
            <w:r/>
            <w:r>
              <w:rPr>
                <w:b w:val="0"/>
                <w:sz w:val="13"/>
              </w:rPr>
              <w:t>Post-2022 remains positive; Iceland exclusion does not remove the main shock signal.</w:t>
            </w:r>
          </w:p>
        </w:tc>
      </w:tr>
      <w:tr>
        <w:tc>
          <w:tcPr>
            <w:tcW w:type="dxa" w:w="792"/>
            <w:vAlign w:val="top"/>
          </w:tcPr>
          <w:p>
            <w:pPr>
              <w:spacing w:after="0" w:line="240" w:lineRule="auto"/>
            </w:pPr>
            <w:r/>
            <w:r>
              <w:rPr>
                <w:b w:val="0"/>
                <w:sz w:val="13"/>
              </w:rPr>
              <w:t>R4</w:t>
            </w:r>
          </w:p>
        </w:tc>
        <w:tc>
          <w:tcPr>
            <w:tcW w:type="dxa" w:w="2448"/>
            <w:vAlign w:val="top"/>
          </w:tcPr>
          <w:p>
            <w:pPr>
              <w:spacing w:after="0" w:line="240" w:lineRule="auto"/>
            </w:pPr>
            <w:r/>
            <w:r>
              <w:rPr>
                <w:b w:val="0"/>
                <w:sz w:val="13"/>
              </w:rPr>
              <w:t>Russia excluded</w:t>
            </w:r>
          </w:p>
        </w:tc>
        <w:tc>
          <w:tcPr>
            <w:tcW w:type="dxa" w:w="648"/>
            <w:vAlign w:val="top"/>
          </w:tcPr>
          <w:p>
            <w:pPr>
              <w:spacing w:after="0" w:line="240" w:lineRule="auto"/>
            </w:pPr>
            <w:r/>
            <w:r>
              <w:rPr>
                <w:b w:val="0"/>
                <w:sz w:val="13"/>
              </w:rPr>
              <w:t>175</w:t>
            </w:r>
          </w:p>
        </w:tc>
        <w:tc>
          <w:tcPr>
            <w:tcW w:type="dxa" w:w="648"/>
            <w:vAlign w:val="top"/>
          </w:tcPr>
          <w:p>
            <w:pPr>
              <w:spacing w:after="0" w:line="240" w:lineRule="auto"/>
            </w:pPr>
            <w:r/>
            <w:r>
              <w:rPr>
                <w:b w:val="0"/>
                <w:sz w:val="13"/>
              </w:rPr>
              <w:t>0.946</w:t>
            </w:r>
          </w:p>
        </w:tc>
        <w:tc>
          <w:tcPr>
            <w:tcW w:type="dxa" w:w="792"/>
            <w:vAlign w:val="top"/>
          </w:tcPr>
          <w:p>
            <w:pPr>
              <w:spacing w:after="0" w:line="240" w:lineRule="auto"/>
            </w:pPr>
            <w:r/>
            <w:r>
              <w:rPr>
                <w:b w:val="0"/>
                <w:sz w:val="13"/>
              </w:rPr>
              <w:t>0.941</w:t>
            </w:r>
          </w:p>
        </w:tc>
        <w:tc>
          <w:tcPr>
            <w:tcW w:type="dxa" w:w="2448"/>
            <w:vAlign w:val="top"/>
          </w:tcPr>
          <w:p>
            <w:pPr>
              <w:spacing w:after="0" w:line="240" w:lineRule="auto"/>
            </w:pPr>
            <w:r/>
            <w:r>
              <w:rPr>
                <w:b w:val="0"/>
                <w:sz w:val="13"/>
              </w:rPr>
              <w:t>Tests whether Russia drives the pattern.</w:t>
            </w:r>
          </w:p>
        </w:tc>
        <w:tc>
          <w:tcPr>
            <w:tcW w:type="dxa" w:w="3024"/>
            <w:vAlign w:val="top"/>
          </w:tcPr>
          <w:p>
            <w:pPr>
              <w:spacing w:after="0" w:line="240" w:lineRule="auto"/>
            </w:pPr>
            <w:r/>
            <w:r>
              <w:rPr>
                <w:b w:val="0"/>
                <w:sz w:val="13"/>
              </w:rPr>
              <w:t>Post-2022 remains positive but smaller; Russia is important but not the only driver.</w:t>
            </w:r>
          </w:p>
        </w:tc>
      </w:tr>
      <w:tr>
        <w:tc>
          <w:tcPr>
            <w:tcW w:type="dxa" w:w="792"/>
            <w:vAlign w:val="top"/>
          </w:tcPr>
          <w:p>
            <w:pPr>
              <w:spacing w:after="0" w:line="240" w:lineRule="auto"/>
            </w:pPr>
            <w:r/>
            <w:r>
              <w:rPr>
                <w:b w:val="0"/>
                <w:sz w:val="13"/>
              </w:rPr>
              <w:t>R5</w:t>
            </w:r>
          </w:p>
        </w:tc>
        <w:tc>
          <w:tcPr>
            <w:tcW w:type="dxa" w:w="2448"/>
            <w:vAlign w:val="top"/>
          </w:tcPr>
          <w:p>
            <w:pPr>
              <w:spacing w:after="0" w:line="240" w:lineRule="auto"/>
            </w:pPr>
            <w:r/>
            <w:r>
              <w:rPr>
                <w:b w:val="0"/>
                <w:sz w:val="13"/>
              </w:rPr>
              <w:t>Coastal Five only</w:t>
            </w:r>
          </w:p>
        </w:tc>
        <w:tc>
          <w:tcPr>
            <w:tcW w:type="dxa" w:w="648"/>
            <w:vAlign w:val="top"/>
          </w:tcPr>
          <w:p>
            <w:pPr>
              <w:spacing w:after="0" w:line="240" w:lineRule="auto"/>
            </w:pPr>
            <w:r/>
            <w:r>
              <w:rPr>
                <w:b w:val="0"/>
                <w:sz w:val="13"/>
              </w:rPr>
              <w:t>125</w:t>
            </w:r>
          </w:p>
        </w:tc>
        <w:tc>
          <w:tcPr>
            <w:tcW w:type="dxa" w:w="648"/>
            <w:vAlign w:val="top"/>
          </w:tcPr>
          <w:p>
            <w:pPr>
              <w:spacing w:after="0" w:line="240" w:lineRule="auto"/>
            </w:pPr>
            <w:r/>
            <w:r>
              <w:rPr>
                <w:b w:val="0"/>
                <w:sz w:val="13"/>
              </w:rPr>
              <w:t>0.902</w:t>
            </w:r>
          </w:p>
        </w:tc>
        <w:tc>
          <w:tcPr>
            <w:tcW w:type="dxa" w:w="792"/>
            <w:vAlign w:val="top"/>
          </w:tcPr>
          <w:p>
            <w:pPr>
              <w:spacing w:after="0" w:line="240" w:lineRule="auto"/>
            </w:pPr>
            <w:r/>
            <w:r>
              <w:rPr>
                <w:b w:val="0"/>
                <w:sz w:val="13"/>
              </w:rPr>
              <w:t>0.891</w:t>
            </w:r>
          </w:p>
        </w:tc>
        <w:tc>
          <w:tcPr>
            <w:tcW w:type="dxa" w:w="2448"/>
            <w:vAlign w:val="top"/>
          </w:tcPr>
          <w:p>
            <w:pPr>
              <w:spacing w:after="0" w:line="240" w:lineRule="auto"/>
            </w:pPr>
            <w:r/>
            <w:r>
              <w:rPr>
                <w:b w:val="0"/>
                <w:sz w:val="13"/>
              </w:rPr>
              <w:t>Restricts sample to Arctic coastal states.</w:t>
            </w:r>
          </w:p>
        </w:tc>
        <w:tc>
          <w:tcPr>
            <w:tcW w:type="dxa" w:w="3024"/>
            <w:vAlign w:val="top"/>
          </w:tcPr>
          <w:p>
            <w:pPr>
              <w:spacing w:after="0" w:line="240" w:lineRule="auto"/>
            </w:pPr>
            <w:r/>
            <w:r>
              <w:rPr>
                <w:b w:val="0"/>
                <w:sz w:val="13"/>
              </w:rPr>
              <w:t>Coastal-only model keeps high explanatory fit; smaller N requires caution.</w:t>
            </w:r>
          </w:p>
        </w:tc>
      </w:tr>
      <w:tr>
        <w:tc>
          <w:tcPr>
            <w:tcW w:type="dxa" w:w="792"/>
            <w:vAlign w:val="top"/>
          </w:tcPr>
          <w:p>
            <w:pPr>
              <w:spacing w:after="0" w:line="240" w:lineRule="auto"/>
            </w:pPr>
            <w:r/>
            <w:r>
              <w:rPr>
                <w:b w:val="0"/>
                <w:sz w:val="13"/>
              </w:rPr>
              <w:t>R6</w:t>
            </w:r>
          </w:p>
        </w:tc>
        <w:tc>
          <w:tcPr>
            <w:tcW w:type="dxa" w:w="2448"/>
            <w:vAlign w:val="top"/>
          </w:tcPr>
          <w:p>
            <w:pPr>
              <w:spacing w:after="0" w:line="240" w:lineRule="auto"/>
            </w:pPr>
            <w:r/>
            <w:r>
              <w:rPr>
                <w:b w:val="0"/>
                <w:sz w:val="13"/>
              </w:rPr>
              <w:t>NATO states only</w:t>
            </w:r>
          </w:p>
        </w:tc>
        <w:tc>
          <w:tcPr>
            <w:tcW w:type="dxa" w:w="648"/>
            <w:vAlign w:val="top"/>
          </w:tcPr>
          <w:p>
            <w:pPr>
              <w:spacing w:after="0" w:line="240" w:lineRule="auto"/>
            </w:pPr>
            <w:r/>
            <w:r>
              <w:rPr>
                <w:b w:val="0"/>
                <w:sz w:val="13"/>
              </w:rPr>
              <w:t>175</w:t>
            </w:r>
          </w:p>
        </w:tc>
        <w:tc>
          <w:tcPr>
            <w:tcW w:type="dxa" w:w="648"/>
            <w:vAlign w:val="top"/>
          </w:tcPr>
          <w:p>
            <w:pPr>
              <w:spacing w:after="0" w:line="240" w:lineRule="auto"/>
            </w:pPr>
            <w:r/>
            <w:r>
              <w:rPr>
                <w:b w:val="0"/>
                <w:sz w:val="13"/>
              </w:rPr>
              <w:t>0.946</w:t>
            </w:r>
          </w:p>
        </w:tc>
        <w:tc>
          <w:tcPr>
            <w:tcW w:type="dxa" w:w="792"/>
            <w:vAlign w:val="top"/>
          </w:tcPr>
          <w:p>
            <w:pPr>
              <w:spacing w:after="0" w:line="240" w:lineRule="auto"/>
            </w:pPr>
            <w:r/>
            <w:r>
              <w:rPr>
                <w:b w:val="0"/>
                <w:sz w:val="13"/>
              </w:rPr>
              <w:t>0.941</w:t>
            </w:r>
          </w:p>
        </w:tc>
        <w:tc>
          <w:tcPr>
            <w:tcW w:type="dxa" w:w="2448"/>
            <w:vAlign w:val="top"/>
          </w:tcPr>
          <w:p>
            <w:pPr>
              <w:spacing w:after="0" w:line="240" w:lineRule="auto"/>
            </w:pPr>
            <w:r/>
            <w:r>
              <w:rPr>
                <w:b w:val="0"/>
                <w:sz w:val="13"/>
              </w:rPr>
              <w:t>Alliance-side model excluding Russia.</w:t>
            </w:r>
          </w:p>
        </w:tc>
        <w:tc>
          <w:tcPr>
            <w:tcW w:type="dxa" w:w="3024"/>
            <w:vAlign w:val="top"/>
          </w:tcPr>
          <w:p>
            <w:pPr>
              <w:spacing w:after="0" w:line="240" w:lineRule="auto"/>
            </w:pPr>
            <w:r/>
            <w:r>
              <w:rPr>
                <w:b w:val="0"/>
                <w:sz w:val="13"/>
              </w:rPr>
              <w:t>Same sample as Russia-excluded NATO-side model; useful for alliance-side framing.</w:t>
            </w:r>
          </w:p>
        </w:tc>
      </w:tr>
      <w:tr>
        <w:tc>
          <w:tcPr>
            <w:tcW w:type="dxa" w:w="792"/>
            <w:vAlign w:val="top"/>
          </w:tcPr>
          <w:p>
            <w:pPr>
              <w:spacing w:after="0" w:line="240" w:lineRule="auto"/>
            </w:pPr>
            <w:r/>
            <w:r>
              <w:rPr>
                <w:b w:val="0"/>
                <w:sz w:val="13"/>
              </w:rPr>
              <w:t>R7</w:t>
            </w:r>
          </w:p>
        </w:tc>
        <w:tc>
          <w:tcPr>
            <w:tcW w:type="dxa" w:w="2448"/>
            <w:vAlign w:val="top"/>
          </w:tcPr>
          <w:p>
            <w:pPr>
              <w:spacing w:after="0" w:line="240" w:lineRule="auto"/>
            </w:pPr>
            <w:r/>
            <w:r>
              <w:rPr>
                <w:b w:val="0"/>
                <w:sz w:val="13"/>
              </w:rPr>
              <w:t>Post-2022 only</w:t>
            </w:r>
          </w:p>
        </w:tc>
        <w:tc>
          <w:tcPr>
            <w:tcW w:type="dxa" w:w="648"/>
            <w:vAlign w:val="top"/>
          </w:tcPr>
          <w:p>
            <w:pPr>
              <w:spacing w:after="0" w:line="240" w:lineRule="auto"/>
            </w:pPr>
            <w:r/>
            <w:r>
              <w:rPr>
                <w:b w:val="0"/>
                <w:sz w:val="13"/>
              </w:rPr>
              <w:t>24</w:t>
            </w:r>
          </w:p>
        </w:tc>
        <w:tc>
          <w:tcPr>
            <w:tcW w:type="dxa" w:w="648"/>
            <w:vAlign w:val="top"/>
          </w:tcPr>
          <w:p>
            <w:pPr>
              <w:spacing w:after="0" w:line="240" w:lineRule="auto"/>
            </w:pPr>
            <w:r/>
            <w:r>
              <w:rPr>
                <w:b w:val="0"/>
                <w:sz w:val="13"/>
              </w:rPr>
              <w:t>0.980</w:t>
            </w:r>
          </w:p>
        </w:tc>
        <w:tc>
          <w:tcPr>
            <w:tcW w:type="dxa" w:w="792"/>
            <w:vAlign w:val="top"/>
          </w:tcPr>
          <w:p>
            <w:pPr>
              <w:spacing w:after="0" w:line="240" w:lineRule="auto"/>
            </w:pPr>
            <w:r/>
            <w:r>
              <w:rPr>
                <w:b w:val="0"/>
                <w:sz w:val="13"/>
              </w:rPr>
              <w:t>0.958</w:t>
            </w:r>
          </w:p>
        </w:tc>
        <w:tc>
          <w:tcPr>
            <w:tcW w:type="dxa" w:w="2448"/>
            <w:vAlign w:val="top"/>
          </w:tcPr>
          <w:p>
            <w:pPr>
              <w:spacing w:after="0" w:line="240" w:lineRule="auto"/>
            </w:pPr>
            <w:r/>
            <w:r>
              <w:rPr>
                <w:b w:val="0"/>
                <w:sz w:val="13"/>
              </w:rPr>
              <w:t>Crisis-period sensitivity.</w:t>
            </w:r>
          </w:p>
        </w:tc>
        <w:tc>
          <w:tcPr>
            <w:tcW w:type="dxa" w:w="3024"/>
            <w:vAlign w:val="top"/>
          </w:tcPr>
          <w:p>
            <w:pPr>
              <w:spacing w:after="0" w:line="240" w:lineRule="auto"/>
            </w:pPr>
            <w:r/>
            <w:r>
              <w:rPr>
                <w:b w:val="0"/>
                <w:sz w:val="13"/>
              </w:rPr>
              <w:t>Very small N; interpret only descriptively.</w:t>
            </w:r>
          </w:p>
        </w:tc>
      </w:tr>
      <w:tr>
        <w:tc>
          <w:tcPr>
            <w:tcW w:type="dxa" w:w="792"/>
            <w:vAlign w:val="top"/>
          </w:tcPr>
          <w:p>
            <w:pPr>
              <w:spacing w:after="0" w:line="240" w:lineRule="auto"/>
            </w:pPr>
            <w:r/>
            <w:r>
              <w:rPr>
                <w:b w:val="0"/>
                <w:sz w:val="13"/>
              </w:rPr>
              <w:t>R8</w:t>
            </w:r>
          </w:p>
        </w:tc>
        <w:tc>
          <w:tcPr>
            <w:tcW w:type="dxa" w:w="2448"/>
            <w:vAlign w:val="top"/>
          </w:tcPr>
          <w:p>
            <w:pPr>
              <w:spacing w:after="0" w:line="240" w:lineRule="auto"/>
            </w:pPr>
            <w:r/>
            <w:r>
              <w:rPr>
                <w:b w:val="0"/>
                <w:sz w:val="13"/>
              </w:rPr>
              <w:t>Pre-2022 only</w:t>
            </w:r>
          </w:p>
        </w:tc>
        <w:tc>
          <w:tcPr>
            <w:tcW w:type="dxa" w:w="648"/>
            <w:vAlign w:val="top"/>
          </w:tcPr>
          <w:p>
            <w:pPr>
              <w:spacing w:after="0" w:line="240" w:lineRule="auto"/>
            </w:pPr>
            <w:r/>
            <w:r>
              <w:rPr>
                <w:b w:val="0"/>
                <w:sz w:val="13"/>
              </w:rPr>
              <w:t>176</w:t>
            </w:r>
          </w:p>
        </w:tc>
        <w:tc>
          <w:tcPr>
            <w:tcW w:type="dxa" w:w="648"/>
            <w:vAlign w:val="top"/>
          </w:tcPr>
          <w:p>
            <w:pPr>
              <w:spacing w:after="0" w:line="240" w:lineRule="auto"/>
            </w:pPr>
            <w:r/>
            <w:r>
              <w:rPr>
                <w:b w:val="0"/>
                <w:sz w:val="13"/>
              </w:rPr>
              <w:t>0.952</w:t>
            </w:r>
          </w:p>
        </w:tc>
        <w:tc>
          <w:tcPr>
            <w:tcW w:type="dxa" w:w="792"/>
            <w:vAlign w:val="top"/>
          </w:tcPr>
          <w:p>
            <w:pPr>
              <w:spacing w:after="0" w:line="240" w:lineRule="auto"/>
            </w:pPr>
            <w:r/>
            <w:r>
              <w:rPr>
                <w:b w:val="0"/>
                <w:sz w:val="13"/>
              </w:rPr>
              <w:t>0.948</w:t>
            </w:r>
          </w:p>
        </w:tc>
        <w:tc>
          <w:tcPr>
            <w:tcW w:type="dxa" w:w="2448"/>
            <w:vAlign w:val="top"/>
          </w:tcPr>
          <w:p>
            <w:pPr>
              <w:spacing w:after="0" w:line="240" w:lineRule="auto"/>
            </w:pPr>
            <w:r/>
            <w:r>
              <w:rPr>
                <w:b w:val="0"/>
                <w:sz w:val="13"/>
              </w:rPr>
              <w:t>Pre-war baseline sensitivity.</w:t>
            </w:r>
          </w:p>
        </w:tc>
        <w:tc>
          <w:tcPr>
            <w:tcW w:type="dxa" w:w="3024"/>
            <w:vAlign w:val="top"/>
          </w:tcPr>
          <w:p>
            <w:pPr>
              <w:spacing w:after="0" w:line="240" w:lineRule="auto"/>
            </w:pPr>
            <w:r/>
            <w:r>
              <w:rPr>
                <w:b w:val="0"/>
                <w:sz w:val="13"/>
              </w:rPr>
              <w:t>Pre-war sample removes the 2022 shock; useful baseline contrast.</w:t>
            </w:r>
          </w:p>
        </w:tc>
      </w:tr>
      <w:tr>
        <w:tc>
          <w:tcPr>
            <w:tcW w:type="dxa" w:w="792"/>
            <w:vAlign w:val="top"/>
          </w:tcPr>
          <w:p>
            <w:pPr>
              <w:spacing w:after="0" w:line="240" w:lineRule="auto"/>
            </w:pPr>
            <w:r/>
            <w:r>
              <w:rPr>
                <w:b w:val="0"/>
                <w:sz w:val="13"/>
              </w:rPr>
              <w:t>R10</w:t>
            </w:r>
          </w:p>
        </w:tc>
        <w:tc>
          <w:tcPr>
            <w:tcW w:type="dxa" w:w="2448"/>
            <w:vAlign w:val="top"/>
          </w:tcPr>
          <w:p>
            <w:pPr>
              <w:spacing w:after="0" w:line="240" w:lineRule="auto"/>
            </w:pPr>
            <w:r/>
            <w:r>
              <w:rPr>
                <w:b w:val="0"/>
                <w:sz w:val="13"/>
              </w:rPr>
              <w:t>Alternative DV: log military expenditure</w:t>
            </w:r>
          </w:p>
        </w:tc>
        <w:tc>
          <w:tcPr>
            <w:tcW w:type="dxa" w:w="648"/>
            <w:vAlign w:val="top"/>
          </w:tcPr>
          <w:p>
            <w:pPr>
              <w:spacing w:after="0" w:line="240" w:lineRule="auto"/>
            </w:pPr>
            <w:r/>
            <w:r>
              <w:rPr>
                <w:b w:val="0"/>
                <w:sz w:val="13"/>
              </w:rPr>
              <w:t>175</w:t>
            </w:r>
          </w:p>
        </w:tc>
        <w:tc>
          <w:tcPr>
            <w:tcW w:type="dxa" w:w="648"/>
            <w:vAlign w:val="top"/>
          </w:tcPr>
          <w:p>
            <w:pPr>
              <w:spacing w:after="0" w:line="240" w:lineRule="auto"/>
            </w:pPr>
            <w:r/>
            <w:r>
              <w:rPr>
                <w:b w:val="0"/>
                <w:sz w:val="13"/>
              </w:rPr>
              <w:t>0.995</w:t>
            </w:r>
          </w:p>
        </w:tc>
        <w:tc>
          <w:tcPr>
            <w:tcW w:type="dxa" w:w="792"/>
            <w:vAlign w:val="top"/>
          </w:tcPr>
          <w:p>
            <w:pPr>
              <w:spacing w:after="0" w:line="240" w:lineRule="auto"/>
            </w:pPr>
            <w:r/>
            <w:r>
              <w:rPr>
                <w:b w:val="0"/>
                <w:sz w:val="13"/>
              </w:rPr>
              <w:t>0.994</w:t>
            </w:r>
          </w:p>
        </w:tc>
        <w:tc>
          <w:tcPr>
            <w:tcW w:type="dxa" w:w="2448"/>
            <w:vAlign w:val="top"/>
          </w:tcPr>
          <w:p>
            <w:pPr>
              <w:spacing w:after="0" w:line="240" w:lineRule="auto"/>
            </w:pPr>
            <w:r/>
            <w:r>
              <w:rPr>
                <w:b w:val="0"/>
                <w:sz w:val="13"/>
              </w:rPr>
              <w:t>Alternative dependent variable: log military expenditure.</w:t>
            </w:r>
          </w:p>
        </w:tc>
        <w:tc>
          <w:tcPr>
            <w:tcW w:type="dxa" w:w="3024"/>
            <w:vAlign w:val="top"/>
          </w:tcPr>
          <w:p>
            <w:pPr>
              <w:spacing w:after="0" w:line="240" w:lineRule="auto"/>
            </w:pPr>
            <w:r/>
            <w:r>
              <w:rPr>
                <w:b w:val="0"/>
                <w:sz w:val="13"/>
              </w:rPr>
              <w:t>Level-spending model has different interpretation; useful appendix robustness.</w:t>
            </w:r>
          </w:p>
        </w:tc>
      </w:tr>
    </w:tbl>
    <w:p/>
    <w:p>
      <w:pPr>
        <w:pStyle w:val="Heading2"/>
      </w:pPr>
      <w:r>
        <w:t>5.2 Content-mechanism models</w:t>
      </w:r>
    </w:p>
    <w:p>
      <w:r>
        <w:t>The content models support the interpretation that post-2022 security language matters. Russia-threat framing and critical-infrastructure language are more consistently associated with military burden than broad cooperation language. NATO/alliance framing must be interpreted carefully: a negative or unstable coefficient does not mean NATO is irrelevant; it means that alliance membership alone is too blunt, and that the relevant mechanism is the way alliance security enters national documents.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024"/>
            <w:vAlign w:val="top"/>
            <w:shd w:fill="D9EAF7"/>
          </w:tcPr>
          <w:p>
            <w:pPr>
              <w:spacing w:after="0" w:line="240" w:lineRule="auto"/>
            </w:pPr>
            <w:r/>
            <w:r>
              <w:rPr>
                <w:b/>
                <w:sz w:val="15"/>
              </w:rPr>
            </w:r>
          </w:p>
        </w:tc>
        <w:tc>
          <w:tcPr>
            <w:tcW w:type="dxa" w:w="2160"/>
            <w:vAlign w:val="top"/>
            <w:shd w:fill="D9EAF7"/>
          </w:tcPr>
          <w:p>
            <w:pPr>
              <w:spacing w:after="0" w:line="240" w:lineRule="auto"/>
            </w:pPr>
            <w:r/>
            <w:r>
              <w:rPr>
                <w:b/>
                <w:sz w:val="15"/>
              </w:rPr>
            </w:r>
          </w:p>
        </w:tc>
        <w:tc>
          <w:tcPr>
            <w:tcW w:type="dxa" w:w="2160"/>
            <w:vAlign w:val="top"/>
            <w:shd w:fill="D9EAF7"/>
          </w:tcPr>
          <w:p>
            <w:pPr>
              <w:spacing w:after="0" w:line="240" w:lineRule="auto"/>
            </w:pPr>
            <w:r/>
            <w:r>
              <w:rPr>
                <w:b/>
                <w:sz w:val="15"/>
              </w:rPr>
            </w:r>
          </w:p>
        </w:tc>
        <w:tc>
          <w:tcPr>
            <w:tcW w:type="dxa" w:w="2160"/>
            <w:vAlign w:val="top"/>
            <w:shd w:fill="D9EAF7"/>
          </w:tcPr>
          <w:p>
            <w:pPr>
              <w:spacing w:after="0" w:line="240" w:lineRule="auto"/>
            </w:pPr>
            <w:r/>
            <w:r>
              <w:rPr>
                <w:b/>
                <w:sz w:val="15"/>
              </w:rPr>
            </w:r>
          </w:p>
        </w:tc>
      </w:tr>
      <w:tr>
        <w:tc>
          <w:tcPr>
            <w:tcW w:type="dxa" w:w="3024"/>
            <w:vAlign w:val="top"/>
          </w:tcPr>
          <w:p>
            <w:pPr>
              <w:spacing w:after="0" w:line="240" w:lineRule="auto"/>
            </w:pPr>
            <w:r/>
            <w:r>
              <w:rPr>
                <w:b w:val="0"/>
                <w:sz w:val="15"/>
              </w:rPr>
              <w:t>Variable</w:t>
            </w:r>
          </w:p>
        </w:tc>
        <w:tc>
          <w:tcPr>
            <w:tcW w:type="dxa" w:w="2160"/>
            <w:vAlign w:val="top"/>
          </w:tcPr>
          <w:p>
            <w:pPr>
              <w:spacing w:after="0" w:line="240" w:lineRule="auto"/>
            </w:pPr>
            <w:r/>
            <w:r>
              <w:rPr>
                <w:b w:val="0"/>
                <w:sz w:val="15"/>
              </w:rPr>
              <w:t>Strategic framing only</w:t>
            </w:r>
          </w:p>
        </w:tc>
        <w:tc>
          <w:tcPr>
            <w:tcW w:type="dxa" w:w="2160"/>
            <w:vAlign w:val="top"/>
          </w:tcPr>
          <w:p>
            <w:pPr>
              <w:spacing w:after="0" w:line="240" w:lineRule="auto"/>
            </w:pPr>
            <w:r/>
            <w:r>
              <w:rPr>
                <w:b w:val="0"/>
                <w:sz w:val="15"/>
              </w:rPr>
              <w:t>Post-2022 interactions</w:t>
            </w:r>
          </w:p>
        </w:tc>
        <w:tc>
          <w:tcPr>
            <w:tcW w:type="dxa" w:w="2160"/>
            <w:vAlign w:val="top"/>
          </w:tcPr>
          <w:p>
            <w:pPr>
              <w:spacing w:after="0" w:line="240" w:lineRule="auto"/>
            </w:pPr>
            <w:r/>
            <w:r>
              <w:rPr>
                <w:b w:val="0"/>
                <w:sz w:val="15"/>
              </w:rPr>
              <w:t>Compact mechanism</w:t>
            </w:r>
          </w:p>
        </w:tc>
      </w:tr>
      <w:tr>
        <w:tc>
          <w:tcPr>
            <w:tcW w:type="dxa" w:w="3024"/>
            <w:vAlign w:val="top"/>
          </w:tcPr>
          <w:p>
            <w:pPr>
              <w:spacing w:after="0" w:line="240" w:lineRule="auto"/>
            </w:pPr>
            <w:r/>
            <w:r>
              <w:rPr>
                <w:b w:val="0"/>
                <w:sz w:val="15"/>
              </w:rPr>
              <w:t>SCFI</w:t>
            </w:r>
          </w:p>
        </w:tc>
        <w:tc>
          <w:tcPr>
            <w:tcW w:type="dxa" w:w="2160"/>
            <w:vAlign w:val="top"/>
          </w:tcPr>
          <w:p>
            <w:pPr>
              <w:spacing w:after="0" w:line="240" w:lineRule="auto"/>
            </w:pPr>
            <w:r/>
            <w:r>
              <w:rPr>
                <w:b w:val="0"/>
                <w:sz w:val="15"/>
              </w:rPr>
              <w:t>0.686</w:t>
              <w:br/>
              <w:t>(0.420)</w:t>
            </w:r>
          </w:p>
        </w:tc>
        <w:tc>
          <w:tcPr>
            <w:tcW w:type="dxa" w:w="2160"/>
            <w:vAlign w:val="top"/>
          </w:tcPr>
          <w:p>
            <w:pPr>
              <w:spacing w:after="0" w:line="240" w:lineRule="auto"/>
            </w:pPr>
            <w:r/>
            <w:r>
              <w:rPr>
                <w:b w:val="0"/>
                <w:sz w:val="15"/>
              </w:rPr>
              <w:t>0.855</w:t>
              <w:br/>
              <w:t>(0.766)</w:t>
            </w:r>
          </w:p>
        </w:tc>
        <w:tc>
          <w:tcPr>
            <w:tcW w:type="dxa" w:w="2160"/>
            <w:vAlign w:val="top"/>
          </w:tcPr>
          <w:p>
            <w:pPr>
              <w:spacing w:after="0" w:line="240" w:lineRule="auto"/>
            </w:pPr>
            <w:r/>
            <w:r>
              <w:rPr>
                <w:b w:val="0"/>
                <w:sz w:val="15"/>
              </w:rPr>
              <w:t>1.144**</w:t>
              <w:br/>
              <w:t>(0.518)</w:t>
            </w:r>
          </w:p>
        </w:tc>
      </w:tr>
      <w:tr>
        <w:tc>
          <w:tcPr>
            <w:tcW w:type="dxa" w:w="3024"/>
            <w:vAlign w:val="top"/>
          </w:tcPr>
          <w:p>
            <w:pPr>
              <w:spacing w:after="0" w:line="240" w:lineRule="auto"/>
            </w:pPr>
            <w:r/>
            <w:r>
              <w:rPr>
                <w:b w:val="0"/>
                <w:sz w:val="15"/>
              </w:rPr>
              <w:t>NAFI</w:t>
            </w:r>
          </w:p>
        </w:tc>
        <w:tc>
          <w:tcPr>
            <w:tcW w:type="dxa" w:w="2160"/>
            <w:vAlign w:val="top"/>
          </w:tcPr>
          <w:p>
            <w:pPr>
              <w:spacing w:after="0" w:line="240" w:lineRule="auto"/>
            </w:pPr>
            <w:r/>
            <w:r>
              <w:rPr>
                <w:b w:val="0"/>
                <w:sz w:val="15"/>
              </w:rPr>
              <w:t>-0.837***</w:t>
              <w:br/>
              <w:t>(0.288)</w:t>
            </w:r>
          </w:p>
        </w:tc>
        <w:tc>
          <w:tcPr>
            <w:tcW w:type="dxa" w:w="2160"/>
            <w:vAlign w:val="top"/>
          </w:tcPr>
          <w:p>
            <w:pPr>
              <w:spacing w:after="0" w:line="240" w:lineRule="auto"/>
            </w:pPr>
            <w:r/>
            <w:r>
              <w:rPr>
                <w:b w:val="0"/>
                <w:sz w:val="15"/>
              </w:rPr>
              <w:t>-0.429</w:t>
              <w:br/>
              <w:t>(0.432)</w:t>
            </w:r>
          </w:p>
        </w:tc>
        <w:tc>
          <w:tcPr>
            <w:tcW w:type="dxa" w:w="2160"/>
            <w:vAlign w:val="top"/>
          </w:tcPr>
          <w:p>
            <w:pPr>
              <w:spacing w:after="0" w:line="240" w:lineRule="auto"/>
            </w:pPr>
            <w:r/>
            <w:r>
              <w:rPr>
                <w:b w:val="0"/>
                <w:sz w:val="15"/>
              </w:rPr>
              <w:t>-0.998***</w:t>
              <w:br/>
              <w:t>(0.295)</w:t>
            </w:r>
          </w:p>
        </w:tc>
      </w:tr>
      <w:tr>
        <w:tc>
          <w:tcPr>
            <w:tcW w:type="dxa" w:w="3024"/>
            <w:vAlign w:val="top"/>
          </w:tcPr>
          <w:p>
            <w:pPr>
              <w:spacing w:after="0" w:line="240" w:lineRule="auto"/>
            </w:pPr>
            <w:r/>
            <w:r>
              <w:rPr>
                <w:b w:val="0"/>
                <w:sz w:val="15"/>
              </w:rPr>
              <w:t>Russia threat</w:t>
            </w:r>
          </w:p>
        </w:tc>
        <w:tc>
          <w:tcPr>
            <w:tcW w:type="dxa" w:w="2160"/>
            <w:vAlign w:val="top"/>
          </w:tcPr>
          <w:p>
            <w:pPr>
              <w:spacing w:after="0" w:line="240" w:lineRule="auto"/>
            </w:pPr>
            <w:r/>
            <w:r>
              <w:rPr>
                <w:b w:val="0"/>
                <w:sz w:val="15"/>
              </w:rPr>
              <w:t>1.265***</w:t>
              <w:br/>
              <w:t>(0.265)</w:t>
            </w:r>
          </w:p>
        </w:tc>
        <w:tc>
          <w:tcPr>
            <w:tcW w:type="dxa" w:w="2160"/>
            <w:vAlign w:val="top"/>
          </w:tcPr>
          <w:p>
            <w:pPr>
              <w:spacing w:after="0" w:line="240" w:lineRule="auto"/>
            </w:pPr>
            <w:r/>
            <w:r>
              <w:rPr>
                <w:b w:val="0"/>
                <w:sz w:val="15"/>
              </w:rPr>
              <w:t>0.916***</w:t>
              <w:br/>
              <w:t>(0.347)</w:t>
            </w:r>
          </w:p>
        </w:tc>
        <w:tc>
          <w:tcPr>
            <w:tcW w:type="dxa" w:w="2160"/>
            <w:vAlign w:val="top"/>
          </w:tcPr>
          <w:p>
            <w:pPr>
              <w:spacing w:after="0" w:line="240" w:lineRule="auto"/>
            </w:pPr>
            <w:r/>
            <w:r>
              <w:rPr>
                <w:b w:val="0"/>
                <w:sz w:val="15"/>
              </w:rPr>
              <w:t>1.319***</w:t>
              <w:br/>
              <w:t>(0.205)</w:t>
            </w:r>
          </w:p>
        </w:tc>
      </w:tr>
      <w:tr>
        <w:tc>
          <w:tcPr>
            <w:tcW w:type="dxa" w:w="3024"/>
            <w:vAlign w:val="top"/>
          </w:tcPr>
          <w:p>
            <w:pPr>
              <w:spacing w:after="0" w:line="240" w:lineRule="auto"/>
            </w:pPr>
            <w:r/>
            <w:r>
              <w:rPr>
                <w:b w:val="0"/>
                <w:sz w:val="15"/>
              </w:rPr>
              <w:t>Resilience</w:t>
            </w:r>
          </w:p>
        </w:tc>
        <w:tc>
          <w:tcPr>
            <w:tcW w:type="dxa" w:w="2160"/>
            <w:vAlign w:val="top"/>
          </w:tcPr>
          <w:p>
            <w:pPr>
              <w:spacing w:after="0" w:line="240" w:lineRule="auto"/>
            </w:pPr>
            <w:r/>
            <w:r>
              <w:rPr>
                <w:b w:val="0"/>
                <w:sz w:val="15"/>
              </w:rPr>
              <w:t>0.281</w:t>
              <w:br/>
              <w:t>(0.370)</w:t>
            </w:r>
          </w:p>
        </w:tc>
        <w:tc>
          <w:tcPr>
            <w:tcW w:type="dxa" w:w="2160"/>
            <w:vAlign w:val="top"/>
          </w:tcPr>
          <w:p>
            <w:pPr>
              <w:spacing w:after="0" w:line="240" w:lineRule="auto"/>
            </w:pPr>
            <w:r/>
            <w:r>
              <w:rPr>
                <w:b w:val="0"/>
                <w:sz w:val="15"/>
              </w:rPr>
            </w:r>
          </w:p>
        </w:tc>
        <w:tc>
          <w:tcPr>
            <w:tcW w:type="dxa" w:w="2160"/>
            <w:vAlign w:val="top"/>
          </w:tcPr>
          <w:p>
            <w:pPr>
              <w:spacing w:after="0" w:line="240" w:lineRule="auto"/>
            </w:pPr>
            <w:r/>
            <w:r>
              <w:rPr>
                <w:b w:val="0"/>
                <w:sz w:val="15"/>
              </w:rPr>
            </w:r>
          </w:p>
        </w:tc>
      </w:tr>
      <w:tr>
        <w:tc>
          <w:tcPr>
            <w:tcW w:type="dxa" w:w="3024"/>
            <w:vAlign w:val="top"/>
          </w:tcPr>
          <w:p>
            <w:pPr>
              <w:spacing w:after="0" w:line="240" w:lineRule="auto"/>
            </w:pPr>
            <w:r/>
            <w:r>
              <w:rPr>
                <w:b w:val="0"/>
                <w:sz w:val="15"/>
              </w:rPr>
              <w:t>Critical infrastructure</w:t>
            </w:r>
          </w:p>
        </w:tc>
        <w:tc>
          <w:tcPr>
            <w:tcW w:type="dxa" w:w="2160"/>
            <w:vAlign w:val="top"/>
          </w:tcPr>
          <w:p>
            <w:pPr>
              <w:spacing w:after="0" w:line="240" w:lineRule="auto"/>
            </w:pPr>
            <w:r/>
            <w:r>
              <w:rPr>
                <w:b w:val="0"/>
                <w:sz w:val="15"/>
              </w:rPr>
              <w:t>0.729***</w:t>
              <w:br/>
              <w:t>(0.252)</w:t>
            </w:r>
          </w:p>
        </w:tc>
        <w:tc>
          <w:tcPr>
            <w:tcW w:type="dxa" w:w="2160"/>
            <w:vAlign w:val="top"/>
          </w:tcPr>
          <w:p>
            <w:pPr>
              <w:spacing w:after="0" w:line="240" w:lineRule="auto"/>
            </w:pPr>
            <w:r/>
            <w:r>
              <w:rPr>
                <w:b w:val="0"/>
                <w:sz w:val="15"/>
              </w:rPr>
            </w:r>
          </w:p>
        </w:tc>
        <w:tc>
          <w:tcPr>
            <w:tcW w:type="dxa" w:w="2160"/>
            <w:vAlign w:val="top"/>
          </w:tcPr>
          <w:p>
            <w:pPr>
              <w:spacing w:after="0" w:line="240" w:lineRule="auto"/>
            </w:pPr>
            <w:r/>
            <w:r>
              <w:rPr>
                <w:b w:val="0"/>
                <w:sz w:val="15"/>
              </w:rPr>
            </w:r>
          </w:p>
        </w:tc>
      </w:tr>
      <w:tr>
        <w:tc>
          <w:tcPr>
            <w:tcW w:type="dxa" w:w="3024"/>
            <w:vAlign w:val="top"/>
          </w:tcPr>
          <w:p>
            <w:pPr>
              <w:spacing w:after="0" w:line="240" w:lineRule="auto"/>
            </w:pPr>
            <w:r/>
            <w:r>
              <w:rPr>
                <w:b w:val="0"/>
                <w:sz w:val="15"/>
              </w:rPr>
              <w:t>SCFI × Post-2022</w:t>
            </w:r>
          </w:p>
        </w:tc>
        <w:tc>
          <w:tcPr>
            <w:tcW w:type="dxa" w:w="2160"/>
            <w:vAlign w:val="top"/>
          </w:tcPr>
          <w:p>
            <w:pPr>
              <w:spacing w:after="0" w:line="240" w:lineRule="auto"/>
            </w:pPr>
            <w:r/>
            <w:r>
              <w:rPr>
                <w:b w:val="0"/>
                <w:sz w:val="15"/>
              </w:rPr>
            </w:r>
          </w:p>
        </w:tc>
        <w:tc>
          <w:tcPr>
            <w:tcW w:type="dxa" w:w="2160"/>
            <w:vAlign w:val="top"/>
          </w:tcPr>
          <w:p>
            <w:pPr>
              <w:spacing w:after="0" w:line="240" w:lineRule="auto"/>
            </w:pPr>
            <w:r/>
            <w:r>
              <w:rPr>
                <w:b w:val="0"/>
                <w:sz w:val="15"/>
              </w:rPr>
              <w:t>0.476</w:t>
              <w:br/>
              <w:t>(0.548)</w:t>
            </w:r>
          </w:p>
        </w:tc>
        <w:tc>
          <w:tcPr>
            <w:tcW w:type="dxa" w:w="2160"/>
            <w:vAlign w:val="top"/>
          </w:tcPr>
          <w:p>
            <w:pPr>
              <w:spacing w:after="0" w:line="240" w:lineRule="auto"/>
            </w:pPr>
            <w:r/>
            <w:r>
              <w:rPr>
                <w:b w:val="0"/>
                <w:sz w:val="15"/>
              </w:rPr>
            </w:r>
          </w:p>
        </w:tc>
      </w:tr>
      <w:tr>
        <w:tc>
          <w:tcPr>
            <w:tcW w:type="dxa" w:w="3024"/>
            <w:vAlign w:val="top"/>
          </w:tcPr>
          <w:p>
            <w:pPr>
              <w:spacing w:after="0" w:line="240" w:lineRule="auto"/>
            </w:pPr>
            <w:r/>
            <w:r>
              <w:rPr>
                <w:b w:val="0"/>
                <w:sz w:val="15"/>
              </w:rPr>
              <w:t>NAFI × Post-2022</w:t>
            </w:r>
          </w:p>
        </w:tc>
        <w:tc>
          <w:tcPr>
            <w:tcW w:type="dxa" w:w="2160"/>
            <w:vAlign w:val="top"/>
          </w:tcPr>
          <w:p>
            <w:pPr>
              <w:spacing w:after="0" w:line="240" w:lineRule="auto"/>
            </w:pPr>
            <w:r/>
            <w:r>
              <w:rPr>
                <w:b w:val="0"/>
                <w:sz w:val="15"/>
              </w:rPr>
            </w:r>
          </w:p>
        </w:tc>
        <w:tc>
          <w:tcPr>
            <w:tcW w:type="dxa" w:w="2160"/>
            <w:vAlign w:val="top"/>
          </w:tcPr>
          <w:p>
            <w:pPr>
              <w:spacing w:after="0" w:line="240" w:lineRule="auto"/>
            </w:pPr>
            <w:r/>
            <w:r>
              <w:rPr>
                <w:b w:val="0"/>
                <w:sz w:val="15"/>
              </w:rPr>
              <w:t>-0.512</w:t>
              <w:br/>
              <w:t>(0.550)</w:t>
            </w:r>
          </w:p>
        </w:tc>
        <w:tc>
          <w:tcPr>
            <w:tcW w:type="dxa" w:w="2160"/>
            <w:vAlign w:val="top"/>
          </w:tcPr>
          <w:p>
            <w:pPr>
              <w:spacing w:after="0" w:line="240" w:lineRule="auto"/>
            </w:pPr>
            <w:r/>
            <w:r>
              <w:rPr>
                <w:b w:val="0"/>
                <w:sz w:val="15"/>
              </w:rPr>
            </w:r>
          </w:p>
        </w:tc>
      </w:tr>
    </w:tbl>
    <w:p/>
    <w:p>
      <w:pPr>
        <w:pStyle w:val="Heading1"/>
      </w:pPr>
      <w:r>
        <w:t>6. Discussion</w:t>
      </w:r>
    </w:p>
    <w:p>
      <w:r>
        <w:t>The findings sharpen rather than weaken the paper's theoretical argument. If sea-ice decline had shown a strong direct association with military burden, the result would have supported a straightforward environmental security story. It does not. The better interpretation is political: environmental change opened a strategic field, but the decisive change in defence behaviour and policy language followed the collapse of the pre-2022 security environment.</w:t>
      </w:r>
    </w:p>
    <w:p>
      <w:r>
        <w:t>This is why official documents matter. They show how governments connected northern geography to sovereignty, deterrence, infrastructure, mobility, and resilience. Norway's 2025 High North strategy, Finland's 2024 defence report, Sweden's 2024 national security strategy, and Iceland's 2023 security policy do not merely mention the Arctic. They place northern policy within a wider post-2022 security architecture. The Arctic is therefore not militarised by ice alone; it is securitised through alliance politics and state framing.</w:t>
      </w:r>
    </w:p>
    <w:p>
      <w:r>
        <w:t>The interpretation also preserves the governance dimension. Arctic cooperation did not disappear. Scientific, environmental, indigenous, and legal frameworks remain central. What changed is the layer above them: a harder security layer that treats infrastructure, supply lines, maritime awareness, and allied reinforcement as part of northern policy.</w:t>
      </w:r>
    </w:p>
    <w:p>
      <w:pPr>
        <w:pStyle w:val="Heading1"/>
      </w:pPr>
      <w:r>
        <w:t>7. Limitations and Conclusion</w:t>
      </w:r>
    </w:p>
    <w:p>
      <w:r>
        <w:t>The paper has three important limitations. First, military burden is not an Arctic-specific force-posture measure. Future work should build annual indicators for Arctic bases, icebreakers, exercises, military mobility corridors, and northern surveillance assets. Second, the document corpus is necessarily uneven because states publish strategies at different intervals. The paper addresses this by distinguishing Arctic-specific documents from broader security supplements. Third, the small number of Arctic states limits the ambition of econometric inference. The models are best read together with the document evidence.</w:t>
      </w:r>
    </w:p>
    <w:p>
      <w:r>
        <w:t>The conclusion is cautious. Sea-ice decline did not mechanically increase military burden across the Arctic Eight. The more defensible finding is that the post-2022 security rupture, read through NATO exposure and strategic framing, changed the way Arctic states linked northern geography to defence effort. That finding is still consequential. It shows how climate-related regional change becomes politically operative only when it is translated through institutions, threat perceptions, and strategic language.</w:t>
      </w:r>
    </w:p>
    <w:p>
      <w:pPr>
        <w:pStyle w:val="Heading1"/>
      </w:pPr>
      <w:r>
        <w:t>Data and Replication Statement</w:t>
      </w:r>
    </w:p>
    <w:p>
      <w:r>
        <w:t>The replication archive contains the Python scripts, requirements file, processed data, output workbooks, content-analysis codebook, strategic document index, and a README. The raw official documents are stored separately in the referee evidence pack because the PDF corpus is large and includes third-party public documents that retain their original institutional rights. The code repository is designed so that a reviewer can rerun the model scripts with: pip install -r requirements.txt; python3 run_models_only.py. The scripts reproduce the baseline models, robustness models, and article results workbook.</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top"/>
            <w:shd w:fill="D9EAF7"/>
          </w:tcPr>
          <w:p>
            <w:pPr>
              <w:spacing w:after="0" w:line="240" w:lineRule="auto"/>
            </w:pPr>
            <w:r/>
            <w:r>
              <w:rPr>
                <w:b/>
                <w:sz w:val="16"/>
              </w:rPr>
              <w:t>Archive item</w:t>
            </w:r>
          </w:p>
        </w:tc>
        <w:tc>
          <w:tcPr>
            <w:tcW w:type="dxa" w:w="3744"/>
            <w:vAlign w:val="top"/>
            <w:shd w:fill="D9EAF7"/>
          </w:tcPr>
          <w:p>
            <w:pPr>
              <w:spacing w:after="0" w:line="240" w:lineRule="auto"/>
            </w:pPr>
            <w:r/>
            <w:r>
              <w:rPr>
                <w:b/>
                <w:sz w:val="16"/>
              </w:rPr>
              <w:t>Contents</w:t>
            </w:r>
          </w:p>
        </w:tc>
        <w:tc>
          <w:tcPr>
            <w:tcW w:type="dxa" w:w="3744"/>
            <w:vAlign w:val="top"/>
            <w:shd w:fill="D9EAF7"/>
          </w:tcPr>
          <w:p>
            <w:pPr>
              <w:spacing w:after="0" w:line="240" w:lineRule="auto"/>
            </w:pPr>
            <w:r/>
            <w:r>
              <w:rPr>
                <w:b/>
                <w:sz w:val="16"/>
              </w:rPr>
              <w:t>Reviewer use</w:t>
            </w:r>
          </w:p>
        </w:tc>
      </w:tr>
      <w:tr>
        <w:tc>
          <w:tcPr>
            <w:tcW w:type="dxa" w:w="2448"/>
            <w:vAlign w:val="top"/>
          </w:tcPr>
          <w:p>
            <w:pPr>
              <w:spacing w:after="0" w:line="240" w:lineRule="auto"/>
            </w:pPr>
            <w:r/>
            <w:r>
              <w:rPr>
                <w:b w:val="0"/>
                <w:sz w:val="16"/>
              </w:rPr>
              <w:t>GitHub-ready replication package</w:t>
            </w:r>
          </w:p>
        </w:tc>
        <w:tc>
          <w:tcPr>
            <w:tcW w:type="dxa" w:w="3744"/>
            <w:vAlign w:val="top"/>
          </w:tcPr>
          <w:p>
            <w:pPr>
              <w:spacing w:after="0" w:line="240" w:lineRule="auto"/>
            </w:pPr>
            <w:r/>
            <w:r>
              <w:rPr>
                <w:b w:val="0"/>
                <w:sz w:val="16"/>
              </w:rPr>
              <w:t>Python scripts, requirements, processed data, model outputs, README, corpus index</w:t>
            </w:r>
          </w:p>
        </w:tc>
        <w:tc>
          <w:tcPr>
            <w:tcW w:type="dxa" w:w="3744"/>
            <w:vAlign w:val="top"/>
          </w:tcPr>
          <w:p>
            <w:pPr>
              <w:spacing w:after="0" w:line="240" w:lineRule="auto"/>
            </w:pPr>
            <w:r/>
            <w:r>
              <w:rPr>
                <w:b w:val="0"/>
                <w:sz w:val="16"/>
              </w:rPr>
              <w:t>Rerun the analysis and inspect modelling decisions</w:t>
            </w:r>
          </w:p>
        </w:tc>
      </w:tr>
      <w:tr>
        <w:tc>
          <w:tcPr>
            <w:tcW w:type="dxa" w:w="2448"/>
            <w:vAlign w:val="top"/>
          </w:tcPr>
          <w:p>
            <w:pPr>
              <w:spacing w:after="0" w:line="240" w:lineRule="auto"/>
            </w:pPr>
            <w:r/>
            <w:r>
              <w:rPr>
                <w:b w:val="0"/>
                <w:sz w:val="16"/>
              </w:rPr>
              <w:t>Referee evidence pack</w:t>
            </w:r>
          </w:p>
        </w:tc>
        <w:tc>
          <w:tcPr>
            <w:tcW w:type="dxa" w:w="3744"/>
            <w:vAlign w:val="top"/>
          </w:tcPr>
          <w:p>
            <w:pPr>
              <w:spacing w:after="0" w:line="240" w:lineRule="auto"/>
            </w:pPr>
            <w:r/>
            <w:r>
              <w:rPr>
                <w:b w:val="0"/>
                <w:sz w:val="16"/>
              </w:rPr>
              <w:t>Manuscript, code, outputs, raw public strategic documents, source index</w:t>
            </w:r>
          </w:p>
        </w:tc>
        <w:tc>
          <w:tcPr>
            <w:tcW w:type="dxa" w:w="3744"/>
            <w:vAlign w:val="top"/>
          </w:tcPr>
          <w:p>
            <w:pPr>
              <w:spacing w:after="0" w:line="240" w:lineRule="auto"/>
            </w:pPr>
            <w:r/>
            <w:r>
              <w:rPr>
                <w:b w:val="0"/>
                <w:sz w:val="16"/>
              </w:rPr>
              <w:t>Verify the document corpus and audit the empirical workflow</w:t>
            </w:r>
          </w:p>
        </w:tc>
      </w:tr>
      <w:tr>
        <w:tc>
          <w:tcPr>
            <w:tcW w:type="dxa" w:w="2448"/>
            <w:vAlign w:val="top"/>
          </w:tcPr>
          <w:p>
            <w:pPr>
              <w:spacing w:after="0" w:line="240" w:lineRule="auto"/>
            </w:pPr>
            <w:r/>
            <w:r>
              <w:rPr>
                <w:b w:val="0"/>
                <w:sz w:val="16"/>
              </w:rPr>
              <w:t>Master document list</w:t>
            </w:r>
          </w:p>
        </w:tc>
        <w:tc>
          <w:tcPr>
            <w:tcW w:type="dxa" w:w="3744"/>
            <w:vAlign w:val="top"/>
          </w:tcPr>
          <w:p>
            <w:pPr>
              <w:spacing w:after="0" w:line="240" w:lineRule="auto"/>
            </w:pPr>
            <w:r/>
            <w:r>
              <w:rPr>
                <w:b w:val="0"/>
                <w:sz w:val="16"/>
              </w:rPr>
              <w:t>Official document names, file names, period coding, main/supplement status</w:t>
            </w:r>
          </w:p>
        </w:tc>
        <w:tc>
          <w:tcPr>
            <w:tcW w:type="dxa" w:w="3744"/>
            <w:vAlign w:val="top"/>
          </w:tcPr>
          <w:p>
            <w:pPr>
              <w:spacing w:after="0" w:line="240" w:lineRule="auto"/>
            </w:pPr>
            <w:r/>
            <w:r>
              <w:rPr>
                <w:b w:val="0"/>
                <w:sz w:val="16"/>
              </w:rPr>
              <w:t>Check inclusion/exclusion decisions</w:t>
            </w:r>
          </w:p>
        </w:tc>
      </w:tr>
      <w:tr>
        <w:tc>
          <w:tcPr>
            <w:tcW w:type="dxa" w:w="2448"/>
            <w:vAlign w:val="top"/>
          </w:tcPr>
          <w:p>
            <w:pPr>
              <w:spacing w:after="0" w:line="240" w:lineRule="auto"/>
            </w:pPr>
            <w:r/>
            <w:r>
              <w:rPr>
                <w:b w:val="0"/>
                <w:sz w:val="16"/>
              </w:rPr>
              <w:t>Content codebook</w:t>
            </w:r>
          </w:p>
        </w:tc>
        <w:tc>
          <w:tcPr>
            <w:tcW w:type="dxa" w:w="3744"/>
            <w:vAlign w:val="top"/>
          </w:tcPr>
          <w:p>
            <w:pPr>
              <w:spacing w:after="0" w:line="240" w:lineRule="auto"/>
            </w:pPr>
            <w:r/>
            <w:r>
              <w:rPr>
                <w:b w:val="0"/>
                <w:sz w:val="16"/>
              </w:rPr>
              <w:t>Category definitions, scoring rules, index logic</w:t>
            </w:r>
          </w:p>
        </w:tc>
        <w:tc>
          <w:tcPr>
            <w:tcW w:type="dxa" w:w="3744"/>
            <w:vAlign w:val="top"/>
          </w:tcPr>
          <w:p>
            <w:pPr>
              <w:spacing w:after="0" w:line="240" w:lineRule="auto"/>
            </w:pPr>
            <w:r/>
            <w:r>
              <w:rPr>
                <w:b w:val="0"/>
                <w:sz w:val="16"/>
              </w:rPr>
              <w:t>Evaluate dictionary-based content analysis</w:t>
            </w:r>
          </w:p>
        </w:tc>
      </w:tr>
    </w:tbl>
    <w:p/>
    <w:p>
      <w:pPr>
        <w:pStyle w:val="Heading1"/>
      </w:pPr>
      <w:r>
        <w:t>References</w:t>
      </w:r>
    </w:p>
    <w:p>
      <w:r>
        <w:t>Buzan, B., Waever, O., &amp; de Wilde, J. (1998). Security: A New Framework for Analysis. Lynne Rienner.</w:t>
      </w:r>
    </w:p>
    <w:p>
      <w:r>
        <w:t>Byers, M. (2013). International Law and the Arctic. Cambridge University Press.</w:t>
      </w:r>
    </w:p>
    <w:p>
      <w:r>
        <w:t>Dalby, S. (2014). Rethinking geopolitics: Climate security in the Anthropocene. Global Policy.</w:t>
      </w:r>
    </w:p>
    <w:p>
      <w:r>
        <w:t>Depledge, D. (2015). Geopolitics and the northern sea route. The RUSI Journal.</w:t>
      </w:r>
    </w:p>
    <w:p>
      <w:r>
        <w:t>Dodds, K. (2010). Flag planting and finger pointing: The Law of the Sea, the Arctic and the political geographies of the outer continental shelf. Political Geography.</w:t>
      </w:r>
    </w:p>
    <w:p>
      <w:r>
        <w:t>Exner-Pirot, H. (2013). What is the Arctic a case of? The Arctic as a regional environmental security complex and the implications for policy. The Polar Journal.</w:t>
      </w:r>
    </w:p>
    <w:p>
      <w:r>
        <w:t>Heininen, L. (2018). Arctic geopolitics from classical to critical approaches. In Arctic Yearbook.</w:t>
      </w:r>
    </w:p>
    <w:p>
      <w:r>
        <w:t>Huebert, R. (2010). The newly emerging Arctic security environment. Canadian Defence &amp; Foreign Affairs Institute.</w:t>
      </w:r>
    </w:p>
    <w:p>
      <w:r>
        <w:t>Klimenko, E. (2016). Russia's Arctic security policy: Still quiet in the High North? SIPRI Policy Paper.</w:t>
      </w:r>
    </w:p>
    <w:p>
      <w:r>
        <w:t>Lackenbauer, P. W., &amp; Dean, R. (Eds.). (2021). The Arctic and World Order. North American and Arctic Defence and Security Network.</w:t>
      </w:r>
    </w:p>
    <w:p>
      <w:r>
        <w:t>Nordas, R., &amp; Gleditsch, N. P. (2007). Climate change and conflict. Political Geography.</w:t>
      </w:r>
    </w:p>
    <w:p>
      <w:r>
        <w:t>Wilson Rowe, E. (2018). Arctic Governance: Power in Cross-Border Cooperation. Manchester University Press.</w:t>
      </w:r>
    </w:p>
    <w:p>
      <w:r>
        <w:t>SIPRI. Military Expenditure Database. Stockholm International Peace Research Institute.</w:t>
      </w:r>
    </w:p>
    <w:p>
      <w:r>
        <w:t>NSIDC. Sea Ice Index. National Snow and Ice Data Center.</w:t>
      </w:r>
    </w:p>
    <w:p>
      <w:r>
        <w:t>World Bank. World Development Indicators and Pink Sheet Commodity Price Data.</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