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sz w:val="22"/>
        </w:rPr>
        <w:t>From Melting Ice to Alliance Security</w:t>
      </w:r>
    </w:p>
    <w:p>
      <w:pPr>
        <w:spacing w:after="120" w:line="276" w:lineRule="auto"/>
        <w:jc w:val="center"/>
      </w:pPr>
      <w:r>
        <w:rPr>
          <w:rFonts w:ascii="Times New Roman" w:hAnsi="Times New Roman" w:eastAsia="Times New Roman"/>
          <w:i/>
          <w:sz w:val="22"/>
        </w:rPr>
        <w:t>Strategic Framing, NATO Exposure, and Military Burden in the Arctic</w:t>
      </w:r>
    </w:p>
    <w:p>
      <w:pPr>
        <w:spacing w:after="120" w:line="276" w:lineRule="auto"/>
        <w:jc w:val="center"/>
      </w:pPr>
      <w:r>
        <w:rPr>
          <w:rFonts w:ascii="Times New Roman" w:hAnsi="Times New Roman" w:eastAsia="Times New Roman"/>
          <w:sz w:val="22"/>
        </w:rPr>
        <w:t>Huseyin Saltan</w:t>
        <w:br/>
        <w:t>Independent Researcher</w:t>
        <w:br/>
        <w:t>ORCID: https://orcid.org/0000-0001-5362-3541</w:t>
      </w:r>
    </w:p>
    <w:p>
      <w:pPr>
        <w:spacing w:after="120" w:line="276" w:lineRule="auto"/>
        <w:jc w:val="center"/>
      </w:pPr>
      <w:r>
        <w:rPr>
          <w:rFonts w:ascii="Times New Roman" w:hAnsi="Times New Roman" w:eastAsia="Times New Roman"/>
          <w:sz w:val="22"/>
        </w:rPr>
        <w:t>Replication repository: https://github.com/SaltanHsyn/arctic-alliance-security-replication. The repository contains the Python scripts, processed data, model outputs, codebook, and documentation used to reproduce the results reported in this manuscript.</w:t>
      </w:r>
    </w:p>
    <w:p>
      <w:pPr>
        <w:pStyle w:val="Heading1"/>
        <w:spacing w:before="240" w:after="120"/>
      </w:pPr>
      <w:r>
        <w:rPr>
          <w:rFonts w:ascii="Times New Roman" w:hAnsi="Times New Roman" w:eastAsia="Times New Roman"/>
          <w:b/>
        </w:rPr>
        <w:t>Abstract</w:t>
      </w:r>
    </w:p>
    <w:p>
      <w:pPr>
        <w:spacing w:after="120" w:line="276" w:lineRule="auto"/>
      </w:pPr>
      <w:r>
        <w:rPr>
          <w:rFonts w:ascii="Times New Roman" w:hAnsi="Times New Roman" w:eastAsia="Times New Roman"/>
          <w:sz w:val="22"/>
        </w:rPr>
        <w:t>Why did the Arctic security debate harden after 2022, even though annual sea-ice loss does not by itself explain military burden across Arctic states? This article answers that question with a deliberately restrained mixed design. It combines a corpus of official strategic documents with a country-year panel of the Arctic Eight for 2000-2024. The quantitative evidence does not support a simple ice-melt-to-militarisation story. The direct association between sea-ice decline and military burden is weak and unstable. The more consistent pattern is the post-2022 increase in military burden, read together with official language on Russia threat, allied reinforcement, critical infrastructure, military mobility, and national resilience. The document analysis is therefore used as mechanism evidence rather than as a second causal test. The article argues that environmental change becomes security-relevant when it is translated through political institutions and strategic documents. After Russia's full-scale invasion of Ukraine, northern access, maritime surveillance, infrastructure, and defence readiness were increasingly folded into an alliance-security vocabulary. The result is not climate determinism. It is a narrower but more defensible account of how Arctic politics entered the wider post-2022 restructuring of European and North Atlantic security.</w:t>
      </w:r>
    </w:p>
    <w:p>
      <w:pPr>
        <w:spacing w:after="120" w:line="276" w:lineRule="auto"/>
      </w:pPr>
      <w:r>
        <w:rPr>
          <w:rFonts w:ascii="Times New Roman" w:hAnsi="Times New Roman" w:eastAsia="Times New Roman"/>
          <w:sz w:val="22"/>
        </w:rPr>
        <w:t>Keywords: Arctic security; NATO; Russia-Ukraine war; strategic framing; military burden; sea ice; alliance politics</w:t>
      </w:r>
    </w:p>
    <w:p>
      <w:pPr>
        <w:pStyle w:val="Heading1"/>
        <w:spacing w:before="240" w:after="120"/>
      </w:pPr>
      <w:r>
        <w:rPr>
          <w:rFonts w:ascii="Times New Roman" w:hAnsi="Times New Roman" w:eastAsia="Times New Roman"/>
          <w:b/>
        </w:rPr>
        <w:t>1. Introduction</w:t>
      </w:r>
    </w:p>
    <w:p>
      <w:pPr>
        <w:spacing w:after="120" w:line="276" w:lineRule="auto"/>
      </w:pPr>
      <w:r>
        <w:rPr>
          <w:rFonts w:ascii="Times New Roman" w:hAnsi="Times New Roman" w:eastAsia="Times New Roman"/>
          <w:sz w:val="22"/>
        </w:rPr>
        <w:t>The Arctic is often pulled between two narratives. One is environmental: shrinking sea ice, longer navigation seasons, exposed infrastructure, and renewed expectations about resources and routes. The other is strategic: Russian military activity, NATO adaptation, Nordic defence integration, and the return of territorial security as a practical concern. The problem is that these two narratives are often placed too close to one another. Melting ice is treated as if it almost automatically produces militarisation. The evidence assembled here suggests a more complicated picture.</w:t>
      </w:r>
    </w:p>
    <w:p>
      <w:pPr>
        <w:spacing w:after="120" w:line="276" w:lineRule="auto"/>
      </w:pPr>
      <w:r>
        <w:rPr>
          <w:rFonts w:ascii="Times New Roman" w:hAnsi="Times New Roman" w:eastAsia="Times New Roman"/>
          <w:sz w:val="22"/>
        </w:rPr>
        <w:t>The distinction matters. If the claim is that annual sea-ice loss directly raises military burden, then the statistical evidence should be stable across specifications. It is not. Once macroeconomic controls and country differences are included, the direct sea-ice effect becomes weak. That result should not be hidden. It is analytically useful because it rules out a crude environmental explanation and pushes the argument toward political translation: who interprets Arctic change as a security problem, through which institutions, and under what geopolitical conditions?</w:t>
      </w:r>
    </w:p>
    <w:p>
      <w:pPr>
        <w:spacing w:after="120" w:line="276" w:lineRule="auto"/>
      </w:pPr>
      <w:r>
        <w:rPr>
          <w:rFonts w:ascii="Times New Roman" w:hAnsi="Times New Roman" w:eastAsia="Times New Roman"/>
          <w:sz w:val="22"/>
        </w:rPr>
        <w:t>The conditional question is therefore more appropriate: when does Arctic environmental change become attached to military burden? The answer developed in this article is that environmental change matters when it is taken up by official strategic framing and by alliance institutions. In the years after Russia’s full-scale invasion of Ukraine, Arctic and Nordic governments increasingly treated northern infrastructure, mobility, surveillance, and resilience as parts of a wider security architecture. This did not erase environmental governance, but it changed the political layer through which Arctic access was interpreted.</w:t>
      </w:r>
    </w:p>
    <w:p>
      <w:pPr>
        <w:spacing w:after="120" w:line="276" w:lineRule="auto"/>
      </w:pPr>
      <w:r>
        <w:rPr>
          <w:rFonts w:ascii="Times New Roman" w:hAnsi="Times New Roman" w:eastAsia="Times New Roman"/>
          <w:sz w:val="22"/>
        </w:rPr>
        <w:t>The empirical design reflects that argument. The document corpus contains official Arctic, defence, security, and foreign-policy documents for the Arctic Eight. The panel covers 2000-2024 and brings together SIPRI military expenditure data, September Arctic sea-ice extent, World Bank macroeconomic controls, and World Bank commodity prices. The content scores are not used as a substitute for material outcomes. They are used to examine whether the language of security, alliance solidarity, and Russia threat helps explain the post-2022 shift.</w:t>
      </w:r>
    </w:p>
    <w:p>
      <w:pPr>
        <w:spacing w:after="120" w:line="276" w:lineRule="auto"/>
      </w:pPr>
      <w:r>
        <w:rPr>
          <w:rFonts w:ascii="Times New Roman" w:hAnsi="Times New Roman" w:eastAsia="Times New Roman"/>
          <w:sz w:val="22"/>
        </w:rPr>
        <w:t>The article’s claim is therefore modest. It does not argue that climate change alone militarised the Arctic. It shows that the post-2022 security rupture, NATO exposure, and official strategic framing offer a stronger explanation for the observed change in military burden than sea-ice decline alone. That modesty is important. It is also what makes the result more credible.</w:t>
      </w:r>
    </w:p>
    <w:p>
      <w:pPr>
        <w:pStyle w:val="Heading1"/>
        <w:spacing w:before="240" w:after="120"/>
      </w:pPr>
      <w:r>
        <w:rPr>
          <w:rFonts w:ascii="Times New Roman" w:hAnsi="Times New Roman" w:eastAsia="Times New Roman"/>
          <w:b/>
        </w:rPr>
        <w:t>2. Literature Review and Contribution</w:t>
      </w:r>
    </w:p>
    <w:p>
      <w:pPr>
        <w:pStyle w:val="Heading2"/>
        <w:spacing w:before="240" w:after="120"/>
      </w:pPr>
      <w:r>
        <w:rPr>
          <w:rFonts w:ascii="Times New Roman" w:hAnsi="Times New Roman" w:eastAsia="Times New Roman"/>
          <w:b/>
        </w:rPr>
        <w:t>2.1 Climate-security without environmental determinism</w:t>
      </w:r>
    </w:p>
    <w:p>
      <w:pPr>
        <w:spacing w:after="120" w:line="276" w:lineRule="auto"/>
      </w:pPr>
      <w:r>
        <w:rPr>
          <w:rFonts w:ascii="Times New Roman" w:hAnsi="Times New Roman" w:eastAsia="Times New Roman"/>
          <w:sz w:val="22"/>
        </w:rPr>
        <w:t>Climate-security research has repeatedly warned against treating environmental pressure as a direct and uniform cause of conflict. That warning is especially relevant in the Arctic. Sea-ice loss changes the conditions under which shipping, extraction, infrastructure, and surveillance are discussed, but it does not determine the political response. The same physical change can be framed as an environmental governance problem, a commercial opportunity, a sovereignty issue, or a military concern.</w:t>
      </w:r>
    </w:p>
    <w:p>
      <w:pPr>
        <w:spacing w:after="120" w:line="276" w:lineRule="auto"/>
      </w:pPr>
      <w:r>
        <w:rPr>
          <w:rFonts w:ascii="Times New Roman" w:hAnsi="Times New Roman" w:eastAsia="Times New Roman"/>
          <w:sz w:val="22"/>
        </w:rPr>
        <w:t>This article treats climate change as an enabling condition rather than as a trigger. Lower ice can increase the salience of northern routes and infrastructure, but the security consequences depend on institutions, threat perceptions, and strategic language. This reading is less dramatic than the claim that melting ice automatically produces militarisation, but it fits the evidence more closely.</w:t>
      </w:r>
    </w:p>
    <w:p>
      <w:pPr>
        <w:pStyle w:val="Heading2"/>
        <w:spacing w:before="240" w:after="120"/>
      </w:pPr>
      <w:r>
        <w:rPr>
          <w:rFonts w:ascii="Times New Roman" w:hAnsi="Times New Roman" w:eastAsia="Times New Roman"/>
          <w:b/>
        </w:rPr>
        <w:t>2.2 Arctic governance and the return of hard security</w:t>
      </w:r>
    </w:p>
    <w:p>
      <w:pPr>
        <w:spacing w:after="120" w:line="276" w:lineRule="auto"/>
      </w:pPr>
      <w:r>
        <w:rPr>
          <w:rFonts w:ascii="Times New Roman" w:hAnsi="Times New Roman" w:eastAsia="Times New Roman"/>
          <w:sz w:val="22"/>
        </w:rPr>
        <w:t>The Arctic governance literature rightly stresses legal order, institutional cooperation, and the continuing role of the Arctic Council. Those features have not vanished. The Arctic is not an unregulated space, and much of its everyday politics still concerns science, environmental protection, indigenous rights, and maritime governance. At the same time, the security layer above that cooperative architecture has thickened since 2022.</w:t>
      </w:r>
    </w:p>
    <w:p>
      <w:pPr>
        <w:spacing w:after="120" w:line="276" w:lineRule="auto"/>
      </w:pPr>
      <w:r>
        <w:rPr>
          <w:rFonts w:ascii="Times New Roman" w:hAnsi="Times New Roman" w:eastAsia="Times New Roman"/>
          <w:sz w:val="22"/>
        </w:rPr>
        <w:t>The contribution here is to hold both observations together. Arctic cooperation continues, but it now operates alongside a sharper alliance-security logic. The post-2022 period did not replace governance with militarisation; it layered defence planning, infrastructure protection, military mobility, and deterrence onto an already institutionalised region.</w:t>
      </w:r>
    </w:p>
    <w:p>
      <w:pPr>
        <w:pStyle w:val="Heading2"/>
        <w:spacing w:before="240" w:after="120"/>
      </w:pPr>
      <w:r>
        <w:rPr>
          <w:rFonts w:ascii="Times New Roman" w:hAnsi="Times New Roman" w:eastAsia="Times New Roman"/>
          <w:b/>
        </w:rPr>
        <w:t>2.3 NATO exposure and strategic framing</w:t>
      </w:r>
    </w:p>
    <w:p>
      <w:pPr>
        <w:spacing w:after="120" w:line="276" w:lineRule="auto"/>
      </w:pPr>
      <w:r>
        <w:rPr>
          <w:rFonts w:ascii="Times New Roman" w:hAnsi="Times New Roman" w:eastAsia="Times New Roman"/>
          <w:sz w:val="22"/>
        </w:rPr>
        <w:t>NATO is not treated simply as a yes-or-no membership variable. Long-standing NATO members such as Norway, Canada, Denmark, Iceland, and the United States entered the period with different alliance positions from Finland and Sweden, whose accessions changed Nordic security geography after 2022. What matters for this article is not only formal membership but the extent to which Arctic questions are narrated through allied reinforcement, deterrence, interoperability, and resilience.</w:t>
      </w:r>
    </w:p>
    <w:p>
      <w:pPr>
        <w:spacing w:after="120" w:line="276" w:lineRule="auto"/>
      </w:pPr>
      <w:r>
        <w:rPr>
          <w:rFonts w:ascii="Times New Roman" w:hAnsi="Times New Roman" w:eastAsia="Times New Roman"/>
          <w:sz w:val="22"/>
        </w:rPr>
        <w:t>Official documents are useful because they leave a record of that translation. Arctic strategies show how governments describe the region itself. Defence and national security documents show how the post-2022 security overlay enters the same space. The distinction is maintained throughout the analysis: Arctic-specific documents and broader defence documents are not treated as if they were identical sources.</w:t>
      </w:r>
    </w:p>
    <w:p>
      <w:pPr>
        <w:pStyle w:val="Heading2"/>
        <w:spacing w:before="240" w:after="120"/>
      </w:pPr>
      <w:r>
        <w:rPr>
          <w:rFonts w:ascii="Times New Roman" w:hAnsi="Times New Roman" w:eastAsia="Times New Roman"/>
          <w:b/>
        </w:rPr>
        <w:t>2.4 Contribution</w:t>
      </w:r>
    </w:p>
    <w:p>
      <w:pPr>
        <w:spacing w:after="120" w:line="276" w:lineRule="auto"/>
      </w:pPr>
      <w:r>
        <w:rPr>
          <w:rFonts w:ascii="Times New Roman" w:hAnsi="Times New Roman" w:eastAsia="Times New Roman"/>
          <w:sz w:val="22"/>
        </w:rPr>
        <w:t>The article makes four contributions. It offers a conditional rather than deterministic climate-security argument; it builds a document-based measure of strategic framing for Arctic states; it places the 2022 war and NATO exposure at the centre of the empirical explanation; and it is explicit about the limits of military burden as an Arctic-specific outcome.</w:t>
      </w:r>
    </w:p>
    <w:p>
      <w:pPr>
        <w:pStyle w:val="Heading1"/>
        <w:spacing w:before="240" w:after="120"/>
      </w:pPr>
      <w:r>
        <w:rPr>
          <w:rFonts w:ascii="Times New Roman" w:hAnsi="Times New Roman" w:eastAsia="Times New Roman"/>
          <w:b/>
        </w:rPr>
        <w:t>3. Theory and Expectations</w:t>
      </w:r>
    </w:p>
    <w:p>
      <w:pPr>
        <w:spacing w:after="120" w:line="276" w:lineRule="auto"/>
      </w:pPr>
      <w:r>
        <w:rPr>
          <w:rFonts w:ascii="Times New Roman" w:hAnsi="Times New Roman" w:eastAsia="Times New Roman"/>
          <w:sz w:val="22"/>
        </w:rPr>
        <w:t>The mechanism has three steps. First, sea-ice decline increases the salience of northern mobility, infrastructure, maritime surveillance, and resource governance. Second, official strategic documents translate those changes into policy language. Third, after 2022, NATO exposure and Russia-threat framing give that language a harder security meaning. The expected outcome is not a uniform response to ice loss but a conditional shift in military burden and security vocabulary.</w:t>
      </w:r>
    </w:p>
    <w:p>
      <w:pPr>
        <w:spacing w:after="120" w:line="276" w:lineRule="auto"/>
      </w:pPr>
      <w:r>
        <w:rPr>
          <w:rFonts w:ascii="Times New Roman" w:hAnsi="Times New Roman" w:eastAsia="Times New Roman"/>
          <w:sz w:val="22"/>
        </w:rPr>
        <w:t>The key rupture is Russia’s full-scale invasion of Ukraine. Before 2022, many Arctic strategies mixed low-tension cooperation with cautious security awareness. After 2022, the balance shifted. Russia threat, total defence, military mobility, allied presence, and infrastructure protection became harder to separate from Arctic policy. The evidence below is best read against that rupture.</w:t>
      </w:r>
    </w:p>
    <w:p>
      <w:pPr>
        <w:pStyle w:val="Heading2"/>
        <w:spacing w:before="240" w:after="120"/>
      </w:pPr>
      <w:r>
        <w:rPr>
          <w:rFonts w:ascii="Times New Roman" w:hAnsi="Times New Roman" w:eastAsia="Times New Roman"/>
          <w:b/>
        </w:rPr>
        <w:t>Hypotheses</w:t>
      </w:r>
    </w:p>
    <w:p>
      <w:pPr>
        <w:spacing w:after="120" w:line="276" w:lineRule="auto"/>
      </w:pPr>
      <w:r>
        <w:rPr>
          <w:rFonts w:ascii="Times New Roman" w:hAnsi="Times New Roman" w:eastAsia="Times New Roman"/>
          <w:sz w:val="22"/>
        </w:rPr>
        <w:t>H1: Direct annual sea-ice decline is not expected to have a stable independent effect on military burden once macroeconomic controls and country heterogeneity are included.</w:t>
      </w:r>
    </w:p>
    <w:p>
      <w:pPr>
        <w:spacing w:after="120" w:line="276" w:lineRule="auto"/>
      </w:pPr>
      <w:r>
        <w:rPr>
          <w:rFonts w:ascii="Times New Roman" w:hAnsi="Times New Roman" w:eastAsia="Times New Roman"/>
          <w:sz w:val="22"/>
        </w:rPr>
        <w:t>H2: The post-2022 period is associated with higher military burden among Arctic states, reflecting the wider alliance-security rupture after Russia's full-scale invasion of Ukraine.</w:t>
      </w:r>
    </w:p>
    <w:p>
      <w:pPr>
        <w:spacing w:after="120" w:line="276" w:lineRule="auto"/>
      </w:pPr>
      <w:r>
        <w:rPr>
          <w:rFonts w:ascii="Times New Roman" w:hAnsi="Times New Roman" w:eastAsia="Times New Roman"/>
          <w:sz w:val="22"/>
        </w:rPr>
        <w:t>H3: Strategic framing that emphasises Russia threat, defence, resilience, and critical infrastructure is positively associated with military burden in mechanism models.</w:t>
      </w:r>
    </w:p>
    <w:p>
      <w:pPr>
        <w:spacing w:after="120" w:line="276" w:lineRule="auto"/>
      </w:pPr>
      <w:r>
        <w:rPr>
          <w:rFonts w:ascii="Times New Roman" w:hAnsi="Times New Roman" w:eastAsia="Times New Roman"/>
          <w:sz w:val="22"/>
        </w:rPr>
        <w:t>H4: NATO exposure matters less as a simple membership status than as an alliance-security framing mechanism, especially in post-2022 Nordic and North Atlantic contexts.</w:t>
      </w:r>
    </w:p>
    <w:p>
      <w:pPr>
        <w:pStyle w:val="Heading1"/>
        <w:spacing w:before="240" w:after="120"/>
      </w:pPr>
      <w:r>
        <w:rPr>
          <w:rFonts w:ascii="Times New Roman" w:hAnsi="Times New Roman" w:eastAsia="Times New Roman"/>
          <w:b/>
        </w:rPr>
        <w:t>4. Research Design and Data</w:t>
      </w:r>
    </w:p>
    <w:p>
      <w:pPr>
        <w:spacing w:after="120" w:line="276" w:lineRule="auto"/>
      </w:pPr>
      <w:r>
        <w:rPr>
          <w:rFonts w:ascii="Times New Roman" w:hAnsi="Times New Roman" w:eastAsia="Times New Roman"/>
          <w:sz w:val="22"/>
        </w:rPr>
        <w:t>The design is mixed, but the two parts do different work. Content analysis identifies the strategic vocabulary through which governments connect the Arctic to security. The country-year panel evaluates material outcomes. The main sample is the Arctic Eight: Canada, Denmark/Greenland, Finland, Iceland, Norway, Russia, Sweden, and the United States. The period is 2000-2024. Coastal Five and NATO-only samples are used for robustness checks.</w:t>
      </w:r>
    </w:p>
    <w:p>
      <w:pPr>
        <w:pStyle w:val="Heading2"/>
        <w:spacing w:before="240" w:after="120"/>
      </w:pPr>
      <w:r>
        <w:rPr>
          <w:rFonts w:ascii="Times New Roman" w:hAnsi="Times New Roman" w:eastAsia="Times New Roman"/>
          <w:b/>
        </w:rPr>
        <w:t>4.1 Document corpus</w:t>
      </w:r>
    </w:p>
    <w:p>
      <w:pPr>
        <w:spacing w:after="120" w:line="276" w:lineRule="auto"/>
      </w:pPr>
      <w:r>
        <w:rPr>
          <w:rFonts w:ascii="Times New Roman" w:hAnsi="Times New Roman" w:eastAsia="Times New Roman"/>
          <w:sz w:val="22"/>
        </w:rPr>
        <w:t>The corpus is restricted to official state-level documents. Commentary pieces, academic analyses, and ordinary policy reports are excluded from the main document set. Broader defence or national security documents are included only when they are necessary to capture post-2022 alliance-security framing. This distinction prevents a general defence document from being coded as if it were an Arctic strategy.</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cantSplit/>
          <w:tblHeader/>
          <w:cantSplit/>
        </w:trPr>
        <w:tc>
          <w:tcPr>
            <w:tcW w:type="dxa" w:w="1584"/>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Country</w:t>
            </w:r>
          </w:p>
        </w:tc>
        <w:tc>
          <w:tcPr>
            <w:tcW w:type="dxa" w:w="1080"/>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Year</w:t>
            </w:r>
          </w:p>
        </w:tc>
        <w:tc>
          <w:tcPr>
            <w:tcW w:type="dxa" w:w="2880"/>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Document type</w:t>
            </w:r>
          </w:p>
        </w:tc>
        <w:tc>
          <w:tcPr>
            <w:tcW w:type="dxa" w:w="1728"/>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War period</w:t>
            </w:r>
          </w:p>
        </w:tc>
        <w:tc>
          <w:tcPr>
            <w:tcW w:type="dxa" w:w="2448"/>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NATO period</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USA</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2022</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National Arctic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USA</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2024</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Defence Arctic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Canada</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2019</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and Northern Policy Framework</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Canada</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2024</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Defence Policy Update</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Russia</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2020 / amended 2023</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State Policy / Strategic Planning Document</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 document / amended 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Non-NATO / Russia</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Russia</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2020 / amended 2023</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Zone Development and National Security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 document / amended 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Non-NATO / Russia</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Norway</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2025</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High North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Denmark_Greenland</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2011</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Denmark_Greenland</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2024</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Foreign, Security and Defence Policy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 / Kingdom of Denmark</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Finland</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2021</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Policy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Pre-NATO</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Finland</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2024</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Defence Report</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Post-NATO</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Sweden</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2020</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Pre-NATO</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Sweden</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2024</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National Security Strategy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Post-NATO</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Iceland</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2021</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Arctic Policy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r>
        <w:trPr>
          <w:cantSplit/>
          <w:cantSplit/>
        </w:trPr>
        <w:tc>
          <w:tcPr>
            <w:tcW w:type="dxa" w:w="158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Iceland</w:t>
            </w:r>
          </w:p>
        </w:tc>
        <w:tc>
          <w:tcPr>
            <w:tcW w:type="dxa" w:w="10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2023</w:t>
            </w:r>
          </w:p>
        </w:tc>
        <w:tc>
          <w:tcPr>
            <w:tcW w:type="dxa" w:w="288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National Security Policy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Post-war</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Long-standing NATO member</w:t>
            </w:r>
          </w:p>
        </w:tc>
      </w:tr>
    </w:tbl>
    <w:p>
      <w:pPr>
        <w:spacing w:after="120" w:line="276" w:lineRule="auto"/>
      </w:pPr>
    </w:p>
    <w:p>
      <w:pPr>
        <w:pStyle w:val="Heading2"/>
        <w:spacing w:before="240" w:after="120"/>
      </w:pPr>
      <w:r>
        <w:rPr>
          <w:rFonts w:ascii="Times New Roman" w:hAnsi="Times New Roman" w:eastAsia="Times New Roman"/>
          <w:b/>
        </w:rPr>
        <w:t>4.2 Measures</w:t>
      </w:r>
    </w:p>
    <w:p>
      <w:pPr>
        <w:spacing w:after="120" w:line="276" w:lineRule="auto"/>
      </w:pPr>
      <w:r>
        <w:rPr>
          <w:rFonts w:ascii="Times New Roman" w:hAnsi="Times New Roman" w:eastAsia="Times New Roman"/>
          <w:sz w:val="22"/>
        </w:rPr>
        <w:t>The main dependent variable is military expenditure as a share of GDP from SIPRI. Alternative outcomes include log military expenditure and military expenditure growth. Because military burden is a national measure, the article avoids calling it a direct measure of Arctic force posture. This is a limitation, but it is also a transparent one. The analysis treats military burden as a broad indicator of security mobilisation, not as a count of Arctic bases, icebreakers, exercises, or northern deployments.</w:t>
      </w:r>
    </w:p>
    <w:p>
      <w:pPr>
        <w:spacing w:after="120" w:line="276" w:lineRule="auto"/>
      </w:pPr>
      <w:r>
        <w:rPr>
          <w:rFonts w:ascii="Times New Roman" w:hAnsi="Times New Roman" w:eastAsia="Times New Roman"/>
          <w:sz w:val="22"/>
        </w:rPr>
        <w:t>Sea-ice decline is calculated from September Arctic sea-ice extent, using NSIDC data accessed through the Our World in Data download. Energy prices are annual averages from the World Bank Pink Sheet, covering Brent oil and European natural gas. Macroeconomic controls come from the World Development Indicators. Military expenditure data come from SIPRI.</w:t>
      </w:r>
    </w:p>
    <w:p>
      <w:pPr>
        <w:spacing w:after="120" w:line="276" w:lineRule="auto"/>
      </w:pPr>
      <w:r>
        <w:rPr>
          <w:rFonts w:ascii="Times New Roman" w:hAnsi="Times New Roman" w:eastAsia="Times New Roman"/>
          <w:sz w:val="22"/>
        </w:rPr>
        <w:t>Content variables are produced through dictionary-based scoring followed by manual validation. The categories include security framing, military and defence language, sovereignty, resource access, NATO/alliance framing, Russia-threat framing, resilience/total defence, critical infrastructure, climate-security linkage, and cooperation/governance framing. The resulting indicators are used mainly as mechanism evidence.</w:t>
      </w:r>
    </w:p>
    <w:p>
      <w:pPr>
        <w:pStyle w:val="Heading2"/>
        <w:spacing w:before="240" w:after="120"/>
      </w:pPr>
      <w:r>
        <w:rPr>
          <w:rFonts w:ascii="Times New Roman" w:hAnsi="Times New Roman" w:eastAsia="Times New Roman"/>
          <w:b/>
        </w:rPr>
        <w:t>4.3 Software and reproducibility</w:t>
      </w:r>
    </w:p>
    <w:p>
      <w:pPr>
        <w:spacing w:after="120" w:line="276" w:lineRule="auto"/>
      </w:pPr>
      <w:r>
        <w:rPr>
          <w:rFonts w:ascii="Times New Roman" w:hAnsi="Times New Roman" w:eastAsia="Times New Roman"/>
          <w:sz w:val="22"/>
        </w:rPr>
        <w:t>All data processing, PDF text extraction, dictionary scoring, panel construction, descriptive diagnostics, baseline models, and robustness checks were conducted in Python. The local environment used Anaconda Python 3.13. The scripts rely on pandas, numpy, statsmodels, openpyxl, pypdf, and python-docx. Microsoft Excel was used to inspect generated workbooks, not to run the analysis. Microsoft Word and LibreOffice were used for manuscript editing and layout verification. The replication repository contains the code, processed data, model outputs, documentation, and manuscript materials needed to audit the workflow.</w:t>
      </w:r>
    </w:p>
    <w:tbl>
      <w:tblPr>
        <w:tblStyle w:val="TableGrid"/>
        <w:tblW w:type="auto" w:w="0"/>
        <w:jc w:val="center"/>
        <w:tblLook w:firstColumn="1" w:firstRow="1" w:lastColumn="0" w:lastRow="0" w:noHBand="0" w:noVBand="1" w:val="04A0"/>
      </w:tblPr>
      <w:tblGrid>
        <w:gridCol w:w="3264"/>
        <w:gridCol w:w="3264"/>
        <w:gridCol w:w="3264"/>
      </w:tblGrid>
      <w:tr>
        <w:trPr>
          <w:cantSplit/>
          <w:tblHeader/>
          <w:cantSplit/>
        </w:trPr>
        <w:tc>
          <w:tcPr>
            <w:tcW w:type="dxa" w:w="2592"/>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Task</w:t>
            </w:r>
          </w:p>
        </w:tc>
        <w:tc>
          <w:tcPr>
            <w:tcW w:type="dxa" w:w="3024"/>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Software / package</w:t>
            </w:r>
          </w:p>
        </w:tc>
        <w:tc>
          <w:tcPr>
            <w:tcW w:type="dxa" w:w="4464"/>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Role</w:t>
            </w:r>
          </w:p>
        </w:tc>
      </w:tr>
      <w:tr>
        <w:trPr>
          <w:cantSplit/>
          <w:cantSplit/>
        </w:trPr>
        <w:tc>
          <w:tcPr>
            <w:tcW w:type="dxa" w:w="25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Data cleaning and panel construction</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Python; pandas; numpy</w:t>
            </w:r>
          </w:p>
        </w:tc>
        <w:tc>
          <w:tcPr>
            <w:tcW w:type="dxa" w:w="446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Reshaping country-year data, merging SIPRI, WDI, sea-ice, and energy-price series</w:t>
            </w:r>
          </w:p>
        </w:tc>
      </w:tr>
      <w:tr>
        <w:trPr>
          <w:cantSplit/>
          <w:cantSplit/>
        </w:trPr>
        <w:tc>
          <w:tcPr>
            <w:tcW w:type="dxa" w:w="25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PDF text extraction</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Python; pypdf</w:t>
            </w:r>
          </w:p>
        </w:tc>
        <w:tc>
          <w:tcPr>
            <w:tcW w:type="dxa" w:w="446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Extracting text from official strategy documents</w:t>
            </w:r>
          </w:p>
        </w:tc>
      </w:tr>
      <w:tr>
        <w:trPr>
          <w:cantSplit/>
          <w:cantSplit/>
        </w:trPr>
        <w:tc>
          <w:tcPr>
            <w:tcW w:type="dxa" w:w="25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Content scoring</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Python; pandas; dictionary scripts</w:t>
            </w:r>
          </w:p>
        </w:tc>
        <w:tc>
          <w:tcPr>
            <w:tcW w:type="dxa" w:w="446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Producing document-level framing scores and mechanism indicators</w:t>
            </w:r>
          </w:p>
        </w:tc>
      </w:tr>
      <w:tr>
        <w:trPr>
          <w:cantSplit/>
          <w:cantSplit/>
        </w:trPr>
        <w:tc>
          <w:tcPr>
            <w:tcW w:type="dxa" w:w="25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Econometric models</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Python; statsmodels</w:t>
            </w:r>
          </w:p>
        </w:tc>
        <w:tc>
          <w:tcPr>
            <w:tcW w:type="dxa" w:w="446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Baseline and robustness regressions with country fixed effects</w:t>
            </w:r>
          </w:p>
        </w:tc>
      </w:tr>
      <w:tr>
        <w:trPr>
          <w:cantSplit/>
          <w:cantSplit/>
        </w:trPr>
        <w:tc>
          <w:tcPr>
            <w:tcW w:type="dxa" w:w="25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Workbook outputs</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openpyxl through Python scripts</w:t>
            </w:r>
          </w:p>
        </w:tc>
        <w:tc>
          <w:tcPr>
            <w:tcW w:type="dxa" w:w="446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Writing auditable Excel outputs generated by code</w:t>
            </w:r>
          </w:p>
        </w:tc>
      </w:tr>
      <w:tr>
        <w:trPr>
          <w:cantSplit/>
          <w:cantSplit/>
        </w:trPr>
        <w:tc>
          <w:tcPr>
            <w:tcW w:type="dxa" w:w="25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Manuscript preparation</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python-docx; Microsoft Word/LibreOffice</w:t>
            </w:r>
          </w:p>
        </w:tc>
        <w:tc>
          <w:tcPr>
            <w:tcW w:type="dxa" w:w="446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Drafting, formatting, and render checks</w:t>
            </w:r>
          </w:p>
        </w:tc>
      </w:tr>
    </w:tbl>
    <w:p>
      <w:pPr>
        <w:spacing w:after="120" w:line="276" w:lineRule="auto"/>
      </w:pPr>
    </w:p>
    <w:p>
      <w:pPr>
        <w:pStyle w:val="Heading2"/>
        <w:spacing w:before="240" w:after="120"/>
      </w:pPr>
      <w:r>
        <w:rPr>
          <w:rFonts w:ascii="Times New Roman" w:hAnsi="Times New Roman" w:eastAsia="Times New Roman"/>
          <w:b/>
        </w:rPr>
        <w:t>4.4 Baseline specification</w:t>
      </w:r>
    </w:p>
    <w:p>
      <w:pPr>
        <w:spacing w:after="120" w:line="276" w:lineRule="auto"/>
      </w:pPr>
      <w:r>
        <w:rPr>
          <w:rFonts w:ascii="Times New Roman" w:hAnsi="Times New Roman" w:eastAsia="Times New Roman"/>
          <w:sz w:val="22"/>
        </w:rPr>
        <w:t>The main specification estimates military burden as a function of sea-ice decline, energy prices, the post-2022 period, macroeconomic controls, and country fixed effects. Year fixed effects are not included in the main specification because the central environmental and energy variables vary by year, not by country; full year fixed effects would absorb them. This is a trade-off rather than an oversight, and the robustness section reports alternative specifications.</w:t>
      </w:r>
    </w:p>
    <w:p>
      <w:pPr>
        <w:spacing w:after="120" w:line="276" w:lineRule="auto"/>
      </w:pPr>
      <w:r>
        <w:rPr>
          <w:rFonts w:ascii="Times New Roman" w:hAnsi="Times New Roman" w:eastAsia="Times New Roman"/>
          <w:sz w:val="22"/>
        </w:rPr>
        <w:t>MilitaryBurden_it = alpha_i + beta1 SeaIceDecline_t + beta2 EnergyPrice_t + beta3 Post2022_t + beta4 X_it + epsilon_it</w:t>
      </w:r>
    </w:p>
    <w:p>
      <w:pPr>
        <w:pStyle w:val="Heading1"/>
        <w:spacing w:before="240" w:after="120"/>
      </w:pPr>
      <w:r>
        <w:rPr>
          <w:rFonts w:ascii="Times New Roman" w:hAnsi="Times New Roman" w:eastAsia="Times New Roman"/>
          <w:b/>
        </w:rPr>
        <w:t>5. Results</w:t>
      </w:r>
    </w:p>
    <w:p>
      <w:pPr>
        <w:spacing w:after="120" w:line="276" w:lineRule="auto"/>
      </w:pPr>
      <w:r>
        <w:rPr>
          <w:rFonts w:ascii="Times New Roman" w:hAnsi="Times New Roman" w:eastAsia="Times New Roman"/>
          <w:sz w:val="22"/>
        </w:rPr>
        <w:t>The results are clearer about what they rule out than about what they prove. The direct sea-ice coefficient is small and unstable across the main specifications. Energy prices do not turn the model into a simple resource-access story. By contrast, the post-2022 coefficient is consistently positive in the screening models. The evidence therefore fits an alliance-security interpretation better than an environmental determinist one.</w:t>
      </w:r>
    </w:p>
    <w:p>
      <w:r>
        <w:br w:type="page"/>
      </w:r>
    </w:p>
    <w:p>
      <w:pPr>
        <w:pStyle w:val="Heading2"/>
        <w:spacing w:before="240" w:after="120"/>
      </w:pPr>
      <w:r>
        <w:rPr>
          <w:rFonts w:ascii="Times New Roman" w:hAnsi="Times New Roman" w:eastAsia="Times New Roman"/>
          <w:b/>
        </w:rPr>
        <w:t>Table 1. Main panel screening models: military burden (% GDP)</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cantSplit/>
          <w:cantSplit/>
        </w:trPr>
        <w:tc>
          <w:tcPr>
            <w:tcW w:type="dxa" w:w="244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Variable</w:t>
            </w:r>
          </w:p>
        </w:tc>
        <w:tc>
          <w:tcPr>
            <w:tcW w:type="dxa" w:w="172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Baseline</w:t>
              <w:br/>
              <w:t>Arctic Eight</w:t>
            </w:r>
          </w:p>
        </w:tc>
        <w:tc>
          <w:tcPr>
            <w:tcW w:type="dxa" w:w="1872"/>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Energy interaction</w:t>
              <w:br/>
              <w:t>Arctic Eight</w:t>
            </w:r>
          </w:p>
        </w:tc>
        <w:tc>
          <w:tcPr>
            <w:tcW w:type="dxa" w:w="1872"/>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Lagged env./energy</w:t>
              <w:br/>
              <w:t>Arctic Eight</w:t>
            </w:r>
          </w:p>
        </w:tc>
        <w:tc>
          <w:tcPr>
            <w:tcW w:type="dxa" w:w="172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Post-2022 × NATO</w:t>
            </w:r>
          </w:p>
        </w:tc>
        <w:tc>
          <w:tcPr>
            <w:tcW w:type="dxa" w:w="172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Post-2022 × Russia</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Sea-ice decline</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-0.012</w:t>
              <w:br/>
              <w:t>(0.039)</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0.026</w:t>
              <w:br/>
              <w:t>(0.114)</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0.026</w:t>
              <w:br/>
              <w:t>(0.112)</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-0.016</w:t>
              <w:br/>
              <w:t>(0.038)</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-0.008</w:t>
              <w:br/>
              <w:t>(0.034)</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Energy price index</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-0.001</w:t>
              <w:br/>
              <w:t>(0.001)</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-0.001</w:t>
              <w:br/>
              <w:t>(0.001)</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-0.000</w:t>
              <w:br/>
              <w:t>(0.001)</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-0.001</w:t>
              <w:br/>
              <w:t>(0.001)</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-0.001</w:t>
              <w:br/>
              <w:t>(0.001)</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Sea-ice × energy</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-0.000</w:t>
              <w:br/>
              <w:t>(0.001)</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0.000</w:t>
              <w:br/>
              <w:t>(0.001)</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Post-2022 war</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0.690***</w:t>
              <w:br/>
              <w:t>(0.245)</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0.697***</w:t>
              <w:br/>
              <w:t>(0.248)</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0.693***</w:t>
              <w:br/>
              <w:t>(0.262)</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1.235**</w:t>
              <w:br/>
              <w:t>(0.543)</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0.402***</w:t>
              <w:br/>
              <w:t>(0.137)</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Post-2022 × NATO</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-0.729</w:t>
              <w:br/>
              <w:t>(0.483)</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Post-2022 × Russia</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1.532*</w:t>
              <w:br/>
              <w:t>(0.870)</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GDP per capita (log)</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-0.006</w:t>
              <w:br/>
              <w:t>(0.226)</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-0.007</w:t>
              <w:br/>
              <w:t>(0.225)</w:t>
            </w:r>
          </w:p>
        </w:tc>
        <w:tc>
          <w:tcPr>
            <w:tcW w:type="dxa" w:w="187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-0.098</w:t>
              <w:br/>
              <w:t>(0.147)</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-0.020</w:t>
              <w:br/>
              <w:t>(0.224)</w:t>
            </w:r>
          </w:p>
        </w:tc>
        <w:tc>
          <w:tcPr>
            <w:tcW w:type="dxa" w:w="172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-0.097</w:t>
              <w:br/>
              <w:t>(0.192)</w:t>
            </w:r>
          </w:p>
        </w:tc>
      </w:tr>
    </w:tbl>
    <w:p>
      <w:pPr>
        <w:spacing w:after="120" w:line="276" w:lineRule="auto"/>
      </w:pPr>
    </w:p>
    <w:p>
      <w:pPr>
        <w:spacing w:after="120" w:line="276" w:lineRule="auto"/>
      </w:pPr>
      <w:r>
        <w:rPr>
          <w:rFonts w:ascii="Times New Roman" w:hAnsi="Times New Roman" w:eastAsia="Times New Roman"/>
          <w:sz w:val="22"/>
        </w:rPr>
        <w:t>Note: Standard errors are in parentheses. These models are screening models used to assess empirical patterns. They should not be read as a fully identified causal design with year fixed effects.</w:t>
      </w:r>
    </w:p>
    <w:p>
      <w:pPr>
        <w:pStyle w:val="Heading2"/>
        <w:spacing w:before="240" w:after="120"/>
      </w:pPr>
      <w:r>
        <w:rPr>
          <w:rFonts w:ascii="Times New Roman" w:hAnsi="Times New Roman" w:eastAsia="Times New Roman"/>
          <w:b/>
        </w:rPr>
        <w:t>5.1 Robustness checks</w:t>
      </w:r>
    </w:p>
    <w:p>
      <w:pPr>
        <w:spacing w:after="120" w:line="276" w:lineRule="auto"/>
      </w:pPr>
      <w:r>
        <w:rPr>
          <w:rFonts w:ascii="Times New Roman" w:hAnsi="Times New Roman" w:eastAsia="Times New Roman"/>
          <w:sz w:val="22"/>
        </w:rPr>
        <w:t>The robustness checks ask whether the post-2022 pattern is driven by a single unusual case. Excluding Iceland addresses its unusual defence structure. Excluding Russia tests whether the rival case alone drives the result. The Coastal Five restriction narrows the sample to Arctic coastal states. NATO-only models examine whether the association is concentrated among alliance members. The broad pattern remains, although the magnitude varies across samples.</w:t>
      </w:r>
    </w:p>
    <w:p>
      <w:r>
        <w:br w:type="page"/>
      </w:r>
    </w:p>
    <w:p>
      <w:pPr>
        <w:spacing w:before="0" w:after="120"/>
      </w:pPr>
      <w:r>
        <w:rPr>
          <w:rFonts w:ascii="Times New Roman" w:hAnsi="Times New Roman"/>
          <w:b/>
          <w:sz w:val="22"/>
        </w:rPr>
        <w:t>Table 2. Robustness checks: selected samples and specifications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cantSplit/>
          <w:cantSplit/>
        </w:trPr>
        <w:tc>
          <w:tcPr>
            <w:tcW w:type="dxa" w:w="792"/>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Model</w:t>
            </w:r>
          </w:p>
        </w:tc>
        <w:tc>
          <w:tcPr>
            <w:tcW w:type="dxa" w:w="244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Sample / specification</w:t>
            </w:r>
          </w:p>
        </w:tc>
        <w:tc>
          <w:tcPr>
            <w:tcW w:type="dxa" w:w="64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N</w:t>
            </w:r>
          </w:p>
        </w:tc>
        <w:tc>
          <w:tcPr>
            <w:tcW w:type="dxa" w:w="64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R²</w:t>
            </w:r>
          </w:p>
        </w:tc>
        <w:tc>
          <w:tcPr>
            <w:tcW w:type="dxa" w:w="792"/>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Adj. R²</w:t>
            </w:r>
          </w:p>
        </w:tc>
        <w:tc>
          <w:tcPr>
            <w:tcW w:type="dxa" w:w="2448"/>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Key purpose</w:t>
            </w:r>
          </w:p>
        </w:tc>
        <w:tc>
          <w:tcPr>
            <w:tcW w:type="dxa" w:w="3024"/>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Preliminary interpretation</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R3</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Iceland excluded</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175</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0.911</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0.903</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Tests whether Iceland's no-standing-army status drives results.</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Post-2022 remains positive; Iceland exclusion does not remove the main shock signal.</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R4</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Russia excluded</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175</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0.946</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0.941</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Tests whether Russia drives the pattern.</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Post-2022 remains positive but smaller; Russia is important but not the only driver.</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R5</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Coastal Five only</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125</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0.902</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0.891</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Restricts sample to Arctic coastal states.</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Coastal-only model keeps high explanatory fit; smaller N requires caution.</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R6</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NATO states only</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175</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0.946</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0.941</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Alliance-side model excluding Russia.</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Same sample as Russia-excluded NATO-side model; useful for alliance-side framing.</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R7</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Post-2022 only</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24</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0.980</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0.958</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Crisis-period sensitivity.</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Very small N; interpret only descriptively.</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R8</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Pre-2022 only</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176</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0.952</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0.948</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 baseline sensitivity.</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Pre-war sample removes the 2022 shock; useful baseline contrast.</w:t>
            </w:r>
          </w:p>
        </w:tc>
      </w:tr>
      <w:tr>
        <w:trPr>
          <w:cantSplit/>
          <w:cantSplit/>
        </w:trPr>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R10</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Alternative DV: log military expenditure</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175</w:t>
            </w:r>
          </w:p>
        </w:tc>
        <w:tc>
          <w:tcPr>
            <w:tcW w:type="dxa" w:w="6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0.995</w:t>
            </w:r>
          </w:p>
        </w:tc>
        <w:tc>
          <w:tcPr>
            <w:tcW w:type="dxa" w:w="792"/>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0.994</w:t>
            </w:r>
          </w:p>
        </w:tc>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Alternative dependent variable: log military expenditure.</w:t>
            </w:r>
          </w:p>
        </w:tc>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Level-spending model has different interpretation; useful appendix robustness.</w:t>
            </w:r>
          </w:p>
        </w:tc>
      </w:tr>
    </w:tbl>
    <w:p>
      <w:pPr>
        <w:spacing w:after="120" w:line="276" w:lineRule="auto"/>
      </w:pPr>
    </w:p>
    <w:p>
      <w:pPr>
        <w:pStyle w:val="Heading2"/>
        <w:spacing w:before="240" w:after="120"/>
      </w:pPr>
      <w:r>
        <w:rPr>
          <w:rFonts w:ascii="Times New Roman" w:hAnsi="Times New Roman" w:eastAsia="Times New Roman"/>
          <w:b/>
        </w:rPr>
        <w:t>5.2 Content-mechanism models</w:t>
      </w:r>
    </w:p>
    <w:p>
      <w:pPr>
        <w:spacing w:after="120" w:line="276" w:lineRule="auto"/>
      </w:pPr>
      <w:r>
        <w:rPr>
          <w:rFonts w:ascii="Times New Roman" w:hAnsi="Times New Roman" w:eastAsia="Times New Roman"/>
          <w:sz w:val="22"/>
        </w:rPr>
        <w:t>The content models are consistent with the mechanism. Russia-threat language and critical-infrastructure language are more closely associated with military burden than broad cooperation language. NATO/alliance framing is more sensitive to document type, which is expected: Arctic strategies and national security documents do not perform the same function. For that reason, the content results are treated as supporting evidence about mechanisms, not as a stand-alone causal test.</w:t>
      </w:r>
    </w:p>
    <w:p>
      <w:r>
        <w:br w:type="page"/>
      </w:r>
    </w:p>
    <w:p>
      <w:pPr>
        <w:spacing w:after="120"/>
      </w:pPr>
      <w:r>
        <w:rPr>
          <w:rFonts w:ascii="Times New Roman" w:hAnsi="Times New Roman"/>
          <w:b/>
          <w:sz w:val="22"/>
        </w:rPr>
        <w:t>Table 3. Content-mechanism models</w:t>
      </w:r>
    </w:p>
    <w:tbl>
      <w:tblPr>
        <w:tblStyle w:val="TableGrid"/>
        <w:tblW w:type="auto" w:w="0"/>
        <w:jc w:val="center"/>
        <w:tblLook w:firstColumn="1" w:firstRow="1" w:lastColumn="0" w:lastRow="0" w:noHBand="0" w:noVBand="1" w:val="04A0"/>
      </w:tblPr>
      <w:tblGrid>
        <w:gridCol w:w="2448"/>
        <w:gridCol w:w="2448"/>
        <w:gridCol w:w="2448"/>
        <w:gridCol w:w="2448"/>
      </w:tblGrid>
      <w:tr>
        <w:trPr>
          <w:cantSplit/>
          <w:cantSplit/>
        </w:trPr>
        <w:tc>
          <w:tcPr>
            <w:tcW w:type="dxa" w:w="3024"/>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Variable</w:t>
            </w:r>
          </w:p>
        </w:tc>
        <w:tc>
          <w:tcPr>
            <w:tcW w:type="dxa" w:w="2160"/>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Strategic framing only</w:t>
            </w:r>
          </w:p>
        </w:tc>
        <w:tc>
          <w:tcPr>
            <w:tcW w:type="dxa" w:w="2160"/>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Post-2022 interactions</w:t>
            </w:r>
          </w:p>
        </w:tc>
        <w:tc>
          <w:tcPr>
            <w:tcW w:type="dxa" w:w="2160"/>
            <w:vAlign w:val="top"/>
          </w:tcPr>
          <w:p>
            <w:pPr>
              <w:spacing w:after="0" w:line="240" w:lineRule="auto"/>
            </w:pPr>
            <w:r>
              <w:rPr>
                <w:rFonts w:ascii="Times New Roman" w:hAnsi="Times New Roman" w:eastAsia="Times New Roman"/>
                <w:b/>
                <w:sz w:val="18"/>
              </w:rPr>
            </w:r>
            <w:r>
              <w:rPr>
                <w:rFonts w:ascii="Times New Roman" w:hAnsi="Times New Roman" w:eastAsia="Times New Roman"/>
                <w:b/>
                <w:sz w:val="18"/>
              </w:rPr>
              <w:t>Compact mechanism</w:t>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SCFI</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0.686</w:t>
              <w:br/>
              <w:t>(0.420)</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0.855</w:t>
              <w:br/>
              <w:t>(0.766)</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1.144**</w:t>
              <w:br/>
              <w:t>(0.518)</w:t>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NAFI</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-0.837***</w:t>
              <w:br/>
              <w:t>(0.288)</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-0.429</w:t>
              <w:br/>
              <w:t>(0.432)</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-0.998***</w:t>
              <w:br/>
              <w:t>(0.295)</w:t>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Russia threat</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1.265***</w:t>
              <w:br/>
              <w:t>(0.265)</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0.916***</w:t>
              <w:br/>
              <w:t>(0.347)</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1.319***</w:t>
              <w:br/>
              <w:t>(0.205)</w:t>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Resilience</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0.281</w:t>
              <w:br/>
              <w:t>(0.370)</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Critical infrastructure</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0.729***</w:t>
              <w:br/>
              <w:t>(0.252)</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SCFI × Post-2022</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0.476</w:t>
              <w:br/>
              <w:t>(0.548)</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r>
      <w:tr>
        <w:trPr>
          <w:cantSplit/>
          <w:cantSplit/>
        </w:trPr>
        <w:tc>
          <w:tcPr>
            <w:tcW w:type="dxa" w:w="302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NAFI × Post-2022</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-0.512</w:t>
              <w:br/>
              <w:t>(0.550)</w:t>
            </w:r>
          </w:p>
        </w:tc>
        <w:tc>
          <w:tcPr>
            <w:tcW w:type="dxa" w:w="2160"/>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r>
          </w:p>
        </w:tc>
      </w:tr>
    </w:tbl>
    <w:p>
      <w:pPr>
        <w:spacing w:after="120" w:line="276" w:lineRule="auto"/>
      </w:pPr>
    </w:p>
    <w:p>
      <w:pPr>
        <w:pStyle w:val="Heading1"/>
        <w:spacing w:before="240" w:after="120"/>
      </w:pPr>
      <w:r>
        <w:rPr>
          <w:rFonts w:ascii="Times New Roman" w:hAnsi="Times New Roman" w:eastAsia="Times New Roman"/>
          <w:b/>
        </w:rPr>
        <w:t>6. Discussion</w:t>
      </w:r>
    </w:p>
    <w:p>
      <w:pPr>
        <w:spacing w:after="120" w:line="276" w:lineRule="auto"/>
      </w:pPr>
      <w:r>
        <w:rPr>
          <w:rFonts w:ascii="Times New Roman" w:hAnsi="Times New Roman" w:eastAsia="Times New Roman"/>
          <w:sz w:val="22"/>
        </w:rPr>
        <w:t>The results sharpen the argument. A strong direct sea-ice effect would have supported a simple environmental security account. That is not what the evidence shows. The stronger interpretation is political: Arctic change becomes security-relevant when governments place it inside a wider story about Russia, alliance defence, infrastructure vulnerability, and national resilience.</w:t>
      </w:r>
    </w:p>
    <w:p>
      <w:pPr>
        <w:spacing w:after="120" w:line="276" w:lineRule="auto"/>
      </w:pPr>
      <w:r>
        <w:rPr>
          <w:rFonts w:ascii="Times New Roman" w:hAnsi="Times New Roman" w:eastAsia="Times New Roman"/>
          <w:sz w:val="22"/>
        </w:rPr>
        <w:t>This is where the documents matter. They show how northern geography is connected to sovereignty, deterrence, infrastructure, mobility, and resilience. Norway’s High North strategy, Finland’s defence report, Sweden’s national security strategy, Canada’s defence update, and Iceland’s national security policy do not speak in exactly the same register. Yet they point toward the same post-2022 problem: security is no longer imagined only at Europe’s eastern land frontier. It is also imagined across the northern maritime and infrastructural spaces where Russia, NATO, and Nordic states can meet.</w:t>
      </w:r>
    </w:p>
    <w:p>
      <w:pPr>
        <w:spacing w:after="120" w:line="276" w:lineRule="auto"/>
      </w:pPr>
      <w:r>
        <w:rPr>
          <w:rFonts w:ascii="Times New Roman" w:hAnsi="Times New Roman" w:eastAsia="Times New Roman"/>
          <w:sz w:val="22"/>
        </w:rPr>
        <w:t>The governance dimension remains important. Arctic cooperation did not disappear. Scientific, environmental, indigenous, and legal frameworks still matter. What changed is the political layer above them. Infrastructure, sea routes, ports, communications, airspace, and surveillance became more closely tied to alliance security and resilience planning.</w:t>
      </w:r>
    </w:p>
    <w:p>
      <w:pPr>
        <w:spacing w:after="120" w:line="276" w:lineRule="auto"/>
      </w:pPr>
      <w:r>
        <w:rPr>
          <w:rFonts w:ascii="Times New Roman" w:hAnsi="Times New Roman" w:eastAsia="Times New Roman"/>
          <w:sz w:val="22"/>
        </w:rPr>
        <w:t>The findings can therefore be read as evidence of a broader political reordering, not merely as a regional Arctic adjustment. Russia’s war against Ukraine disrupted assumptions that had structured European security after the Cold War. The response was not confined to the eastern flank. Arctic and Nordic states increasingly moved toward a shared security understanding across all spaces in which they might encounter Russian power. In that sense, the Arctic case points to an emerging political-security order in which deterrence, mobility, infrastructure protection, and alliance coordination are no longer peripheral northern issues; they are part of the wider European and North Atlantic security agenda. This interpretation should be treated as suggestive rather than conclusive, but it is consistent with the empirical pattern found here.</w:t>
      </w:r>
    </w:p>
    <w:p>
      <w:pPr>
        <w:pStyle w:val="Heading1"/>
        <w:spacing w:before="240" w:after="120"/>
      </w:pPr>
      <w:r>
        <w:rPr>
          <w:rFonts w:ascii="Times New Roman" w:hAnsi="Times New Roman" w:eastAsia="Times New Roman"/>
          <w:b/>
        </w:rPr>
        <w:t>7. Limitations and Conclusion</w:t>
      </w:r>
    </w:p>
    <w:p>
      <w:pPr>
        <w:spacing w:after="120" w:line="276" w:lineRule="auto"/>
      </w:pPr>
      <w:r>
        <w:rPr>
          <w:rFonts w:ascii="Times New Roman" w:hAnsi="Times New Roman" w:eastAsia="Times New Roman"/>
          <w:sz w:val="22"/>
        </w:rPr>
        <w:t>Three limitations should be stated plainly. First, military burden is not an Arctic-specific force-posture measure. Future work should build annual indicators for Arctic bases, icebreakers, exercises, military mobility corridors, and northern surveillance assets. Second, content analysis depends on document availability and translation quality. Third, the number of post-2022 observations is still limited, so the results capture an early shift rather than a settled long-run equilibrium.</w:t>
      </w:r>
    </w:p>
    <w:p>
      <w:pPr>
        <w:spacing w:after="120" w:line="276" w:lineRule="auto"/>
      </w:pPr>
      <w:r>
        <w:rPr>
          <w:rFonts w:ascii="Times New Roman" w:hAnsi="Times New Roman" w:eastAsia="Times New Roman"/>
          <w:sz w:val="22"/>
        </w:rPr>
        <w:t>The conclusion is therefore cautious. Sea-ice decline did not mechanically increase military burden across the Arctic Eight. The more defensible finding is that the post-2022 security rupture, interpreted through NATO exposure and official strategic framing, changed how Arctic governments connected northern access, infrastructure, and resilience to military burden. The Arctic is not simply being militarised by melting ice. It is being reinterpreted within a broader alliance-security order that became more visible after Russia’s war against Ukraine.</w:t>
      </w:r>
      <w:r>
        <w:rPr>
          <w:rFonts w:ascii="Times New Roman" w:hAnsi="Times New Roman" w:eastAsia="Times New Roman"/>
          <w:sz w:val="22"/>
        </w:rPr>
      </w:r>
    </w:p>
    <w:p>
      <w:pPr>
        <w:pStyle w:val="Heading1"/>
        <w:spacing w:before="240" w:after="120"/>
      </w:pPr>
      <w:r>
        <w:rPr>
          <w:rFonts w:ascii="Times New Roman" w:hAnsi="Times New Roman" w:eastAsia="Times New Roman"/>
          <w:b/>
        </w:rPr>
        <w:t>Data and Replication Statement</w:t>
      </w:r>
    </w:p>
    <w:p>
      <w:pPr>
        <w:spacing w:after="120" w:line="276" w:lineRule="auto"/>
      </w:pPr>
      <w:r>
        <w:rPr>
          <w:rFonts w:ascii="Times New Roman" w:hAnsi="Times New Roman" w:eastAsia="Times New Roman"/>
          <w:sz w:val="22"/>
        </w:rPr>
        <w:t>The replication package is available at: https://github.com/SaltanHsyn/arctic-alliance-security-replication. It contains the Python scripts, requirements file, processed data, output workbooks, content-analysis codebook, strategic document index, and manuscript materials. The workflow can be rerun with run_models_only.py to reproduce the baseline models, robustness models, and article results package. The public strategic documents used for the corpus are identified in the master document list. A separate referee evidence package, including the full document corpus and audit materials, is available upon request.</w:t>
      </w:r>
    </w:p>
    <w:tbl>
      <w:tblPr>
        <w:tblStyle w:val="TableGrid"/>
        <w:tblW w:type="auto" w:w="0"/>
        <w:jc w:val="center"/>
        <w:tblLook w:firstColumn="1" w:firstRow="1" w:lastColumn="0" w:lastRow="0" w:noHBand="0" w:noVBand="1" w:val="04A0"/>
      </w:tblPr>
      <w:tblGrid>
        <w:gridCol w:w="3264"/>
        <w:gridCol w:w="3264"/>
        <w:gridCol w:w="3264"/>
      </w:tblGrid>
      <w:tr>
        <w:trPr>
          <w:cantSplit/>
          <w:tblHeader/>
          <w:cantSplit/>
        </w:trPr>
        <w:tc>
          <w:tcPr>
            <w:tcW w:type="dxa" w:w="2448"/>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Archive item</w:t>
            </w:r>
          </w:p>
        </w:tc>
        <w:tc>
          <w:tcPr>
            <w:tcW w:type="dxa" w:w="3744"/>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Contents</w:t>
            </w:r>
          </w:p>
        </w:tc>
        <w:tc>
          <w:tcPr>
            <w:tcW w:type="dxa" w:w="3744"/>
            <w:vAlign w:val="top"/>
            <w:shd w:fill="D9EAF7"/>
          </w:tcPr>
          <w:p>
            <w:pPr>
              <w:spacing w:after="0" w:line="240" w:lineRule="auto"/>
            </w:pPr>
            <w:r>
              <w:rPr>
                <w:rFonts w:ascii="Times New Roman" w:hAnsi="Times New Roman" w:eastAsia="Times New Roman"/>
                <w:b/>
                <w:sz w:val="18"/>
              </w:rPr>
            </w:r>
            <w:r>
              <w:rPr>
                <w:rFonts w:ascii="Times New Roman" w:hAnsi="Times New Roman" w:eastAsia="Times New Roman"/>
                <w:b/>
                <w:sz w:val="18"/>
              </w:rPr>
              <w:t>Reviewer use</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GitHub-ready replication package</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Python scripts, requirements, processed data, model outputs, README, corpus index</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Rerun the analysis and inspect modelling decisions</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Referee evidence pack</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Manuscript, code, outputs, raw public strategic documents, source index</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Verify the document corpus and audit the empirical workflow</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Master document list</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Official document names, file names, period coding, main/supplement status</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Check inclusion/exclusion decisions</w:t>
            </w:r>
          </w:p>
        </w:tc>
      </w:tr>
      <w:tr>
        <w:trPr>
          <w:cantSplit/>
          <w:cantSplit/>
        </w:trPr>
        <w:tc>
          <w:tcPr>
            <w:tcW w:type="dxa" w:w="2448"/>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Content codebook</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Category definitions, scoring rules, index logic</w:t>
            </w:r>
          </w:p>
        </w:tc>
        <w:tc>
          <w:tcPr>
            <w:tcW w:type="dxa" w:w="3744"/>
            <w:vAlign w:val="top"/>
          </w:tcPr>
          <w:p>
            <w:pPr>
              <w:spacing w:after="0" w:line="240" w:lineRule="auto"/>
            </w:pPr>
            <w:r>
              <w:rPr>
                <w:rFonts w:ascii="Times New Roman" w:hAnsi="Times New Roman" w:eastAsia="Times New Roman"/>
                <w:sz w:val="18"/>
              </w:rPr>
            </w:r>
            <w:r>
              <w:rPr>
                <w:rFonts w:ascii="Times New Roman" w:hAnsi="Times New Roman" w:eastAsia="Times New Roman"/>
                <w:b w:val="0"/>
                <w:sz w:val="18"/>
              </w:rPr>
              <w:t>Evaluate dictionary-based content analysis</w:t>
            </w:r>
          </w:p>
        </w:tc>
      </w:tr>
    </w:tbl>
    <w:p>
      <w:pPr>
        <w:spacing w:after="120" w:line="276" w:lineRule="auto"/>
      </w:pPr>
    </w:p>
    <w:p>
      <w:pPr>
        <w:pStyle w:val="Heading1"/>
        <w:spacing w:before="240" w:after="120"/>
      </w:pPr>
      <w:r>
        <w:rPr>
          <w:rFonts w:ascii="Times New Roman" w:hAnsi="Times New Roman" w:eastAsia="Times New Roman"/>
          <w:b/>
        </w:rPr>
        <w:t>References</w:t>
      </w:r>
    </w:p>
    <w:p>
      <w:pPr>
        <w:spacing w:after="120" w:line="276" w:lineRule="auto"/>
      </w:pPr>
      <w:r>
        <w:rPr>
          <w:rFonts w:ascii="Times New Roman" w:hAnsi="Times New Roman" w:eastAsia="Times New Roman"/>
          <w:sz w:val="22"/>
        </w:rPr>
        <w:t>Buzan, B., Waever, O., &amp; de Wilde, J. (1998). Security: A New Framework for Analysis. Lynne Rienner.</w:t>
      </w:r>
    </w:p>
    <w:p>
      <w:pPr>
        <w:spacing w:after="120" w:line="276" w:lineRule="auto"/>
      </w:pPr>
      <w:r>
        <w:rPr>
          <w:rFonts w:ascii="Times New Roman" w:hAnsi="Times New Roman" w:eastAsia="Times New Roman"/>
          <w:sz w:val="22"/>
        </w:rPr>
        <w:t>Byers, M. (2013). International Law and the Arctic. Cambridge University Press.</w:t>
      </w:r>
    </w:p>
    <w:p>
      <w:pPr>
        <w:spacing w:after="120" w:line="276" w:lineRule="auto"/>
      </w:pPr>
      <w:r>
        <w:rPr>
          <w:rFonts w:ascii="Times New Roman" w:hAnsi="Times New Roman" w:eastAsia="Times New Roman"/>
          <w:sz w:val="22"/>
        </w:rPr>
        <w:t>Dalby, S. (2014). Rethinking geopolitics: Climate security in the Anthropocene. Global Policy.</w:t>
      </w:r>
    </w:p>
    <w:p>
      <w:pPr>
        <w:spacing w:after="120" w:line="276" w:lineRule="auto"/>
      </w:pPr>
      <w:r>
        <w:rPr>
          <w:rFonts w:ascii="Times New Roman" w:hAnsi="Times New Roman" w:eastAsia="Times New Roman"/>
          <w:sz w:val="22"/>
        </w:rPr>
        <w:t>Depledge, D. (2015). Geopolitics and the northern sea route. The RUSI Journal.</w:t>
      </w:r>
    </w:p>
    <w:p>
      <w:pPr>
        <w:spacing w:after="120" w:line="276" w:lineRule="auto"/>
      </w:pPr>
      <w:r>
        <w:rPr>
          <w:rFonts w:ascii="Times New Roman" w:hAnsi="Times New Roman" w:eastAsia="Times New Roman"/>
          <w:sz w:val="22"/>
        </w:rPr>
        <w:t>Dodds, K. (2010). Flag planting and finger pointing: The Law of the Sea, the Arctic and the political geographies of the outer continental shelf. Political Geography.</w:t>
      </w:r>
    </w:p>
    <w:p>
      <w:pPr>
        <w:spacing w:after="120" w:line="276" w:lineRule="auto"/>
      </w:pPr>
      <w:r>
        <w:rPr>
          <w:rFonts w:ascii="Times New Roman" w:hAnsi="Times New Roman" w:eastAsia="Times New Roman"/>
          <w:sz w:val="22"/>
        </w:rPr>
        <w:t>Exner-Pirot, H. (2013). What is the Arctic a case of? The Arctic as a regional environmental security complex and the implications for policy. The Polar Journal.</w:t>
      </w:r>
    </w:p>
    <w:p>
      <w:pPr>
        <w:spacing w:after="120" w:line="276" w:lineRule="auto"/>
      </w:pPr>
      <w:r>
        <w:rPr>
          <w:rFonts w:ascii="Times New Roman" w:hAnsi="Times New Roman" w:eastAsia="Times New Roman"/>
          <w:sz w:val="22"/>
        </w:rPr>
        <w:t>Heininen, L. (2018). Arctic geopolitics from classical to critical approaches. In Arctic Yearbook.</w:t>
      </w:r>
    </w:p>
    <w:p>
      <w:pPr>
        <w:spacing w:after="120" w:line="276" w:lineRule="auto"/>
      </w:pPr>
      <w:r>
        <w:rPr>
          <w:rFonts w:ascii="Times New Roman" w:hAnsi="Times New Roman" w:eastAsia="Times New Roman"/>
          <w:sz w:val="22"/>
        </w:rPr>
        <w:t>Huebert, R. (2010). The newly emerging Arctic security environment. Canadian Defence &amp; Foreign Affairs Institute.</w:t>
      </w:r>
    </w:p>
    <w:p>
      <w:pPr>
        <w:spacing w:after="120" w:line="276" w:lineRule="auto"/>
      </w:pPr>
      <w:r>
        <w:rPr>
          <w:rFonts w:ascii="Times New Roman" w:hAnsi="Times New Roman" w:eastAsia="Times New Roman"/>
          <w:sz w:val="22"/>
        </w:rPr>
        <w:t>Klimenko, E. (2016). Russia's Arctic security policy: Still quiet in the High North? SIPRI Policy Paper.</w:t>
      </w:r>
    </w:p>
    <w:p>
      <w:pPr>
        <w:spacing w:after="120" w:line="276" w:lineRule="auto"/>
      </w:pPr>
      <w:r>
        <w:rPr>
          <w:rFonts w:ascii="Times New Roman" w:hAnsi="Times New Roman" w:eastAsia="Times New Roman"/>
          <w:sz w:val="22"/>
        </w:rPr>
        <w:t>Lackenbauer, P. W., &amp; Dean, R. (Eds.). (2021). The Arctic and World Order. North American and Arctic Defence and Security Network.</w:t>
      </w:r>
    </w:p>
    <w:p>
      <w:pPr>
        <w:spacing w:after="120" w:line="276" w:lineRule="auto"/>
      </w:pPr>
      <w:r>
        <w:rPr>
          <w:rFonts w:ascii="Times New Roman" w:hAnsi="Times New Roman" w:eastAsia="Times New Roman"/>
          <w:sz w:val="22"/>
        </w:rPr>
        <w:t>Nordas, R., &amp; Gleditsch, N. P. (2007). Climate change and conflict. Political Geography.</w:t>
      </w:r>
    </w:p>
    <w:p>
      <w:pPr>
        <w:spacing w:after="120" w:line="276" w:lineRule="auto"/>
      </w:pPr>
      <w:r>
        <w:rPr>
          <w:rFonts w:ascii="Times New Roman" w:hAnsi="Times New Roman" w:eastAsia="Times New Roman"/>
          <w:sz w:val="22"/>
        </w:rPr>
        <w:t>Wilson Rowe, E. (2018). Arctic Governance: Power in Cross-Border Cooperation. Manchester University Press.</w:t>
      </w:r>
    </w:p>
    <w:p>
      <w:pPr>
        <w:spacing w:after="120" w:line="276" w:lineRule="auto"/>
      </w:pPr>
      <w:r>
        <w:rPr>
          <w:rFonts w:ascii="Times New Roman" w:hAnsi="Times New Roman" w:eastAsia="Times New Roman"/>
          <w:sz w:val="22"/>
        </w:rPr>
        <w:t>SIPRI. Military Expenditure Database. Stockholm International Peace Research Institute.</w:t>
      </w:r>
    </w:p>
    <w:p>
      <w:pPr>
        <w:spacing w:after="120" w:line="276" w:lineRule="auto"/>
      </w:pPr>
      <w:r>
        <w:rPr>
          <w:rFonts w:ascii="Times New Roman" w:hAnsi="Times New Roman" w:eastAsia="Times New Roman"/>
          <w:sz w:val="22"/>
        </w:rPr>
        <w:t>NSIDC. Sea Ice Index. National Snow and Ice Data Center.</w:t>
      </w:r>
    </w:p>
    <w:p>
      <w:pPr>
        <w:spacing w:after="120" w:line="276" w:lineRule="auto"/>
      </w:pPr>
      <w:r>
        <w:rPr>
          <w:rFonts w:ascii="Times New Roman" w:hAnsi="Times New Roman" w:eastAsia="Times New Roman"/>
          <w:sz w:val="22"/>
        </w:rPr>
        <w:t>World Bank. World Development Indicators and Pink Sheet Commodity Price Data.</w:t>
      </w:r>
    </w:p>
    <w:sectPr>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