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jc w:val="center"/>
      </w:pPr>
      <w:r>
        <w:rPr>
          <w:rFonts w:ascii="Times New Roman" w:hAnsi="Times New Roman" w:eastAsia="Times New Roman"/>
          <w:b/>
          <w:i w:val="0"/>
          <w:sz w:val="24"/>
        </w:rPr>
        <w:t>From Melting Ice to Alliance Security</w:t>
      </w:r>
    </w:p>
    <w:p>
      <w:pPr>
        <w:spacing w:line="480" w:lineRule="auto"/>
        <w:jc w:val="center"/>
      </w:pPr>
      <w:r>
        <w:rPr>
          <w:rFonts w:ascii="Times New Roman" w:hAnsi="Times New Roman" w:eastAsia="Times New Roman"/>
          <w:b w:val="0"/>
          <w:i/>
          <w:sz w:val="24"/>
        </w:rPr>
        <w:t>Strategic Framing, NATO Exposure, and Military Burden in the Arctic</w:t>
      </w:r>
    </w:p>
    <w:p>
      <w:pPr>
        <w:spacing w:line="480" w:lineRule="auto"/>
        <w:jc w:val="center"/>
      </w:pPr>
      <w:r>
        <w:rPr>
          <w:rFonts w:ascii="Times New Roman" w:hAnsi="Times New Roman" w:eastAsia="Times New Roman"/>
          <w:b w:val="0"/>
          <w:i w:val="0"/>
          <w:sz w:val="24"/>
        </w:rPr>
        <w:t>Huseyin Saltan</w:t>
        <w:br/>
        <w:t>Independent Researcher</w:t>
        <w:br/>
        <w:t>ORCID: https://orcid.org/0000-0001-5362-3541</w:t>
      </w:r>
    </w:p>
    <w:p>
      <w:pPr>
        <w:spacing w:line="480" w:lineRule="auto"/>
        <w:jc w:val="center"/>
      </w:pPr>
      <w:r>
        <w:rPr>
          <w:rFonts w:ascii="Times New Roman" w:hAnsi="Times New Roman" w:eastAsia="Times New Roman"/>
          <w:b w:val="0"/>
          <w:i w:val="0"/>
          <w:sz w:val="24"/>
        </w:rPr>
        <w:t>Replication repository: https://github.com/SaltanHsyn/arctic-alliance-security-replication</w:t>
      </w:r>
    </w:p>
    <w:p>
      <w:pPr>
        <w:pStyle w:val="Heading1"/>
        <w:spacing w:line="480" w:lineRule="auto"/>
      </w:pPr>
      <w:r>
        <w:rPr>
          <w:rFonts w:ascii="Times New Roman" w:hAnsi="Times New Roman" w:eastAsia="Times New Roman"/>
          <w:b/>
          <w:sz w:val="24"/>
        </w:rPr>
        <w:t>Abstract</w:t>
      </w:r>
    </w:p>
    <w:p>
      <w:pPr>
        <w:spacing w:line="480" w:lineRule="auto"/>
      </w:pPr>
      <w:r>
        <w:rPr>
          <w:rFonts w:ascii="Times New Roman" w:hAnsi="Times New Roman" w:eastAsia="Times New Roman"/>
          <w:b w:val="0"/>
          <w:i w:val="0"/>
          <w:sz w:val="24"/>
        </w:rPr>
        <w:t>Why did the Arctic security debate harden after 2022, even though annual sea-ice loss does not by itself explain military burden across Arctic states? This article answers by separating environmental exposure from political translation. It combines a dictionary-assisted content analysis of official Arctic, defence, security, and foreign-policy documents with a country-year panel for the Arctic Eight from 2000 to 2024. The evidence does not support a simple climate-determinist account in which sea-ice decline mechanically raises military burden. Instead, the most consistent quantitative signal is the post-2022 rupture produced by Russia’s full-scale invasion of Ukraine. Official documents show how this rupture recast Arctic issues through a wider alliance-security vocabulary: NATO exposure, Russia threat, critical infrastructure, resilience, deterrence, and military mobility. The article therefore treats sea-ice decline as an enabling background condition, not as a direct trigger. The Arctic becomes militarily salient when environmental accessibility is interpreted through strategic threat narratives and embedded in alliance planning. The contribution is a mixed-method account of Arctic security that links material change, strategic framing, and post-2022 European security reordering without claiming that climate change alone militarised the region.</w:t>
      </w:r>
    </w:p>
    <w:p>
      <w:pPr>
        <w:spacing w:line="480" w:lineRule="auto"/>
      </w:pPr>
      <w:r>
        <w:rPr>
          <w:rFonts w:ascii="Times New Roman" w:hAnsi="Times New Roman" w:eastAsia="Times New Roman"/>
          <w:b w:val="0"/>
          <w:i w:val="0"/>
          <w:sz w:val="24"/>
        </w:rPr>
        <w:t>Keywords: Arctic security; NATO; Russia-Ukraine war; strategic framing; military burden; sea ice; alliance politics</w:t>
      </w:r>
    </w:p>
    <w:p>
      <w:pPr>
        <w:spacing w:line="480" w:lineRule="auto"/>
      </w:pPr>
      <w:r>
        <w:rPr>
          <w:rFonts w:ascii="Times New Roman" w:hAnsi="Times New Roman" w:eastAsia="Times New Roman"/>
          <w:sz w:val="24"/>
        </w:rPr>
        <w:t>Word count: 4928 (including title page, abstract, keywords, tables, and references).</w:t>
      </w:r>
    </w:p>
    <w:p>
      <w:pPr>
        <w:pStyle w:val="Heading1"/>
        <w:spacing w:line="480" w:lineRule="auto"/>
      </w:pPr>
      <w:r>
        <w:rPr>
          <w:rFonts w:ascii="Times New Roman" w:hAnsi="Times New Roman" w:eastAsia="Times New Roman"/>
          <w:b/>
          <w:sz w:val="24"/>
        </w:rPr>
        <w:t>1. Introduction</w:t>
      </w:r>
    </w:p>
    <w:p>
      <w:pPr>
        <w:spacing w:line="480" w:lineRule="auto"/>
      </w:pPr>
      <w:r>
        <w:rPr>
          <w:rFonts w:ascii="Times New Roman" w:hAnsi="Times New Roman" w:eastAsia="Times New Roman"/>
          <w:b w:val="0"/>
          <w:i w:val="0"/>
          <w:sz w:val="24"/>
        </w:rPr>
        <w:t>The Arctic is frequently described through a double register. One register is environmental: sea ice is shrinking, permafrost is thawing, shipping seasons are lengthening, and infrastructure in northern communities faces new pressures. The other register is strategic: states are investing in surveillance, strengthening northern defence postures, debating critical infrastructure, and re-reading Arctic geography through the lens of NATO-Russia confrontation. These two registers are connected, but they should not be collapsed into a single causal story. A great deal of commentary moves too quickly from melting ice to militarisation. That move is politically intuitive, but it is not analytically sufficient.</w:t>
      </w:r>
    </w:p>
    <w:p>
      <w:pPr>
        <w:spacing w:line="480" w:lineRule="auto"/>
      </w:pPr>
      <w:r>
        <w:rPr>
          <w:rFonts w:ascii="Times New Roman" w:hAnsi="Times New Roman" w:eastAsia="Times New Roman"/>
          <w:b w:val="0"/>
          <w:i w:val="0"/>
          <w:sz w:val="24"/>
        </w:rPr>
        <w:t>The distinction matters because Arctic security is not produced by physical change alone. Environmental change can alter the accessibility and economic significance of the region, but it does not automatically produce national military expenditure. Governments must first interpret environmental change as strategically relevant, locate it within wider threat assessments, and connect it to budgets, alliances, and defence planning. This process of political translation is especially important after 2022. Russia’s full-scale invasion of Ukraine did not create Arctic security competition from nothing, but it changed the background assumptions under which Arctic issues were debated. After 2022, Russia was no longer only an Arctic neighbour with which practical cooperation had to be managed. It became, for NATO states, the central source of systemic threat in the European security order.</w:t>
      </w:r>
    </w:p>
    <w:p>
      <w:pPr>
        <w:spacing w:line="480" w:lineRule="auto"/>
      </w:pPr>
      <w:r>
        <w:rPr>
          <w:rFonts w:ascii="Times New Roman" w:hAnsi="Times New Roman" w:eastAsia="Times New Roman"/>
          <w:b w:val="0"/>
          <w:i w:val="0"/>
          <w:sz w:val="24"/>
        </w:rPr>
        <w:t>This article asks how Arctic security became attached to military burden after 2022. It does not argue that sea-ice decline directly and uniformly increases military spending. Instead, it develops a conditional argument: environmental accessibility becomes politically consequential when it is framed through alliance-security concerns. In this account, sea-ice decline is an enabling condition. It increases the salience of routes, infrastructure, surveillance, resource access, and northern mobility. Yet the strongest impulse behind recent shifts in military burden comes from the post-2022 security rupture and the way official documents connect the Arctic to NATO exposure, Russia threat, critical infrastructure, resilience, and deterrence.</w:t>
      </w:r>
    </w:p>
    <w:p>
      <w:pPr>
        <w:spacing w:line="480" w:lineRule="auto"/>
      </w:pPr>
      <w:r>
        <w:rPr>
          <w:rFonts w:ascii="Times New Roman" w:hAnsi="Times New Roman" w:eastAsia="Times New Roman"/>
          <w:b w:val="0"/>
          <w:i w:val="0"/>
          <w:sz w:val="24"/>
        </w:rPr>
        <w:t>The empirical design follows that claim. The article combines two layers of evidence. The first is a document corpus consisting of official Arctic, defence, national security, and foreign-policy documents for the Arctic Eight: Canada, Denmark/Greenland, Finland, Iceland, Norway, Russia, Sweden, and the United States. These documents are coded for strategic framing categories such as NATO/alliance framing, Russia threat framing, security framing, military-defence language, resilience, critical infrastructure, climate, governance, and cooperation. The second layer is a country-year panel for 2000-2024 combining SIPRI military expenditure data, NSIDC sea-ice extent, World Bank macroeconomic controls, and World Bank Pink Sheet energy prices. The article uses the panel to assess patterns in military burden and the document corpus to examine the mechanism through which the Arctic is politically reframed.</w:t>
      </w:r>
    </w:p>
    <w:p>
      <w:pPr>
        <w:spacing w:line="480" w:lineRule="auto"/>
      </w:pPr>
      <w:r>
        <w:rPr>
          <w:rFonts w:ascii="Times New Roman" w:hAnsi="Times New Roman" w:eastAsia="Times New Roman"/>
          <w:sz w:val="24"/>
        </w:rPr>
        <w:t>This choice of design also responds to a measurement problem common in Arctic security research. A direct measure of Arctic militarisation would require annual and comparable information on northern bases, exercises, ice-capable vessels, radar systems, maritime patrol activity, allied access arrangements, and critical-infrastructure protection. Such data are incomplete, uneven across states, and especially difficult for Russia. The article therefore uses military burden as a broader national-security outcome and treats the document analysis as the bridge that links this outcome to Arctic-specific and alliance-specific policy language. The resulting inference is necessarily modest, but it is more transparent than presenting an incomplete Arctic force-posture index as if it were complete.</w:t>
      </w:r>
    </w:p>
    <w:p>
      <w:pPr>
        <w:spacing w:line="480" w:lineRule="auto"/>
      </w:pPr>
      <w:r>
        <w:rPr>
          <w:rFonts w:ascii="Times New Roman" w:hAnsi="Times New Roman" w:eastAsia="Times New Roman"/>
          <w:b w:val="0"/>
          <w:i w:val="0"/>
          <w:sz w:val="24"/>
        </w:rPr>
        <w:t>The main finding is deliberately cautious. Sea-ice decline, measured through annual changes in September Arctic sea-ice extent, does not show a stable independent association with military burden once country heterogeneity and macroeconomic controls are considered. The post-2022 period, however, is associated with a more consistent increase in military burden. The document analysis suggests why: after Russia’s invasion of Ukraine, Arctic policy language increasingly appears as part of a broader alliance-security vocabulary rather than as a self-contained regional governance vocabulary. The Arctic is not only a climate frontier; it is increasingly treated as one arena within a wider confrontation over European and North Atlantic security.</w:t>
      </w:r>
    </w:p>
    <w:p>
      <w:pPr>
        <w:spacing w:line="480" w:lineRule="auto"/>
      </w:pPr>
      <w:r>
        <w:rPr>
          <w:rFonts w:ascii="Times New Roman" w:hAnsi="Times New Roman" w:eastAsia="Times New Roman"/>
          <w:b w:val="0"/>
          <w:i w:val="0"/>
          <w:sz w:val="24"/>
        </w:rPr>
        <w:t>This interpretation has implications for how Arctic security should be studied. If researchers only test whether ice decline predicts defence expenditure, they risk missing the political mechanism. If they only read strategy documents, they risk over-interpreting rhetoric without checking whether military burden also changes. The mixed design used here is meant to avoid both weaknesses. It neither reduces security to physical change nor treats official language as sufficient evidence of militarisation. It asks when environmental change becomes strategically meaningful and how that meaning is connected to measurable national-security behaviour.</w:t>
      </w:r>
    </w:p>
    <w:p>
      <w:pPr>
        <w:pStyle w:val="Heading1"/>
        <w:spacing w:line="480" w:lineRule="auto"/>
      </w:pPr>
      <w:r>
        <w:rPr>
          <w:rFonts w:ascii="Times New Roman" w:hAnsi="Times New Roman" w:eastAsia="Times New Roman"/>
          <w:b/>
          <w:sz w:val="24"/>
        </w:rPr>
        <w:t>2. Literature Review and Contribution</w:t>
      </w:r>
    </w:p>
    <w:p>
      <w:pPr>
        <w:pStyle w:val="Heading2"/>
        <w:spacing w:line="480" w:lineRule="auto"/>
      </w:pPr>
      <w:r>
        <w:rPr>
          <w:rFonts w:ascii="Times New Roman" w:hAnsi="Times New Roman" w:eastAsia="Times New Roman"/>
          <w:b/>
          <w:sz w:val="24"/>
        </w:rPr>
        <w:t>2.1 Climate-security without environmental determinism</w:t>
      </w:r>
    </w:p>
    <w:p>
      <w:pPr>
        <w:spacing w:line="480" w:lineRule="auto"/>
      </w:pPr>
      <w:r>
        <w:rPr>
          <w:rFonts w:ascii="Times New Roman" w:hAnsi="Times New Roman" w:eastAsia="Times New Roman"/>
          <w:b w:val="0"/>
          <w:i w:val="0"/>
          <w:sz w:val="24"/>
        </w:rPr>
        <w:t>Climate-security research has long warned against treating environmental stress as a direct and uniform cause of conflict. The same warning applies to the Arctic. Sea-ice decline may increase accessibility and expose new forms of vulnerability, but its political effects are mediated by institutions, state capacity, alliance commitments, threat perception, and economic interest. A deterministic account would expect a fairly direct relationship between ice loss and military burden across Arctic states. The evidence presented here does not support that expectation.</w:t>
      </w:r>
    </w:p>
    <w:p>
      <w:pPr>
        <w:spacing w:line="480" w:lineRule="auto"/>
      </w:pPr>
      <w:r>
        <w:rPr>
          <w:rFonts w:ascii="Times New Roman" w:hAnsi="Times New Roman" w:eastAsia="Times New Roman"/>
          <w:b w:val="0"/>
          <w:i w:val="0"/>
          <w:sz w:val="24"/>
        </w:rPr>
        <w:t>The more useful starting point is conditionality. Climate change alters the background conditions under which political actors make security claims. It can make northern infrastructure more important, create new demands for search and rescue, raise the visibility of maritime routes, and strengthen concerns over energy and mineral access. Yet whether these changes become military concerns depends on how states frame them. In a cooperative environment, many of the same material changes can be framed as governance, safety, science, or sustainable development questions. In a conflictual environment, they can be folded into deterrence, resilience, and alliance mobility.</w:t>
      </w:r>
    </w:p>
    <w:p>
      <w:pPr>
        <w:spacing w:line="480" w:lineRule="auto"/>
      </w:pPr>
      <w:r>
        <w:rPr>
          <w:rFonts w:ascii="Times New Roman" w:hAnsi="Times New Roman" w:eastAsia="Times New Roman"/>
          <w:b w:val="0"/>
          <w:i w:val="0"/>
          <w:sz w:val="24"/>
        </w:rPr>
        <w:t>This distinction helps explain why the post-2022 period matters. The Arctic did not suddenly become accessible in 2022. Nor did Russia suddenly acquire Arctic capabilities in that year. What changed was the political meaning of Russian power in the European security order. Once Russia’s war in Ukraine destroyed much of the residual trust in European security relations, Arctic questions became easier to connect to NATO deterrence, the defence of the North Atlantic, and the protection of critical infrastructure. Climate change remained relevant, but it operated through a changed strategic context.</w:t>
      </w:r>
    </w:p>
    <w:p>
      <w:pPr>
        <w:pStyle w:val="Heading2"/>
        <w:spacing w:line="480" w:lineRule="auto"/>
      </w:pPr>
      <w:r>
        <w:rPr>
          <w:rFonts w:ascii="Times New Roman" w:hAnsi="Times New Roman" w:eastAsia="Times New Roman"/>
          <w:b/>
          <w:sz w:val="24"/>
        </w:rPr>
        <w:t>2.2 Arctic governance and the return of hard security</w:t>
      </w:r>
    </w:p>
    <w:p>
      <w:pPr>
        <w:spacing w:line="480" w:lineRule="auto"/>
      </w:pPr>
      <w:r>
        <w:rPr>
          <w:rFonts w:ascii="Times New Roman" w:hAnsi="Times New Roman" w:eastAsia="Times New Roman"/>
          <w:b w:val="0"/>
          <w:i w:val="0"/>
          <w:sz w:val="24"/>
        </w:rPr>
        <w:t>The Arctic governance literature has shown that the region is not a lawless space. Cooperation through the Arctic Council, the law of the sea, scientific networks, indigenous participation, and environmental regimes has been central to the modern Arctic order. That institutional background still matters. Even in periods of tension, Arctic states continue to rely on legal frameworks, maritime regulation, environmental knowledge, and practical cooperation in areas such as search and rescue and fisheries management.</w:t>
      </w:r>
    </w:p>
    <w:p>
      <w:pPr>
        <w:spacing w:line="480" w:lineRule="auto"/>
      </w:pPr>
      <w:r>
        <w:rPr>
          <w:rFonts w:ascii="Times New Roman" w:hAnsi="Times New Roman" w:eastAsia="Times New Roman"/>
          <w:b w:val="0"/>
          <w:i w:val="0"/>
          <w:sz w:val="24"/>
        </w:rPr>
        <w:t>At the same time, the governance account is incomplete if it cannot explain the return of hard security. The Arctic Council’s mandate does not cover military security, but military security has increasingly shaped the political environment around the Council. NATO’s northern flank, Russian military modernisation, the GIUK gap, the Barents and Norwegian Seas, and the security of transatlantic reinforcement routes are now central to how many governments interpret northern geography. The Arctic remains governed, but it is governed under conditions of sharper strategic suspicion.</w:t>
      </w:r>
    </w:p>
    <w:p>
      <w:pPr>
        <w:spacing w:line="480" w:lineRule="auto"/>
      </w:pPr>
      <w:r>
        <w:rPr>
          <w:rFonts w:ascii="Times New Roman" w:hAnsi="Times New Roman" w:eastAsia="Times New Roman"/>
          <w:b w:val="0"/>
          <w:i w:val="0"/>
          <w:sz w:val="24"/>
        </w:rPr>
        <w:t>This article therefore treats Arctic governance and hard security as coexisting rather than mutually exclusive. The central issue is not whether cooperation has disappeared. It has not. The issue is whether cooperation now operates under a different political ceiling. The post-2022 order has made it harder to separate environmental and regional governance from wider security alignments. Arctic policy remains full of language about climate, indigenous communities, science, sustainable development, and legal order. But those themes increasingly coexist with language about resilience, surveillance, deterrence, critical infrastructure, and alliance coordination.</w:t>
      </w:r>
    </w:p>
    <w:p>
      <w:pPr>
        <w:pStyle w:val="Heading2"/>
        <w:spacing w:line="480" w:lineRule="auto"/>
      </w:pPr>
      <w:r>
        <w:rPr>
          <w:rFonts w:ascii="Times New Roman" w:hAnsi="Times New Roman" w:eastAsia="Times New Roman"/>
          <w:b/>
          <w:sz w:val="24"/>
        </w:rPr>
        <w:t>2.3 NATO exposure and strategic framing</w:t>
      </w:r>
    </w:p>
    <w:p>
      <w:pPr>
        <w:spacing w:line="480" w:lineRule="auto"/>
      </w:pPr>
      <w:r>
        <w:rPr>
          <w:rFonts w:ascii="Times New Roman" w:hAnsi="Times New Roman" w:eastAsia="Times New Roman"/>
          <w:b w:val="0"/>
          <w:i w:val="0"/>
          <w:sz w:val="24"/>
        </w:rPr>
        <w:t>NATO exposure is not simply a binary membership variable. Norway, Denmark, Iceland, Canada, and the United States entered the period as long-standing NATO members, but their Arctic roles differ substantially. Iceland has no standing army. Denmark’s Arctic position is mediated through Greenland and the Faroe Islands. Norway combines a direct land and maritime proximity to Russia with a long tradition of balancing deterrence and reassurance. Finland and Sweden are especially important because their 2021 and 2020 Arctic strategies were written before their NATO accessions, while their 2024 security and defence documents were produced after Russia’s invasion of Ukraine and amid full integration into alliance planning.</w:t>
      </w:r>
    </w:p>
    <w:p>
      <w:pPr>
        <w:spacing w:line="480" w:lineRule="auto"/>
      </w:pPr>
      <w:r>
        <w:rPr>
          <w:rFonts w:ascii="Times New Roman" w:hAnsi="Times New Roman" w:eastAsia="Times New Roman"/>
          <w:b w:val="0"/>
          <w:i w:val="0"/>
          <w:sz w:val="24"/>
        </w:rPr>
        <w:t>Official strategy documents are valuable because they record how governments connect regional issues to broader security concepts. They should not be treated as transparent descriptions of capabilities, but they do reveal the categories through which governments justify policy. A defence report that repeatedly links northern geography to Russia threat, NATO deterrence, critical infrastructure, resilience, and military mobility is doing more than describing the Arctic. It is placing the Arctic within a broader political order. The coding strategy in this article is designed to capture that translation.</w:t>
      </w:r>
    </w:p>
    <w:p>
      <w:pPr>
        <w:spacing w:line="480" w:lineRule="auto"/>
      </w:pPr>
      <w:r>
        <w:rPr>
          <w:rFonts w:ascii="Times New Roman" w:hAnsi="Times New Roman" w:eastAsia="Times New Roman"/>
          <w:b w:val="0"/>
          <w:i w:val="0"/>
          <w:sz w:val="24"/>
        </w:rPr>
        <w:t>The contribution of the article is fourfold. First, it offers a conditional climate-security argument rather than a deterministic one. Second, it builds a replicable document-based measure of strategic framing for official Arctic and security documents. Third, it connects that measure to a country-year panel on military burden. Fourth, it interprets the post-2022 Arctic not as a wholly new region, but as one theatre in a wider transformation of European and North Atlantic security after Russia’s war against Ukraine.</w:t>
      </w:r>
    </w:p>
    <w:p>
      <w:pPr>
        <w:pStyle w:val="Heading1"/>
        <w:spacing w:line="480" w:lineRule="auto"/>
      </w:pPr>
      <w:r>
        <w:rPr>
          <w:rFonts w:ascii="Times New Roman" w:hAnsi="Times New Roman" w:eastAsia="Times New Roman"/>
          <w:b/>
          <w:sz w:val="24"/>
        </w:rPr>
        <w:t>3. Theory and Expectations</w:t>
      </w:r>
    </w:p>
    <w:p>
      <w:pPr>
        <w:spacing w:line="480" w:lineRule="auto"/>
      </w:pPr>
      <w:r>
        <w:rPr>
          <w:rFonts w:ascii="Times New Roman" w:hAnsi="Times New Roman" w:eastAsia="Times New Roman"/>
          <w:b w:val="0"/>
          <w:i w:val="0"/>
          <w:sz w:val="24"/>
        </w:rPr>
        <w:t>The theoretical mechanism has three steps. First, sea-ice decline changes the material background of Arctic politics. It affects navigation, infrastructure, resource access, environmental risk, and the need for monitoring. These changes create opportunities and vulnerabilities, but they do not determine military policy. Second, governments interpret these material changes through strategic frames. A northern sea route can be framed as economic opportunity, environmental risk, sovereignty issue, or military mobility problem. A radar facility can be framed as scientific infrastructure, civil protection, or early-warning capability. Third, these frames interact with alliance exposure and geopolitical rupture. After 2022, the same Arctic features were more likely to be read through Russia threat and NATO deterrence.</w:t>
      </w:r>
    </w:p>
    <w:p>
      <w:pPr>
        <w:spacing w:line="480" w:lineRule="auto"/>
      </w:pPr>
      <w:r>
        <w:rPr>
          <w:rFonts w:ascii="Times New Roman" w:hAnsi="Times New Roman" w:eastAsia="Times New Roman"/>
          <w:b w:val="0"/>
          <w:i w:val="0"/>
          <w:sz w:val="24"/>
        </w:rPr>
        <w:t>The central claim is therefore not that climate change causes military burden. It is that climate change creates a field of strategic relevance, while post-2022 alliance politics determines how strongly that field is connected to military burden. This distinction also clarifies the role of Russia. Russia is both an Arctic state and the actor whose war in Ukraine altered the political meaning of northern security for NATO members. The war did not only threaten Europe’s eastern border; it encouraged governments to imagine possible confrontation with Russia across multiple theatres, including the High North, the North Atlantic, the Baltic-Nordic region, and critical maritime infrastructure.</w:t>
      </w:r>
    </w:p>
    <w:p>
      <w:pPr>
        <w:spacing w:line="480" w:lineRule="auto"/>
      </w:pPr>
      <w:r>
        <w:rPr>
          <w:rFonts w:ascii="Times New Roman" w:hAnsi="Times New Roman" w:eastAsia="Times New Roman"/>
          <w:b w:val="0"/>
          <w:i w:val="0"/>
          <w:sz w:val="24"/>
        </w:rPr>
        <w:t>This can be read as an early sign of political reordering. The phrase should be used carefully. The evidence does not show a complete breakdown of Arctic governance, nor does it prove that a new Arctic military order has fully replaced the old one. It does show that the post-Cold War assumption of a relatively insulated Arctic is weaker after 2022. Security policies increasingly imply that Russia must be dealt with not only in Ukraine or along NATO’s eastern land frontier, but wherever Russia and NATO interests may meet. The Arctic is one such space. In that sense, the post-2022 shift is not merely regional; it is part of a broader reorganisation of European and North Atlantic security thinking.</w:t>
      </w:r>
    </w:p>
    <w:p>
      <w:pPr>
        <w:pStyle w:val="Heading2"/>
        <w:spacing w:line="480" w:lineRule="auto"/>
      </w:pPr>
      <w:r>
        <w:rPr>
          <w:rFonts w:ascii="Times New Roman" w:hAnsi="Times New Roman" w:eastAsia="Times New Roman"/>
          <w:b/>
          <w:sz w:val="24"/>
        </w:rPr>
        <w:t>Hypotheses</w:t>
      </w:r>
    </w:p>
    <w:p>
      <w:pPr>
        <w:spacing w:line="480" w:lineRule="auto"/>
      </w:pPr>
      <w:r>
        <w:rPr>
          <w:rFonts w:ascii="Times New Roman" w:hAnsi="Times New Roman" w:eastAsia="Times New Roman"/>
          <w:b w:val="0"/>
          <w:i w:val="0"/>
          <w:sz w:val="24"/>
        </w:rPr>
        <w:t>H1: Direct annual sea-ice decline is not expected to have a stable independent effect on military burden once macroeconomic controls and country heterogeneity are considered.</w:t>
      </w:r>
    </w:p>
    <w:p>
      <w:pPr>
        <w:spacing w:line="480" w:lineRule="auto"/>
      </w:pPr>
      <w:r>
        <w:rPr>
          <w:rFonts w:ascii="Times New Roman" w:hAnsi="Times New Roman" w:eastAsia="Times New Roman"/>
          <w:b w:val="0"/>
          <w:i w:val="0"/>
          <w:sz w:val="24"/>
        </w:rPr>
        <w:t>H2: The post-2022 period is associated with higher military burden among Arctic states, reflecting the wider alliance-security rupture after Russia’s full-scale invasion of Ukraine.</w:t>
      </w:r>
    </w:p>
    <w:p>
      <w:pPr>
        <w:spacing w:line="480" w:lineRule="auto"/>
      </w:pPr>
      <w:r>
        <w:rPr>
          <w:rFonts w:ascii="Times New Roman" w:hAnsi="Times New Roman" w:eastAsia="Times New Roman"/>
          <w:b w:val="0"/>
          <w:i w:val="0"/>
          <w:sz w:val="24"/>
        </w:rPr>
        <w:t>H3: Strategic framing that emphasises Russia threat, defence, resilience, and critical infrastructure is positively associated with military burden in mechanism-oriented models.</w:t>
      </w:r>
    </w:p>
    <w:p>
      <w:pPr>
        <w:spacing w:line="480" w:lineRule="auto"/>
      </w:pPr>
      <w:r>
        <w:rPr>
          <w:rFonts w:ascii="Times New Roman" w:hAnsi="Times New Roman" w:eastAsia="Times New Roman"/>
          <w:b w:val="0"/>
          <w:i w:val="0"/>
          <w:sz w:val="24"/>
        </w:rPr>
        <w:t>H4: NATO exposure matters less as a simple membership status than as an alliance-security framing mechanism, especially in post-2022 Nordic and North Atlantic contexts.</w:t>
      </w:r>
    </w:p>
    <w:p>
      <w:pPr>
        <w:pStyle w:val="Heading1"/>
        <w:spacing w:line="480" w:lineRule="auto"/>
      </w:pPr>
      <w:r>
        <w:rPr>
          <w:rFonts w:ascii="Times New Roman" w:hAnsi="Times New Roman" w:eastAsia="Times New Roman"/>
          <w:b/>
          <w:sz w:val="24"/>
        </w:rPr>
        <w:t>4. Research Design and Data</w:t>
      </w:r>
    </w:p>
    <w:p>
      <w:pPr>
        <w:spacing w:line="480" w:lineRule="auto"/>
      </w:pPr>
      <w:r>
        <w:rPr>
          <w:rFonts w:ascii="Times New Roman" w:hAnsi="Times New Roman" w:eastAsia="Times New Roman"/>
          <w:b w:val="0"/>
          <w:i w:val="0"/>
          <w:sz w:val="24"/>
        </w:rPr>
        <w:t>The research design is mixed, but the two components do not perform the same task. The panel models assess whether military burden varies with sea-ice decline, energy prices, the post-2022 period, and country-level controls. The document analysis examines whether official strategy language supplies a plausible mechanism linking the Arctic to alliance security. This division of labour is important. The article does not use content scores to claim that official rhetoric alone caused spending. It uses content scores to identify the strategic vocabulary through which governments linked Arctic conditions to wider security concerns.</w:t>
      </w:r>
    </w:p>
    <w:p>
      <w:pPr>
        <w:pStyle w:val="Heading2"/>
        <w:spacing w:line="480" w:lineRule="auto"/>
      </w:pPr>
      <w:r>
        <w:rPr>
          <w:rFonts w:ascii="Times New Roman" w:hAnsi="Times New Roman" w:eastAsia="Times New Roman"/>
          <w:b/>
          <w:sz w:val="24"/>
        </w:rPr>
        <w:t>4.1 Document corpus</w:t>
      </w:r>
    </w:p>
    <w:p>
      <w:pPr>
        <w:spacing w:line="480" w:lineRule="auto"/>
      </w:pPr>
      <w:r>
        <w:rPr>
          <w:rFonts w:ascii="Times New Roman" w:hAnsi="Times New Roman" w:eastAsia="Times New Roman"/>
          <w:b w:val="0"/>
          <w:i w:val="0"/>
          <w:sz w:val="24"/>
        </w:rPr>
        <w:t>The document corpus is restricted to official state-level documents. Ordinary reports, academic analyses, commentary pieces, and implementation notes are excluded from the main corpus unless they are explicitly marked as supplementary. The final corpus contains 15 main documents and two supplementary documents. For countries with both Arctic-specific and general security documents, the coding distinguishes between regional Arctic framing and broader alliance-security framing. This distinction is essential for Canada, Finland, Sweden, and Iceland, where post-2022 security or defence documents are not always Arctic-specific but are highly relevant to NATO and Russia-threat framing.</w:t>
      </w:r>
    </w:p>
    <w:p>
      <w:pPr>
        <w:spacing w:line="480" w:lineRule="auto"/>
      </w:pPr>
      <w:r>
        <w:rPr>
          <w:rFonts w:ascii="Times New Roman" w:hAnsi="Times New Roman" w:eastAsia="Times New Roman"/>
          <w:sz w:val="24"/>
        </w:rPr>
        <w:t>The main advantage of official documents is comparability. They are not neutral texts, but they are authoritative statements of governmental priorities. They are also the documents most likely to be used by officials, legislators, and allied partners when justifying changes in defence posture. The corpus therefore captures how states want Arctic policy to be understood, not only how analysts describe it from the outside. This matters for strategic framing: a government does not need to increase every Arctic capability immediately for its documents to signal that the region has moved into a different category of security concern.</w:t>
      </w:r>
    </w:p>
    <w:p>
      <w:pPr>
        <w:spacing w:line="480" w:lineRule="auto"/>
      </w:pPr>
      <w:r>
        <w:rPr>
          <w:rFonts w:ascii="Times New Roman" w:hAnsi="Times New Roman" w:eastAsia="Times New Roman"/>
          <w:b w:val="0"/>
          <w:i w:val="0"/>
          <w:sz w:val="24"/>
        </w:rPr>
        <w:t>Table 1 summarises the main document structure. The corpus allows two comparisons: cross-national differences among the Arctic Eight, and temporal differences between pre-war/pre-NATO and post-war/post-NATO documents. Finland and Sweden are particularly valuable because they provide a natural strategic contrast: their Arctic strategies were written before NATO accession, while their later security and defence documents reflect a post-2022 and post-accession security environment.</w:t>
      </w:r>
    </w:p>
    <w:p>
      <w:pPr>
        <w:spacing w:line="480" w:lineRule="auto"/>
      </w:pPr>
      <w:r>
        <w:rPr>
          <w:rFonts w:ascii="Times New Roman" w:hAnsi="Times New Roman" w:eastAsia="Times New Roman"/>
          <w:b/>
          <w:sz w:val="24"/>
        </w:rPr>
        <w:t>Table 1. Official document corpus and period classification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Pr>
          <w:p>
            <w:pPr>
              <w:spacing w:line="240" w:lineRule="auto"/>
            </w:pPr>
            <w:r>
              <w:rPr>
                <w:rFonts w:ascii="Times New Roman" w:hAnsi="Times New Roman" w:eastAsia="Times New Roman"/>
                <w:b/>
                <w:sz w:val="18"/>
              </w:rPr>
              <w:t>Country</w:t>
            </w:r>
          </w:p>
        </w:tc>
        <w:tc>
          <w:tcPr>
            <w:tcW w:type="dxa" w:w="1872"/>
            <w:vAlign w:val="center"/>
          </w:tcPr>
          <w:p>
            <w:pPr>
              <w:spacing w:line="240" w:lineRule="auto"/>
            </w:pPr>
            <w:r>
              <w:rPr>
                <w:rFonts w:ascii="Times New Roman" w:hAnsi="Times New Roman" w:eastAsia="Times New Roman"/>
                <w:b/>
                <w:sz w:val="18"/>
              </w:rPr>
              <w:t>Year</w:t>
            </w:r>
          </w:p>
        </w:tc>
        <w:tc>
          <w:tcPr>
            <w:tcW w:type="dxa" w:w="1872"/>
            <w:vAlign w:val="center"/>
          </w:tcPr>
          <w:p>
            <w:pPr>
              <w:spacing w:line="240" w:lineRule="auto"/>
            </w:pPr>
            <w:r>
              <w:rPr>
                <w:rFonts w:ascii="Times New Roman" w:hAnsi="Times New Roman" w:eastAsia="Times New Roman"/>
                <w:b/>
                <w:sz w:val="18"/>
              </w:rPr>
              <w:t>Document type</w:t>
            </w:r>
          </w:p>
        </w:tc>
        <w:tc>
          <w:tcPr>
            <w:tcW w:type="dxa" w:w="1872"/>
            <w:vAlign w:val="center"/>
          </w:tcPr>
          <w:p>
            <w:pPr>
              <w:spacing w:line="240" w:lineRule="auto"/>
            </w:pPr>
            <w:r>
              <w:rPr>
                <w:rFonts w:ascii="Times New Roman" w:hAnsi="Times New Roman" w:eastAsia="Times New Roman"/>
                <w:b/>
                <w:sz w:val="18"/>
              </w:rPr>
              <w:t>War period</w:t>
            </w:r>
          </w:p>
        </w:tc>
        <w:tc>
          <w:tcPr>
            <w:tcW w:type="dxa" w:w="1872"/>
            <w:vAlign w:val="center"/>
          </w:tcPr>
          <w:p>
            <w:pPr>
              <w:spacing w:line="240" w:lineRule="auto"/>
            </w:pPr>
            <w:r>
              <w:rPr>
                <w:rFonts w:ascii="Times New Roman" w:hAnsi="Times New Roman" w:eastAsia="Times New Roman"/>
                <w:b/>
                <w:sz w:val="18"/>
              </w:rPr>
              <w:t>NATO period</w:t>
            </w:r>
          </w:p>
        </w:tc>
      </w:tr>
      <w:tr>
        <w:tc>
          <w:tcPr>
            <w:tcW w:type="dxa" w:w="1872"/>
            <w:vAlign w:val="top"/>
          </w:tcPr>
          <w:p>
            <w:pPr>
              <w:spacing w:line="240" w:lineRule="auto"/>
            </w:pPr>
            <w:r>
              <w:rPr>
                <w:rFonts w:ascii="Times New Roman" w:hAnsi="Times New Roman" w:eastAsia="Times New Roman"/>
                <w:sz w:val="18"/>
              </w:rPr>
              <w:t>USA</w:t>
            </w:r>
          </w:p>
        </w:tc>
        <w:tc>
          <w:tcPr>
            <w:tcW w:type="dxa" w:w="1872"/>
            <w:vAlign w:val="top"/>
          </w:tcPr>
          <w:p>
            <w:pPr>
              <w:spacing w:line="240" w:lineRule="auto"/>
            </w:pPr>
            <w:r>
              <w:rPr>
                <w:rFonts w:ascii="Times New Roman" w:hAnsi="Times New Roman" w:eastAsia="Times New Roman"/>
                <w:sz w:val="18"/>
              </w:rPr>
              <w:t>2022</w:t>
            </w:r>
          </w:p>
        </w:tc>
        <w:tc>
          <w:tcPr>
            <w:tcW w:type="dxa" w:w="1872"/>
            <w:vAlign w:val="top"/>
          </w:tcPr>
          <w:p>
            <w:pPr>
              <w:spacing w:line="240" w:lineRule="auto"/>
            </w:pPr>
            <w:r>
              <w:rPr>
                <w:rFonts w:ascii="Times New Roman" w:hAnsi="Times New Roman" w:eastAsia="Times New Roman"/>
                <w:sz w:val="18"/>
              </w:rPr>
              <w:t>National Arctic Strategy</w:t>
            </w:r>
          </w:p>
        </w:tc>
        <w:tc>
          <w:tcPr>
            <w:tcW w:type="dxa" w:w="1872"/>
            <w:vAlign w:val="top"/>
          </w:tcPr>
          <w:p>
            <w:pPr>
              <w:spacing w:line="240" w:lineRule="auto"/>
            </w:pPr>
            <w:r>
              <w:rPr>
                <w:rFonts w:ascii="Times New Roman" w:hAnsi="Times New Roman" w:eastAsia="Times New Roman"/>
                <w:sz w:val="18"/>
              </w:rPr>
              <w:t>Pre-war</w:t>
            </w:r>
          </w:p>
        </w:tc>
        <w:tc>
          <w:tcPr>
            <w:tcW w:type="dxa" w:w="1872"/>
            <w:vAlign w:val="top"/>
          </w:tcPr>
          <w:p>
            <w:pPr>
              <w:spacing w:line="240" w:lineRule="auto"/>
            </w:pPr>
            <w:r>
              <w:rPr>
                <w:rFonts w:ascii="Times New Roman" w:hAnsi="Times New Roman" w:eastAsia="Times New Roman"/>
                <w:sz w:val="18"/>
              </w:rPr>
              <w:t>Long-standing NATO member</w:t>
            </w:r>
          </w:p>
        </w:tc>
      </w:tr>
      <w:tr>
        <w:tc>
          <w:tcPr>
            <w:tcW w:type="dxa" w:w="1872"/>
            <w:vAlign w:val="top"/>
          </w:tcPr>
          <w:p>
            <w:pPr>
              <w:spacing w:line="240" w:lineRule="auto"/>
            </w:pPr>
            <w:r>
              <w:rPr>
                <w:rFonts w:ascii="Times New Roman" w:hAnsi="Times New Roman" w:eastAsia="Times New Roman"/>
                <w:sz w:val="18"/>
              </w:rPr>
              <w:t>USA</w:t>
            </w:r>
          </w:p>
        </w:tc>
        <w:tc>
          <w:tcPr>
            <w:tcW w:type="dxa" w:w="1872"/>
            <w:vAlign w:val="top"/>
          </w:tcPr>
          <w:p>
            <w:pPr>
              <w:spacing w:line="240" w:lineRule="auto"/>
            </w:pPr>
            <w:r>
              <w:rPr>
                <w:rFonts w:ascii="Times New Roman" w:hAnsi="Times New Roman" w:eastAsia="Times New Roman"/>
                <w:sz w:val="18"/>
              </w:rPr>
              <w:t>2024</w:t>
            </w:r>
          </w:p>
        </w:tc>
        <w:tc>
          <w:tcPr>
            <w:tcW w:type="dxa" w:w="1872"/>
            <w:vAlign w:val="top"/>
          </w:tcPr>
          <w:p>
            <w:pPr>
              <w:spacing w:line="240" w:lineRule="auto"/>
            </w:pPr>
            <w:r>
              <w:rPr>
                <w:rFonts w:ascii="Times New Roman" w:hAnsi="Times New Roman" w:eastAsia="Times New Roman"/>
                <w:sz w:val="18"/>
              </w:rPr>
              <w:t>Defence Arctic Strategy</w:t>
            </w:r>
          </w:p>
        </w:tc>
        <w:tc>
          <w:tcPr>
            <w:tcW w:type="dxa" w:w="1872"/>
            <w:vAlign w:val="top"/>
          </w:tcPr>
          <w:p>
            <w:pPr>
              <w:spacing w:line="240" w:lineRule="auto"/>
            </w:pPr>
            <w:r>
              <w:rPr>
                <w:rFonts w:ascii="Times New Roman" w:hAnsi="Times New Roman" w:eastAsia="Times New Roman"/>
                <w:sz w:val="18"/>
              </w:rPr>
              <w:t>Post-war</w:t>
            </w:r>
          </w:p>
        </w:tc>
        <w:tc>
          <w:tcPr>
            <w:tcW w:type="dxa" w:w="1872"/>
            <w:vAlign w:val="top"/>
          </w:tcPr>
          <w:p>
            <w:pPr>
              <w:spacing w:line="240" w:lineRule="auto"/>
            </w:pPr>
            <w:r>
              <w:rPr>
                <w:rFonts w:ascii="Times New Roman" w:hAnsi="Times New Roman" w:eastAsia="Times New Roman"/>
                <w:sz w:val="18"/>
              </w:rPr>
              <w:t>Long-standing NATO member</w:t>
            </w:r>
          </w:p>
        </w:tc>
      </w:tr>
      <w:tr>
        <w:tc>
          <w:tcPr>
            <w:tcW w:type="dxa" w:w="1872"/>
            <w:vAlign w:val="top"/>
          </w:tcPr>
          <w:p>
            <w:pPr>
              <w:spacing w:line="240" w:lineRule="auto"/>
            </w:pPr>
            <w:r>
              <w:rPr>
                <w:rFonts w:ascii="Times New Roman" w:hAnsi="Times New Roman" w:eastAsia="Times New Roman"/>
                <w:sz w:val="18"/>
              </w:rPr>
              <w:t>Canada</w:t>
            </w:r>
          </w:p>
        </w:tc>
        <w:tc>
          <w:tcPr>
            <w:tcW w:type="dxa" w:w="1872"/>
            <w:vAlign w:val="top"/>
          </w:tcPr>
          <w:p>
            <w:pPr>
              <w:spacing w:line="240" w:lineRule="auto"/>
            </w:pPr>
            <w:r>
              <w:rPr>
                <w:rFonts w:ascii="Times New Roman" w:hAnsi="Times New Roman" w:eastAsia="Times New Roman"/>
                <w:sz w:val="18"/>
              </w:rPr>
              <w:t>2019</w:t>
            </w:r>
          </w:p>
        </w:tc>
        <w:tc>
          <w:tcPr>
            <w:tcW w:type="dxa" w:w="1872"/>
            <w:vAlign w:val="top"/>
          </w:tcPr>
          <w:p>
            <w:pPr>
              <w:spacing w:line="240" w:lineRule="auto"/>
            </w:pPr>
            <w:r>
              <w:rPr>
                <w:rFonts w:ascii="Times New Roman" w:hAnsi="Times New Roman" w:eastAsia="Times New Roman"/>
                <w:sz w:val="18"/>
              </w:rPr>
              <w:t>Arctic and Northern Policy Framework</w:t>
            </w:r>
          </w:p>
        </w:tc>
        <w:tc>
          <w:tcPr>
            <w:tcW w:type="dxa" w:w="1872"/>
            <w:vAlign w:val="top"/>
          </w:tcPr>
          <w:p>
            <w:pPr>
              <w:spacing w:line="240" w:lineRule="auto"/>
            </w:pPr>
            <w:r>
              <w:rPr>
                <w:rFonts w:ascii="Times New Roman" w:hAnsi="Times New Roman" w:eastAsia="Times New Roman"/>
                <w:sz w:val="18"/>
              </w:rPr>
              <w:t>Pre-war</w:t>
            </w:r>
          </w:p>
        </w:tc>
        <w:tc>
          <w:tcPr>
            <w:tcW w:type="dxa" w:w="1872"/>
            <w:vAlign w:val="top"/>
          </w:tcPr>
          <w:p>
            <w:pPr>
              <w:spacing w:line="240" w:lineRule="auto"/>
            </w:pPr>
            <w:r>
              <w:rPr>
                <w:rFonts w:ascii="Times New Roman" w:hAnsi="Times New Roman" w:eastAsia="Times New Roman"/>
                <w:sz w:val="18"/>
              </w:rPr>
              <w:t>Long-standing NATO member</w:t>
            </w:r>
          </w:p>
        </w:tc>
      </w:tr>
      <w:tr>
        <w:tc>
          <w:tcPr>
            <w:tcW w:type="dxa" w:w="1872"/>
            <w:vAlign w:val="top"/>
          </w:tcPr>
          <w:p>
            <w:pPr>
              <w:spacing w:line="240" w:lineRule="auto"/>
            </w:pPr>
            <w:r>
              <w:rPr>
                <w:rFonts w:ascii="Times New Roman" w:hAnsi="Times New Roman" w:eastAsia="Times New Roman"/>
                <w:sz w:val="18"/>
              </w:rPr>
              <w:t>Canada</w:t>
            </w:r>
          </w:p>
        </w:tc>
        <w:tc>
          <w:tcPr>
            <w:tcW w:type="dxa" w:w="1872"/>
            <w:vAlign w:val="top"/>
          </w:tcPr>
          <w:p>
            <w:pPr>
              <w:spacing w:line="240" w:lineRule="auto"/>
            </w:pPr>
            <w:r>
              <w:rPr>
                <w:rFonts w:ascii="Times New Roman" w:hAnsi="Times New Roman" w:eastAsia="Times New Roman"/>
                <w:sz w:val="18"/>
              </w:rPr>
              <w:t>2024</w:t>
            </w:r>
          </w:p>
        </w:tc>
        <w:tc>
          <w:tcPr>
            <w:tcW w:type="dxa" w:w="1872"/>
            <w:vAlign w:val="top"/>
          </w:tcPr>
          <w:p>
            <w:pPr>
              <w:spacing w:line="240" w:lineRule="auto"/>
            </w:pPr>
            <w:r>
              <w:rPr>
                <w:rFonts w:ascii="Times New Roman" w:hAnsi="Times New Roman" w:eastAsia="Times New Roman"/>
                <w:sz w:val="18"/>
              </w:rPr>
              <w:t>Defence policy / Arctic-relevant security document</w:t>
            </w:r>
          </w:p>
        </w:tc>
        <w:tc>
          <w:tcPr>
            <w:tcW w:type="dxa" w:w="1872"/>
            <w:vAlign w:val="top"/>
          </w:tcPr>
          <w:p>
            <w:pPr>
              <w:spacing w:line="240" w:lineRule="auto"/>
            </w:pPr>
            <w:r>
              <w:rPr>
                <w:rFonts w:ascii="Times New Roman" w:hAnsi="Times New Roman" w:eastAsia="Times New Roman"/>
                <w:sz w:val="18"/>
              </w:rPr>
              <w:t>Post-war</w:t>
            </w:r>
          </w:p>
        </w:tc>
        <w:tc>
          <w:tcPr>
            <w:tcW w:type="dxa" w:w="1872"/>
            <w:vAlign w:val="top"/>
          </w:tcPr>
          <w:p>
            <w:pPr>
              <w:spacing w:line="240" w:lineRule="auto"/>
            </w:pPr>
            <w:r>
              <w:rPr>
                <w:rFonts w:ascii="Times New Roman" w:hAnsi="Times New Roman" w:eastAsia="Times New Roman"/>
                <w:sz w:val="18"/>
              </w:rPr>
              <w:t>Long-standing NATO member</w:t>
            </w:r>
          </w:p>
        </w:tc>
      </w:tr>
      <w:tr>
        <w:tc>
          <w:tcPr>
            <w:tcW w:type="dxa" w:w="1872"/>
            <w:vAlign w:val="top"/>
          </w:tcPr>
          <w:p>
            <w:pPr>
              <w:spacing w:line="240" w:lineRule="auto"/>
            </w:pPr>
            <w:r>
              <w:rPr>
                <w:rFonts w:ascii="Times New Roman" w:hAnsi="Times New Roman" w:eastAsia="Times New Roman"/>
                <w:sz w:val="18"/>
              </w:rPr>
              <w:t>Russia</w:t>
            </w:r>
          </w:p>
        </w:tc>
        <w:tc>
          <w:tcPr>
            <w:tcW w:type="dxa" w:w="1872"/>
            <w:vAlign w:val="top"/>
          </w:tcPr>
          <w:p>
            <w:pPr>
              <w:spacing w:line="240" w:lineRule="auto"/>
            </w:pPr>
            <w:r>
              <w:rPr>
                <w:rFonts w:ascii="Times New Roman" w:hAnsi="Times New Roman" w:eastAsia="Times New Roman"/>
                <w:sz w:val="18"/>
              </w:rPr>
              <w:t>2020/2023</w:t>
            </w:r>
          </w:p>
        </w:tc>
        <w:tc>
          <w:tcPr>
            <w:tcW w:type="dxa" w:w="1872"/>
            <w:vAlign w:val="top"/>
          </w:tcPr>
          <w:p>
            <w:pPr>
              <w:spacing w:line="240" w:lineRule="auto"/>
            </w:pPr>
            <w:r>
              <w:rPr>
                <w:rFonts w:ascii="Times New Roman" w:hAnsi="Times New Roman" w:eastAsia="Times New Roman"/>
                <w:sz w:val="18"/>
              </w:rPr>
              <w:t>Arctic state policy / Arctic zone strategy</w:t>
            </w:r>
          </w:p>
        </w:tc>
        <w:tc>
          <w:tcPr>
            <w:tcW w:type="dxa" w:w="1872"/>
            <w:vAlign w:val="top"/>
          </w:tcPr>
          <w:p>
            <w:pPr>
              <w:spacing w:line="240" w:lineRule="auto"/>
            </w:pPr>
            <w:r>
              <w:rPr>
                <w:rFonts w:ascii="Times New Roman" w:hAnsi="Times New Roman" w:eastAsia="Times New Roman"/>
                <w:sz w:val="18"/>
              </w:rPr>
              <w:t>Pre-war document; amended post-war</w:t>
            </w:r>
          </w:p>
        </w:tc>
        <w:tc>
          <w:tcPr>
            <w:tcW w:type="dxa" w:w="1872"/>
            <w:vAlign w:val="top"/>
          </w:tcPr>
          <w:p>
            <w:pPr>
              <w:spacing w:line="240" w:lineRule="auto"/>
            </w:pPr>
            <w:r>
              <w:rPr>
                <w:rFonts w:ascii="Times New Roman" w:hAnsi="Times New Roman" w:eastAsia="Times New Roman"/>
                <w:sz w:val="18"/>
              </w:rPr>
              <w:t>Non-NATO / Russia</w:t>
            </w:r>
          </w:p>
        </w:tc>
      </w:tr>
      <w:tr>
        <w:tc>
          <w:tcPr>
            <w:tcW w:type="dxa" w:w="1872"/>
            <w:vAlign w:val="top"/>
          </w:tcPr>
          <w:p>
            <w:pPr>
              <w:spacing w:line="240" w:lineRule="auto"/>
            </w:pPr>
            <w:r>
              <w:rPr>
                <w:rFonts w:ascii="Times New Roman" w:hAnsi="Times New Roman" w:eastAsia="Times New Roman"/>
                <w:sz w:val="18"/>
              </w:rPr>
              <w:t>Norway</w:t>
            </w:r>
          </w:p>
        </w:tc>
        <w:tc>
          <w:tcPr>
            <w:tcW w:type="dxa" w:w="1872"/>
            <w:vAlign w:val="top"/>
          </w:tcPr>
          <w:p>
            <w:pPr>
              <w:spacing w:line="240" w:lineRule="auto"/>
            </w:pPr>
            <w:r>
              <w:rPr>
                <w:rFonts w:ascii="Times New Roman" w:hAnsi="Times New Roman" w:eastAsia="Times New Roman"/>
                <w:sz w:val="18"/>
              </w:rPr>
              <w:t>2025</w:t>
            </w:r>
          </w:p>
        </w:tc>
        <w:tc>
          <w:tcPr>
            <w:tcW w:type="dxa" w:w="1872"/>
            <w:vAlign w:val="top"/>
          </w:tcPr>
          <w:p>
            <w:pPr>
              <w:spacing w:line="240" w:lineRule="auto"/>
            </w:pPr>
            <w:r>
              <w:rPr>
                <w:rFonts w:ascii="Times New Roman" w:hAnsi="Times New Roman" w:eastAsia="Times New Roman"/>
                <w:sz w:val="18"/>
              </w:rPr>
              <w:t>High North strategy</w:t>
            </w:r>
          </w:p>
        </w:tc>
        <w:tc>
          <w:tcPr>
            <w:tcW w:type="dxa" w:w="1872"/>
            <w:vAlign w:val="top"/>
          </w:tcPr>
          <w:p>
            <w:pPr>
              <w:spacing w:line="240" w:lineRule="auto"/>
            </w:pPr>
            <w:r>
              <w:rPr>
                <w:rFonts w:ascii="Times New Roman" w:hAnsi="Times New Roman" w:eastAsia="Times New Roman"/>
                <w:sz w:val="18"/>
              </w:rPr>
              <w:t>Post-war</w:t>
            </w:r>
          </w:p>
        </w:tc>
        <w:tc>
          <w:tcPr>
            <w:tcW w:type="dxa" w:w="1872"/>
            <w:vAlign w:val="top"/>
          </w:tcPr>
          <w:p>
            <w:pPr>
              <w:spacing w:line="240" w:lineRule="auto"/>
            </w:pPr>
            <w:r>
              <w:rPr>
                <w:rFonts w:ascii="Times New Roman" w:hAnsi="Times New Roman" w:eastAsia="Times New Roman"/>
                <w:sz w:val="18"/>
              </w:rPr>
              <w:t>Long-standing NATO member</w:t>
            </w:r>
          </w:p>
        </w:tc>
      </w:tr>
      <w:tr>
        <w:tc>
          <w:tcPr>
            <w:tcW w:type="dxa" w:w="1872"/>
            <w:vAlign w:val="top"/>
          </w:tcPr>
          <w:p>
            <w:pPr>
              <w:spacing w:line="240" w:lineRule="auto"/>
            </w:pPr>
            <w:r>
              <w:rPr>
                <w:rFonts w:ascii="Times New Roman" w:hAnsi="Times New Roman" w:eastAsia="Times New Roman"/>
                <w:sz w:val="18"/>
              </w:rPr>
              <w:t>Denmark/Greenland</w:t>
            </w:r>
          </w:p>
        </w:tc>
        <w:tc>
          <w:tcPr>
            <w:tcW w:type="dxa" w:w="1872"/>
            <w:vAlign w:val="top"/>
          </w:tcPr>
          <w:p>
            <w:pPr>
              <w:spacing w:line="240" w:lineRule="auto"/>
            </w:pPr>
            <w:r>
              <w:rPr>
                <w:rFonts w:ascii="Times New Roman" w:hAnsi="Times New Roman" w:eastAsia="Times New Roman"/>
                <w:sz w:val="18"/>
              </w:rPr>
              <w:t>2011; 2024</w:t>
            </w:r>
          </w:p>
        </w:tc>
        <w:tc>
          <w:tcPr>
            <w:tcW w:type="dxa" w:w="1872"/>
            <w:vAlign w:val="top"/>
          </w:tcPr>
          <w:p>
            <w:pPr>
              <w:spacing w:line="240" w:lineRule="auto"/>
            </w:pPr>
            <w:r>
              <w:rPr>
                <w:rFonts w:ascii="Times New Roman" w:hAnsi="Times New Roman" w:eastAsia="Times New Roman"/>
                <w:sz w:val="18"/>
              </w:rPr>
              <w:t>Kingdom Arctic strategy; Greenland foreign/security policy</w:t>
            </w:r>
          </w:p>
        </w:tc>
        <w:tc>
          <w:tcPr>
            <w:tcW w:type="dxa" w:w="1872"/>
            <w:vAlign w:val="top"/>
          </w:tcPr>
          <w:p>
            <w:pPr>
              <w:spacing w:line="240" w:lineRule="auto"/>
            </w:pPr>
            <w:r>
              <w:rPr>
                <w:rFonts w:ascii="Times New Roman" w:hAnsi="Times New Roman" w:eastAsia="Times New Roman"/>
                <w:sz w:val="18"/>
              </w:rPr>
              <w:t>Pre-war and post-war</w:t>
            </w:r>
          </w:p>
        </w:tc>
        <w:tc>
          <w:tcPr>
            <w:tcW w:type="dxa" w:w="1872"/>
            <w:vAlign w:val="top"/>
          </w:tcPr>
          <w:p>
            <w:pPr>
              <w:spacing w:line="240" w:lineRule="auto"/>
            </w:pPr>
            <w:r>
              <w:rPr>
                <w:rFonts w:ascii="Times New Roman" w:hAnsi="Times New Roman" w:eastAsia="Times New Roman"/>
                <w:sz w:val="18"/>
              </w:rPr>
              <w:t>Long-standing NATO member via Denmark</w:t>
            </w:r>
          </w:p>
        </w:tc>
      </w:tr>
      <w:tr>
        <w:tc>
          <w:tcPr>
            <w:tcW w:type="dxa" w:w="1872"/>
            <w:vAlign w:val="top"/>
          </w:tcPr>
          <w:p>
            <w:pPr>
              <w:spacing w:line="240" w:lineRule="auto"/>
            </w:pPr>
            <w:r>
              <w:rPr>
                <w:rFonts w:ascii="Times New Roman" w:hAnsi="Times New Roman" w:eastAsia="Times New Roman"/>
                <w:sz w:val="18"/>
              </w:rPr>
              <w:t>Finland</w:t>
            </w:r>
          </w:p>
        </w:tc>
        <w:tc>
          <w:tcPr>
            <w:tcW w:type="dxa" w:w="1872"/>
            <w:vAlign w:val="top"/>
          </w:tcPr>
          <w:p>
            <w:pPr>
              <w:spacing w:line="240" w:lineRule="auto"/>
            </w:pPr>
            <w:r>
              <w:rPr>
                <w:rFonts w:ascii="Times New Roman" w:hAnsi="Times New Roman" w:eastAsia="Times New Roman"/>
                <w:sz w:val="18"/>
              </w:rPr>
              <w:t>2021; 2024</w:t>
            </w:r>
          </w:p>
        </w:tc>
        <w:tc>
          <w:tcPr>
            <w:tcW w:type="dxa" w:w="1872"/>
            <w:vAlign w:val="top"/>
          </w:tcPr>
          <w:p>
            <w:pPr>
              <w:spacing w:line="240" w:lineRule="auto"/>
            </w:pPr>
            <w:r>
              <w:rPr>
                <w:rFonts w:ascii="Times New Roman" w:hAnsi="Times New Roman" w:eastAsia="Times New Roman"/>
                <w:sz w:val="18"/>
              </w:rPr>
              <w:t>Arctic strategy; defence report</w:t>
            </w:r>
          </w:p>
        </w:tc>
        <w:tc>
          <w:tcPr>
            <w:tcW w:type="dxa" w:w="1872"/>
            <w:vAlign w:val="top"/>
          </w:tcPr>
          <w:p>
            <w:pPr>
              <w:spacing w:line="240" w:lineRule="auto"/>
            </w:pPr>
            <w:r>
              <w:rPr>
                <w:rFonts w:ascii="Times New Roman" w:hAnsi="Times New Roman" w:eastAsia="Times New Roman"/>
                <w:sz w:val="18"/>
              </w:rPr>
              <w:t>Pre-war/pre-NATO and post-war/post-NATO</w:t>
            </w:r>
          </w:p>
        </w:tc>
        <w:tc>
          <w:tcPr>
            <w:tcW w:type="dxa" w:w="1872"/>
            <w:vAlign w:val="top"/>
          </w:tcPr>
          <w:p>
            <w:pPr>
              <w:spacing w:line="240" w:lineRule="auto"/>
            </w:pPr>
            <w:r>
              <w:rPr>
                <w:rFonts w:ascii="Times New Roman" w:hAnsi="Times New Roman" w:eastAsia="Times New Roman"/>
                <w:sz w:val="18"/>
              </w:rPr>
              <w:t>Post-NATO after 2023</w:t>
            </w:r>
          </w:p>
        </w:tc>
      </w:tr>
      <w:tr>
        <w:tc>
          <w:tcPr>
            <w:tcW w:type="dxa" w:w="1872"/>
            <w:vAlign w:val="top"/>
          </w:tcPr>
          <w:p>
            <w:pPr>
              <w:spacing w:line="240" w:lineRule="auto"/>
            </w:pPr>
            <w:r>
              <w:rPr>
                <w:rFonts w:ascii="Times New Roman" w:hAnsi="Times New Roman" w:eastAsia="Times New Roman"/>
                <w:sz w:val="18"/>
              </w:rPr>
              <w:t>Sweden</w:t>
            </w:r>
          </w:p>
        </w:tc>
        <w:tc>
          <w:tcPr>
            <w:tcW w:type="dxa" w:w="1872"/>
            <w:vAlign w:val="top"/>
          </w:tcPr>
          <w:p>
            <w:pPr>
              <w:spacing w:line="240" w:lineRule="auto"/>
            </w:pPr>
            <w:r>
              <w:rPr>
                <w:rFonts w:ascii="Times New Roman" w:hAnsi="Times New Roman" w:eastAsia="Times New Roman"/>
                <w:sz w:val="18"/>
              </w:rPr>
              <w:t>2020; 2024</w:t>
            </w:r>
          </w:p>
        </w:tc>
        <w:tc>
          <w:tcPr>
            <w:tcW w:type="dxa" w:w="1872"/>
            <w:vAlign w:val="top"/>
          </w:tcPr>
          <w:p>
            <w:pPr>
              <w:spacing w:line="240" w:lineRule="auto"/>
            </w:pPr>
            <w:r>
              <w:rPr>
                <w:rFonts w:ascii="Times New Roman" w:hAnsi="Times New Roman" w:eastAsia="Times New Roman"/>
                <w:sz w:val="18"/>
              </w:rPr>
              <w:t>Arctic strategy; national security strategy</w:t>
            </w:r>
          </w:p>
        </w:tc>
        <w:tc>
          <w:tcPr>
            <w:tcW w:type="dxa" w:w="1872"/>
            <w:vAlign w:val="top"/>
          </w:tcPr>
          <w:p>
            <w:pPr>
              <w:spacing w:line="240" w:lineRule="auto"/>
            </w:pPr>
            <w:r>
              <w:rPr>
                <w:rFonts w:ascii="Times New Roman" w:hAnsi="Times New Roman" w:eastAsia="Times New Roman"/>
                <w:sz w:val="18"/>
              </w:rPr>
              <w:t>Pre-war/pre-NATO and post-war/post-NATO</w:t>
            </w:r>
          </w:p>
        </w:tc>
        <w:tc>
          <w:tcPr>
            <w:tcW w:type="dxa" w:w="1872"/>
            <w:vAlign w:val="top"/>
          </w:tcPr>
          <w:p>
            <w:pPr>
              <w:spacing w:line="240" w:lineRule="auto"/>
            </w:pPr>
            <w:r>
              <w:rPr>
                <w:rFonts w:ascii="Times New Roman" w:hAnsi="Times New Roman" w:eastAsia="Times New Roman"/>
                <w:sz w:val="18"/>
              </w:rPr>
              <w:t>Post-NATO after 2024</w:t>
            </w:r>
          </w:p>
        </w:tc>
      </w:tr>
      <w:tr>
        <w:tc>
          <w:tcPr>
            <w:tcW w:type="dxa" w:w="1872"/>
            <w:vAlign w:val="top"/>
          </w:tcPr>
          <w:p>
            <w:pPr>
              <w:spacing w:line="240" w:lineRule="auto"/>
            </w:pPr>
            <w:r>
              <w:rPr>
                <w:rFonts w:ascii="Times New Roman" w:hAnsi="Times New Roman" w:eastAsia="Times New Roman"/>
                <w:sz w:val="18"/>
              </w:rPr>
              <w:t>Iceland</w:t>
            </w:r>
          </w:p>
        </w:tc>
        <w:tc>
          <w:tcPr>
            <w:tcW w:type="dxa" w:w="1872"/>
            <w:vAlign w:val="top"/>
          </w:tcPr>
          <w:p>
            <w:pPr>
              <w:spacing w:line="240" w:lineRule="auto"/>
            </w:pPr>
            <w:r>
              <w:rPr>
                <w:rFonts w:ascii="Times New Roman" w:hAnsi="Times New Roman" w:eastAsia="Times New Roman"/>
                <w:sz w:val="18"/>
              </w:rPr>
              <w:t>2021; 2023</w:t>
            </w:r>
          </w:p>
        </w:tc>
        <w:tc>
          <w:tcPr>
            <w:tcW w:type="dxa" w:w="1872"/>
            <w:vAlign w:val="top"/>
          </w:tcPr>
          <w:p>
            <w:pPr>
              <w:spacing w:line="240" w:lineRule="auto"/>
            </w:pPr>
            <w:r>
              <w:rPr>
                <w:rFonts w:ascii="Times New Roman" w:hAnsi="Times New Roman" w:eastAsia="Times New Roman"/>
                <w:sz w:val="18"/>
              </w:rPr>
              <w:t>Arctic policy; national security policy</w:t>
            </w:r>
          </w:p>
        </w:tc>
        <w:tc>
          <w:tcPr>
            <w:tcW w:type="dxa" w:w="1872"/>
            <w:vAlign w:val="top"/>
          </w:tcPr>
          <w:p>
            <w:pPr>
              <w:spacing w:line="240" w:lineRule="auto"/>
            </w:pPr>
            <w:r>
              <w:rPr>
                <w:rFonts w:ascii="Times New Roman" w:hAnsi="Times New Roman" w:eastAsia="Times New Roman"/>
                <w:sz w:val="18"/>
              </w:rPr>
              <w:t>Pre-war and post-war</w:t>
            </w:r>
          </w:p>
        </w:tc>
        <w:tc>
          <w:tcPr>
            <w:tcW w:type="dxa" w:w="1872"/>
            <w:vAlign w:val="top"/>
          </w:tcPr>
          <w:p>
            <w:pPr>
              <w:spacing w:line="240" w:lineRule="auto"/>
            </w:pPr>
            <w:r>
              <w:rPr>
                <w:rFonts w:ascii="Times New Roman" w:hAnsi="Times New Roman" w:eastAsia="Times New Roman"/>
                <w:sz w:val="18"/>
              </w:rPr>
              <w:t>Long-standing NATO member</w:t>
            </w:r>
          </w:p>
        </w:tc>
      </w:tr>
    </w:tbl>
    <w:p>
      <w:pPr>
        <w:pStyle w:val="Heading2"/>
        <w:spacing w:line="480" w:lineRule="auto"/>
      </w:pPr>
      <w:r>
        <w:rPr>
          <w:rFonts w:ascii="Times New Roman" w:hAnsi="Times New Roman" w:eastAsia="Times New Roman"/>
          <w:b/>
          <w:sz w:val="24"/>
        </w:rPr>
        <w:t>4.2 Measures and safeguards</w:t>
      </w:r>
    </w:p>
    <w:p>
      <w:pPr>
        <w:spacing w:line="480" w:lineRule="auto"/>
      </w:pPr>
      <w:r>
        <w:rPr>
          <w:rFonts w:ascii="Times New Roman" w:hAnsi="Times New Roman" w:eastAsia="Times New Roman"/>
          <w:b w:val="0"/>
          <w:i w:val="0"/>
          <w:sz w:val="24"/>
        </w:rPr>
        <w:t>The main dependent variable is military expenditure as a share of GDP from SIPRI. This is a national military-burden measure, not a direct Arctic force-posture measure. The article therefore avoids claiming that the dependent variable captures Arctic deployments, northern bases, icebreakers, or military exercises. Instead, the measure captures whether the wider security burden of Arctic states changes under the post-2022 environment. Alternative dependent variables, including log military expenditure and expenditure growth, are used as robustness checks.</w:t>
      </w:r>
    </w:p>
    <w:p>
      <w:pPr>
        <w:spacing w:line="480" w:lineRule="auto"/>
      </w:pPr>
      <w:r>
        <w:rPr>
          <w:rFonts w:ascii="Times New Roman" w:hAnsi="Times New Roman" w:eastAsia="Times New Roman"/>
          <w:sz w:val="24"/>
        </w:rPr>
        <w:t>The dependent-variable hierarchy is therefore explicit. Military burden is the main outcome because it is available across the full country-year panel and because it captures the national resource commitment associated with security pressure. It is not treated as a perfect proxy for Arctic military activity. Log military expenditure and expenditure growth are used as alternative outcomes, while future research should develop more specific measures of Arctic military mobility, icebreaking capacity, northern exercise frequency, and surveillance infrastructure. This hierarchy is deliberately conservative: the article tests whether the broader security burden moves in a way consistent with the post-2022 Arctic-security argument, while avoiding an exaggerated claim about direct Arctic deployments.</w:t>
      </w:r>
    </w:p>
    <w:p>
      <w:pPr>
        <w:spacing w:line="480" w:lineRule="auto"/>
      </w:pPr>
      <w:r>
        <w:rPr>
          <w:rFonts w:ascii="Times New Roman" w:hAnsi="Times New Roman" w:eastAsia="Times New Roman"/>
          <w:b w:val="0"/>
          <w:i w:val="0"/>
          <w:sz w:val="24"/>
        </w:rPr>
        <w:t>Sea-ice decline is calculated from September Arctic sea-ice extent. September is used because it is the month most closely associated with the annual minimum. The variable is coded so that positive values indicate a decline from the previous year. Energy prices are annual averages from the World Bank Pink Sheet. Macroeconomic controls include GDP per capita, GDP growth, inflation, trade openness, population, and energy-rent variables from the World Bank.</w:t>
      </w:r>
    </w:p>
    <w:p>
      <w:pPr>
        <w:spacing w:line="480" w:lineRule="auto"/>
      </w:pPr>
      <w:r>
        <w:rPr>
          <w:rFonts w:ascii="Times New Roman" w:hAnsi="Times New Roman" w:eastAsia="Times New Roman"/>
          <w:b w:val="0"/>
          <w:i w:val="0"/>
          <w:sz w:val="24"/>
        </w:rPr>
        <w:t>Content variables are produced through dictionary-based scoring and manual validation. The main categories include security framing, military and defence language, NATO/alliance framing, Russia threat framing, resilience and total defence, critical infrastructure and military mobility, climate framing, governance, and cooperation. The resulting indices are used cautiously. Arctic-specific documents are used to assess regional framing. General security and defence documents are used only as security/alliance supplements, not as substitutes for Arctic strategies.</w:t>
      </w:r>
    </w:p>
    <w:p>
      <w:pPr>
        <w:spacing w:line="480" w:lineRule="auto"/>
      </w:pPr>
      <w:r>
        <w:rPr>
          <w:rFonts w:ascii="Times New Roman" w:hAnsi="Times New Roman" w:eastAsia="Times New Roman"/>
          <w:b/>
          <w:sz w:val="24"/>
        </w:rPr>
        <w:t>Table 2. Software and reproducibility workflow</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pPr>
              <w:spacing w:line="240" w:lineRule="auto"/>
            </w:pPr>
            <w:r>
              <w:rPr>
                <w:rFonts w:ascii="Times New Roman" w:hAnsi="Times New Roman" w:eastAsia="Times New Roman"/>
                <w:b/>
                <w:sz w:val="18"/>
              </w:rPr>
              <w:t>Task</w:t>
            </w:r>
          </w:p>
        </w:tc>
        <w:tc>
          <w:tcPr>
            <w:tcW w:type="dxa" w:w="3120"/>
            <w:vAlign w:val="center"/>
          </w:tcPr>
          <w:p>
            <w:pPr>
              <w:spacing w:line="240" w:lineRule="auto"/>
            </w:pPr>
            <w:r>
              <w:rPr>
                <w:rFonts w:ascii="Times New Roman" w:hAnsi="Times New Roman" w:eastAsia="Times New Roman"/>
                <w:b/>
                <w:sz w:val="18"/>
              </w:rPr>
              <w:t>Software / package</w:t>
            </w:r>
          </w:p>
        </w:tc>
        <w:tc>
          <w:tcPr>
            <w:tcW w:type="dxa" w:w="3120"/>
            <w:vAlign w:val="center"/>
          </w:tcPr>
          <w:p>
            <w:pPr>
              <w:spacing w:line="240" w:lineRule="auto"/>
            </w:pPr>
            <w:r>
              <w:rPr>
                <w:rFonts w:ascii="Times New Roman" w:hAnsi="Times New Roman" w:eastAsia="Times New Roman"/>
                <w:b/>
                <w:sz w:val="18"/>
              </w:rPr>
              <w:t>Role</w:t>
            </w:r>
          </w:p>
        </w:tc>
      </w:tr>
      <w:tr>
        <w:tc>
          <w:tcPr>
            <w:tcW w:type="dxa" w:w="3120"/>
            <w:vAlign w:val="top"/>
          </w:tcPr>
          <w:p>
            <w:pPr>
              <w:spacing w:line="240" w:lineRule="auto"/>
            </w:pPr>
            <w:r>
              <w:rPr>
                <w:rFonts w:ascii="Times New Roman" w:hAnsi="Times New Roman" w:eastAsia="Times New Roman"/>
                <w:sz w:val="18"/>
              </w:rPr>
              <w:t>Data cleaning and panel construction</w:t>
            </w:r>
          </w:p>
        </w:tc>
        <w:tc>
          <w:tcPr>
            <w:tcW w:type="dxa" w:w="3120"/>
            <w:vAlign w:val="top"/>
          </w:tcPr>
          <w:p>
            <w:pPr>
              <w:spacing w:line="240" w:lineRule="auto"/>
            </w:pPr>
            <w:r>
              <w:rPr>
                <w:rFonts w:ascii="Times New Roman" w:hAnsi="Times New Roman" w:eastAsia="Times New Roman"/>
                <w:sz w:val="18"/>
              </w:rPr>
              <w:t>Python; pandas; numpy</w:t>
            </w:r>
          </w:p>
        </w:tc>
        <w:tc>
          <w:tcPr>
            <w:tcW w:type="dxa" w:w="3120"/>
            <w:vAlign w:val="top"/>
          </w:tcPr>
          <w:p>
            <w:pPr>
              <w:spacing w:line="240" w:lineRule="auto"/>
            </w:pPr>
            <w:r>
              <w:rPr>
                <w:rFonts w:ascii="Times New Roman" w:hAnsi="Times New Roman" w:eastAsia="Times New Roman"/>
                <w:sz w:val="18"/>
              </w:rPr>
              <w:t>Reshaping country-year data; merging SIPRI, WDI, sea-ice, and energy price series</w:t>
            </w:r>
          </w:p>
        </w:tc>
      </w:tr>
      <w:tr>
        <w:tc>
          <w:tcPr>
            <w:tcW w:type="dxa" w:w="3120"/>
            <w:vAlign w:val="top"/>
          </w:tcPr>
          <w:p>
            <w:pPr>
              <w:spacing w:line="240" w:lineRule="auto"/>
            </w:pPr>
            <w:r>
              <w:rPr>
                <w:rFonts w:ascii="Times New Roman" w:hAnsi="Times New Roman" w:eastAsia="Times New Roman"/>
                <w:sz w:val="18"/>
              </w:rPr>
              <w:t>PDF text extraction</w:t>
            </w:r>
          </w:p>
        </w:tc>
        <w:tc>
          <w:tcPr>
            <w:tcW w:type="dxa" w:w="3120"/>
            <w:vAlign w:val="top"/>
          </w:tcPr>
          <w:p>
            <w:pPr>
              <w:spacing w:line="240" w:lineRule="auto"/>
            </w:pPr>
            <w:r>
              <w:rPr>
                <w:rFonts w:ascii="Times New Roman" w:hAnsi="Times New Roman" w:eastAsia="Times New Roman"/>
                <w:sz w:val="18"/>
              </w:rPr>
              <w:t>Python; pypdf</w:t>
            </w:r>
          </w:p>
        </w:tc>
        <w:tc>
          <w:tcPr>
            <w:tcW w:type="dxa" w:w="3120"/>
            <w:vAlign w:val="top"/>
          </w:tcPr>
          <w:p>
            <w:pPr>
              <w:spacing w:line="240" w:lineRule="auto"/>
            </w:pPr>
            <w:r>
              <w:rPr>
                <w:rFonts w:ascii="Times New Roman" w:hAnsi="Times New Roman" w:eastAsia="Times New Roman"/>
                <w:sz w:val="18"/>
              </w:rPr>
              <w:t>Extracting text from official strategy documents</w:t>
            </w:r>
          </w:p>
        </w:tc>
      </w:tr>
      <w:tr>
        <w:tc>
          <w:tcPr>
            <w:tcW w:type="dxa" w:w="3120"/>
            <w:vAlign w:val="top"/>
          </w:tcPr>
          <w:p>
            <w:pPr>
              <w:spacing w:line="240" w:lineRule="auto"/>
            </w:pPr>
            <w:r>
              <w:rPr>
                <w:rFonts w:ascii="Times New Roman" w:hAnsi="Times New Roman" w:eastAsia="Times New Roman"/>
                <w:sz w:val="18"/>
              </w:rPr>
              <w:t>Dictionary scoring</w:t>
            </w:r>
          </w:p>
        </w:tc>
        <w:tc>
          <w:tcPr>
            <w:tcW w:type="dxa" w:w="3120"/>
            <w:vAlign w:val="top"/>
          </w:tcPr>
          <w:p>
            <w:pPr>
              <w:spacing w:line="240" w:lineRule="auto"/>
            </w:pPr>
            <w:r>
              <w:rPr>
                <w:rFonts w:ascii="Times New Roman" w:hAnsi="Times New Roman" w:eastAsia="Times New Roman"/>
                <w:sz w:val="18"/>
              </w:rPr>
              <w:t>Python; pandas; regex dictionaries</w:t>
            </w:r>
          </w:p>
        </w:tc>
        <w:tc>
          <w:tcPr>
            <w:tcW w:type="dxa" w:w="3120"/>
            <w:vAlign w:val="top"/>
          </w:tcPr>
          <w:p>
            <w:pPr>
              <w:spacing w:line="240" w:lineRule="auto"/>
            </w:pPr>
            <w:r>
              <w:rPr>
                <w:rFonts w:ascii="Times New Roman" w:hAnsi="Times New Roman" w:eastAsia="Times New Roman"/>
                <w:sz w:val="18"/>
              </w:rPr>
              <w:t>Counting and normalising strategic framing terms</w:t>
            </w:r>
          </w:p>
        </w:tc>
      </w:tr>
      <w:tr>
        <w:tc>
          <w:tcPr>
            <w:tcW w:type="dxa" w:w="3120"/>
            <w:vAlign w:val="top"/>
          </w:tcPr>
          <w:p>
            <w:pPr>
              <w:spacing w:line="240" w:lineRule="auto"/>
            </w:pPr>
            <w:r>
              <w:rPr>
                <w:rFonts w:ascii="Times New Roman" w:hAnsi="Times New Roman" w:eastAsia="Times New Roman"/>
                <w:sz w:val="18"/>
              </w:rPr>
              <w:t>Econometric estimation</w:t>
            </w:r>
          </w:p>
        </w:tc>
        <w:tc>
          <w:tcPr>
            <w:tcW w:type="dxa" w:w="3120"/>
            <w:vAlign w:val="top"/>
          </w:tcPr>
          <w:p>
            <w:pPr>
              <w:spacing w:line="240" w:lineRule="auto"/>
            </w:pPr>
            <w:r>
              <w:rPr>
                <w:rFonts w:ascii="Times New Roman" w:hAnsi="Times New Roman" w:eastAsia="Times New Roman"/>
                <w:sz w:val="18"/>
              </w:rPr>
              <w:t>Python; statsmodels</w:t>
            </w:r>
          </w:p>
        </w:tc>
        <w:tc>
          <w:tcPr>
            <w:tcW w:type="dxa" w:w="3120"/>
            <w:vAlign w:val="top"/>
          </w:tcPr>
          <w:p>
            <w:pPr>
              <w:spacing w:line="240" w:lineRule="auto"/>
            </w:pPr>
            <w:r>
              <w:rPr>
                <w:rFonts w:ascii="Times New Roman" w:hAnsi="Times New Roman" w:eastAsia="Times New Roman"/>
                <w:sz w:val="18"/>
              </w:rPr>
              <w:t>Baseline OLS, country fixed effects, robustness checks, interaction screening</w:t>
            </w:r>
          </w:p>
        </w:tc>
      </w:tr>
      <w:tr>
        <w:tc>
          <w:tcPr>
            <w:tcW w:type="dxa" w:w="3120"/>
            <w:vAlign w:val="top"/>
          </w:tcPr>
          <w:p>
            <w:pPr>
              <w:spacing w:line="240" w:lineRule="auto"/>
            </w:pPr>
            <w:r>
              <w:rPr>
                <w:rFonts w:ascii="Times New Roman" w:hAnsi="Times New Roman" w:eastAsia="Times New Roman"/>
                <w:sz w:val="18"/>
              </w:rPr>
              <w:t>Workbook outputs</w:t>
            </w:r>
          </w:p>
        </w:tc>
        <w:tc>
          <w:tcPr>
            <w:tcW w:type="dxa" w:w="3120"/>
            <w:vAlign w:val="top"/>
          </w:tcPr>
          <w:p>
            <w:pPr>
              <w:spacing w:line="240" w:lineRule="auto"/>
            </w:pPr>
            <w:r>
              <w:rPr>
                <w:rFonts w:ascii="Times New Roman" w:hAnsi="Times New Roman" w:eastAsia="Times New Roman"/>
                <w:sz w:val="18"/>
              </w:rPr>
              <w:t>openpyxl; Microsoft Excel</w:t>
            </w:r>
          </w:p>
        </w:tc>
        <w:tc>
          <w:tcPr>
            <w:tcW w:type="dxa" w:w="3120"/>
            <w:vAlign w:val="top"/>
          </w:tcPr>
          <w:p>
            <w:pPr>
              <w:spacing w:line="240" w:lineRule="auto"/>
            </w:pPr>
            <w:r>
              <w:rPr>
                <w:rFonts w:ascii="Times New Roman" w:hAnsi="Times New Roman" w:eastAsia="Times New Roman"/>
                <w:sz w:val="18"/>
              </w:rPr>
              <w:t>Generating auditable output workbooks and reviewing intermediate results</w:t>
            </w:r>
          </w:p>
        </w:tc>
      </w:tr>
      <w:tr>
        <w:tc>
          <w:tcPr>
            <w:tcW w:type="dxa" w:w="3120"/>
            <w:vAlign w:val="top"/>
          </w:tcPr>
          <w:p>
            <w:pPr>
              <w:spacing w:line="240" w:lineRule="auto"/>
            </w:pPr>
            <w:r>
              <w:rPr>
                <w:rFonts w:ascii="Times New Roman" w:hAnsi="Times New Roman" w:eastAsia="Times New Roman"/>
                <w:sz w:val="18"/>
              </w:rPr>
              <w:t>Manuscript preparation</w:t>
            </w:r>
          </w:p>
        </w:tc>
        <w:tc>
          <w:tcPr>
            <w:tcW w:type="dxa" w:w="3120"/>
            <w:vAlign w:val="top"/>
          </w:tcPr>
          <w:p>
            <w:pPr>
              <w:spacing w:line="240" w:lineRule="auto"/>
            </w:pPr>
            <w:r>
              <w:rPr>
                <w:rFonts w:ascii="Times New Roman" w:hAnsi="Times New Roman" w:eastAsia="Times New Roman"/>
                <w:sz w:val="18"/>
              </w:rPr>
              <w:t>Microsoft Word; LibreOffice; python-docx</w:t>
            </w:r>
          </w:p>
        </w:tc>
        <w:tc>
          <w:tcPr>
            <w:tcW w:type="dxa" w:w="3120"/>
            <w:vAlign w:val="top"/>
          </w:tcPr>
          <w:p>
            <w:pPr>
              <w:spacing w:line="240" w:lineRule="auto"/>
            </w:pPr>
            <w:r>
              <w:rPr>
                <w:rFonts w:ascii="Times New Roman" w:hAnsi="Times New Roman" w:eastAsia="Times New Roman"/>
                <w:sz w:val="18"/>
              </w:rPr>
              <w:t>Editing, formatting, and rendering submission files</w:t>
            </w:r>
          </w:p>
        </w:tc>
      </w:tr>
    </w:tbl>
    <w:p>
      <w:pPr>
        <w:pStyle w:val="Heading2"/>
        <w:spacing w:line="480" w:lineRule="auto"/>
      </w:pPr>
      <w:r>
        <w:rPr>
          <w:rFonts w:ascii="Times New Roman" w:hAnsi="Times New Roman" w:eastAsia="Times New Roman"/>
          <w:b/>
          <w:sz w:val="24"/>
        </w:rPr>
        <w:t>4.3 Baseline specification</w:t>
      </w:r>
    </w:p>
    <w:p>
      <w:pPr>
        <w:spacing w:line="480" w:lineRule="auto"/>
      </w:pPr>
      <w:r>
        <w:rPr>
          <w:rFonts w:ascii="Times New Roman" w:hAnsi="Times New Roman" w:eastAsia="Times New Roman"/>
          <w:b w:val="0"/>
          <w:i w:val="0"/>
          <w:sz w:val="24"/>
        </w:rPr>
        <w:t>The baseline specification estimates military burden as a function of sea-ice decline, energy prices, the post-2022 period, macroeconomic controls, and country fixed effects:</w:t>
      </w:r>
    </w:p>
    <w:p>
      <w:pPr>
        <w:spacing w:line="480" w:lineRule="auto"/>
      </w:pPr>
      <w:r>
        <w:rPr>
          <w:rFonts w:ascii="Times New Roman" w:hAnsi="Times New Roman" w:eastAsia="Times New Roman"/>
          <w:b w:val="0"/>
          <w:i w:val="0"/>
          <w:sz w:val="24"/>
        </w:rPr>
        <w:t>MilitaryBurden_it = alpha_i + beta1 SeaIceDecline_t + beta2 EnergyPrice_t + beta3 Post2022_t + beta4 X_it + epsilon_it</w:t>
      </w:r>
    </w:p>
    <w:p>
      <w:pPr>
        <w:spacing w:line="480" w:lineRule="auto"/>
      </w:pPr>
      <w:r>
        <w:rPr>
          <w:rFonts w:ascii="Times New Roman" w:hAnsi="Times New Roman" w:eastAsia="Times New Roman"/>
          <w:b w:val="0"/>
          <w:i w:val="0"/>
          <w:sz w:val="24"/>
        </w:rPr>
        <w:t>Year fixed effects are not included in the core specification because the central environmental and energy-price variables are common annual shocks across countries. Including year fixed effects would absorb those variables by design. Country fixed effects are included to account for stable cross-national differences such as geography, alliance history, institutional defence structures, and long-term strategic culture. Robustness checks examine alternative samples, lagged environmental and energy variables, alternative dependent variables, and interaction terms involving the post-2022 period.</w:t>
      </w:r>
    </w:p>
    <w:p>
      <w:pPr>
        <w:pStyle w:val="Heading1"/>
        <w:spacing w:line="480" w:lineRule="auto"/>
      </w:pPr>
      <w:r>
        <w:rPr>
          <w:rFonts w:ascii="Times New Roman" w:hAnsi="Times New Roman" w:eastAsia="Times New Roman"/>
          <w:b/>
          <w:sz w:val="24"/>
        </w:rPr>
        <w:t>5. Results</w:t>
      </w:r>
    </w:p>
    <w:p>
      <w:pPr>
        <w:spacing w:line="480" w:lineRule="auto"/>
      </w:pPr>
      <w:r>
        <w:rPr>
          <w:rFonts w:ascii="Times New Roman" w:hAnsi="Times New Roman" w:eastAsia="Times New Roman"/>
          <w:b w:val="0"/>
          <w:i w:val="0"/>
          <w:sz w:val="24"/>
        </w:rPr>
        <w:t>The results are clearer about what they rule out than about what they prove. The direct sea-ice coefficient is small and unstable across the main specifications. This is important because it prevents an over-simple reading of Arctic climate change as an automatic driver of military burden. In contrast, the post-2022 indicator is more consistently positive. This does not mean that the war in Ukraine is the only cause of military-burden change. It does mean that the post-2022 rupture is a stronger empirical marker than annual sea-ice decline in the available panel.</w:t>
      </w:r>
    </w:p>
    <w:p>
      <w:pPr>
        <w:spacing w:line="480" w:lineRule="auto"/>
      </w:pPr>
      <w:r>
        <w:rPr>
          <w:rFonts w:ascii="Times New Roman" w:hAnsi="Times New Roman" w:eastAsia="Times New Roman"/>
          <w:sz w:val="24"/>
        </w:rPr>
        <w:t>This negative result is substantively useful. It prevents the article from turning climate change into an all-purpose explanation. The Arctic has been warming for decades, but military burden does not rise smoothly in response to each annual decline in September sea ice. The discontinuity after 2022 suggests that political interpretation matters. Annual ice conditions may shape the salience of the region, but they do not by themselves determine how governments allocate national-security resources.</w:t>
      </w:r>
    </w:p>
    <w:p>
      <w:pPr>
        <w:spacing w:line="480" w:lineRule="auto"/>
      </w:pPr>
      <w:r>
        <w:rPr>
          <w:rFonts w:ascii="Times New Roman" w:hAnsi="Times New Roman" w:eastAsia="Times New Roman"/>
          <w:sz w:val="24"/>
        </w:rPr>
        <w:t>Table 3 reports the main screening models. These models should be read as exploratory panel evidence, not as a fully identified causal design. Their purpose is to establish whether the central narrative is compatible with the quantitative data. The answer is mixed but useful. The data do not support a direct environmental determinist claim. They do support a more political account in which the post-2022 security rupture matters.</w:t>
      </w:r>
    </w:p>
    <w:p>
      <w:pPr>
        <w:spacing w:line="480" w:lineRule="auto"/>
      </w:pPr>
      <w:r>
        <w:rPr>
          <w:rFonts w:ascii="Times New Roman" w:hAnsi="Times New Roman" w:eastAsia="Times New Roman"/>
          <w:sz w:val="24"/>
        </w:rPr>
        <w:br w:type="page"/>
      </w:r>
    </w:p>
    <w:p>
      <w:pPr>
        <w:spacing w:line="480" w:lineRule="auto"/>
      </w:pPr>
      <w:r>
        <w:rPr>
          <w:rFonts w:ascii="Times New Roman" w:hAnsi="Times New Roman" w:eastAsia="Times New Roman"/>
          <w:b/>
          <w:sz w:val="24"/>
        </w:rPr>
        <w:t>Table 3. Main panel screening models: military burden (% GDP)</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center"/>
          </w:tcPr>
          <w:p>
            <w:pPr>
              <w:spacing w:line="240" w:lineRule="auto"/>
            </w:pPr>
            <w:r>
              <w:rPr>
                <w:rFonts w:ascii="Times New Roman" w:hAnsi="Times New Roman" w:eastAsia="Times New Roman"/>
                <w:b/>
                <w:sz w:val="18"/>
              </w:rPr>
              <w:t>Variable</w:t>
            </w:r>
          </w:p>
        </w:tc>
        <w:tc>
          <w:tcPr>
            <w:tcW w:type="dxa" w:w="1560"/>
            <w:vAlign w:val="center"/>
          </w:tcPr>
          <w:p>
            <w:pPr>
              <w:spacing w:line="240" w:lineRule="auto"/>
            </w:pPr>
            <w:r>
              <w:rPr>
                <w:rFonts w:ascii="Times New Roman" w:hAnsi="Times New Roman" w:eastAsia="Times New Roman"/>
                <w:b/>
                <w:sz w:val="18"/>
              </w:rPr>
              <w:t>Baseline</w:t>
              <w:br/>
              <w:t>Arctic Eight</w:t>
            </w:r>
          </w:p>
        </w:tc>
        <w:tc>
          <w:tcPr>
            <w:tcW w:type="dxa" w:w="1560"/>
            <w:vAlign w:val="center"/>
          </w:tcPr>
          <w:p>
            <w:pPr>
              <w:spacing w:line="240" w:lineRule="auto"/>
            </w:pPr>
            <w:r>
              <w:rPr>
                <w:rFonts w:ascii="Times New Roman" w:hAnsi="Times New Roman" w:eastAsia="Times New Roman"/>
                <w:b/>
                <w:sz w:val="18"/>
              </w:rPr>
              <w:t>Energy interaction</w:t>
              <w:br/>
              <w:t>Arctic Eight</w:t>
            </w:r>
          </w:p>
        </w:tc>
        <w:tc>
          <w:tcPr>
            <w:tcW w:type="dxa" w:w="1560"/>
            <w:vAlign w:val="center"/>
          </w:tcPr>
          <w:p>
            <w:pPr>
              <w:spacing w:line="240" w:lineRule="auto"/>
            </w:pPr>
            <w:r>
              <w:rPr>
                <w:rFonts w:ascii="Times New Roman" w:hAnsi="Times New Roman" w:eastAsia="Times New Roman"/>
                <w:b/>
                <w:sz w:val="18"/>
              </w:rPr>
              <w:t>Lagged env./energy</w:t>
              <w:br/>
              <w:t>Arctic Eight</w:t>
            </w:r>
          </w:p>
        </w:tc>
        <w:tc>
          <w:tcPr>
            <w:tcW w:type="dxa" w:w="1560"/>
            <w:vAlign w:val="center"/>
          </w:tcPr>
          <w:p>
            <w:pPr>
              <w:spacing w:line="240" w:lineRule="auto"/>
            </w:pPr>
            <w:r>
              <w:rPr>
                <w:rFonts w:ascii="Times New Roman" w:hAnsi="Times New Roman" w:eastAsia="Times New Roman"/>
                <w:b/>
                <w:sz w:val="18"/>
              </w:rPr>
              <w:t>Post-2022 x NATO</w:t>
            </w:r>
          </w:p>
        </w:tc>
        <w:tc>
          <w:tcPr>
            <w:tcW w:type="dxa" w:w="1560"/>
            <w:vAlign w:val="center"/>
          </w:tcPr>
          <w:p>
            <w:pPr>
              <w:spacing w:line="240" w:lineRule="auto"/>
            </w:pPr>
            <w:r>
              <w:rPr>
                <w:rFonts w:ascii="Times New Roman" w:hAnsi="Times New Roman" w:eastAsia="Times New Roman"/>
                <w:b/>
                <w:sz w:val="18"/>
              </w:rPr>
              <w:t>Post-2022 x Russia</w:t>
            </w:r>
          </w:p>
        </w:tc>
      </w:tr>
      <w:tr>
        <w:tc>
          <w:tcPr>
            <w:tcW w:type="dxa" w:w="1560"/>
            <w:vAlign w:val="top"/>
          </w:tcPr>
          <w:p>
            <w:pPr>
              <w:spacing w:line="240" w:lineRule="auto"/>
            </w:pPr>
            <w:r>
              <w:rPr>
                <w:rFonts w:ascii="Times New Roman" w:hAnsi="Times New Roman" w:eastAsia="Times New Roman"/>
                <w:sz w:val="18"/>
              </w:rPr>
              <w:t>Sea-ice decline</w:t>
            </w:r>
          </w:p>
        </w:tc>
        <w:tc>
          <w:tcPr>
            <w:tcW w:type="dxa" w:w="1560"/>
            <w:vAlign w:val="top"/>
          </w:tcPr>
          <w:p>
            <w:pPr>
              <w:spacing w:line="240" w:lineRule="auto"/>
            </w:pPr>
            <w:r>
              <w:rPr>
                <w:rFonts w:ascii="Times New Roman" w:hAnsi="Times New Roman" w:eastAsia="Times New Roman"/>
                <w:sz w:val="18"/>
              </w:rPr>
              <w:t>-0.012</w:t>
              <w:br/>
              <w:t>(0.039)</w:t>
            </w:r>
          </w:p>
        </w:tc>
        <w:tc>
          <w:tcPr>
            <w:tcW w:type="dxa" w:w="1560"/>
            <w:vAlign w:val="top"/>
          </w:tcPr>
          <w:p>
            <w:pPr>
              <w:spacing w:line="240" w:lineRule="auto"/>
            </w:pPr>
            <w:r>
              <w:rPr>
                <w:rFonts w:ascii="Times New Roman" w:hAnsi="Times New Roman" w:eastAsia="Times New Roman"/>
                <w:sz w:val="18"/>
              </w:rPr>
              <w:t>0.026</w:t>
              <w:br/>
              <w:t>(0.114)</w:t>
            </w:r>
          </w:p>
        </w:tc>
        <w:tc>
          <w:tcPr>
            <w:tcW w:type="dxa" w:w="1560"/>
            <w:vAlign w:val="top"/>
          </w:tcPr>
          <w:p>
            <w:pPr>
              <w:spacing w:line="240" w:lineRule="auto"/>
            </w:pPr>
            <w:r>
              <w:rPr>
                <w:rFonts w:ascii="Times New Roman" w:hAnsi="Times New Roman" w:eastAsia="Times New Roman"/>
                <w:sz w:val="18"/>
              </w:rPr>
              <w:t>0.026</w:t>
              <w:br/>
              <w:t>(0.112)</w:t>
            </w:r>
          </w:p>
        </w:tc>
        <w:tc>
          <w:tcPr>
            <w:tcW w:type="dxa" w:w="1560"/>
            <w:vAlign w:val="top"/>
          </w:tcPr>
          <w:p>
            <w:pPr>
              <w:spacing w:line="240" w:lineRule="auto"/>
            </w:pPr>
            <w:r>
              <w:rPr>
                <w:rFonts w:ascii="Times New Roman" w:hAnsi="Times New Roman" w:eastAsia="Times New Roman"/>
                <w:sz w:val="18"/>
              </w:rPr>
              <w:t>-0.016</w:t>
              <w:br/>
              <w:t>(0.038)</w:t>
            </w:r>
          </w:p>
        </w:tc>
        <w:tc>
          <w:tcPr>
            <w:tcW w:type="dxa" w:w="1560"/>
            <w:vAlign w:val="top"/>
          </w:tcPr>
          <w:p>
            <w:pPr>
              <w:spacing w:line="240" w:lineRule="auto"/>
            </w:pPr>
            <w:r>
              <w:rPr>
                <w:rFonts w:ascii="Times New Roman" w:hAnsi="Times New Roman" w:eastAsia="Times New Roman"/>
                <w:sz w:val="18"/>
              </w:rPr>
              <w:t>-0.008</w:t>
              <w:br/>
              <w:t>(0.034)</w:t>
            </w:r>
          </w:p>
        </w:tc>
      </w:tr>
      <w:tr>
        <w:tc>
          <w:tcPr>
            <w:tcW w:type="dxa" w:w="1560"/>
            <w:vAlign w:val="top"/>
          </w:tcPr>
          <w:p>
            <w:pPr>
              <w:spacing w:line="240" w:lineRule="auto"/>
            </w:pPr>
            <w:r>
              <w:rPr>
                <w:rFonts w:ascii="Times New Roman" w:hAnsi="Times New Roman" w:eastAsia="Times New Roman"/>
                <w:sz w:val="18"/>
              </w:rPr>
              <w:t>Energy price index</w:t>
            </w:r>
          </w:p>
        </w:tc>
        <w:tc>
          <w:tcPr>
            <w:tcW w:type="dxa" w:w="1560"/>
            <w:vAlign w:val="top"/>
          </w:tcPr>
          <w:p>
            <w:pPr>
              <w:spacing w:line="240" w:lineRule="auto"/>
            </w:pPr>
            <w:r>
              <w:rPr>
                <w:rFonts w:ascii="Times New Roman" w:hAnsi="Times New Roman" w:eastAsia="Times New Roman"/>
                <w:sz w:val="18"/>
              </w:rPr>
              <w:t>-0.001</w:t>
              <w:br/>
              <w:t>(0.001)</w:t>
            </w:r>
          </w:p>
        </w:tc>
        <w:tc>
          <w:tcPr>
            <w:tcW w:type="dxa" w:w="1560"/>
            <w:vAlign w:val="top"/>
          </w:tcPr>
          <w:p>
            <w:pPr>
              <w:spacing w:line="240" w:lineRule="auto"/>
            </w:pPr>
            <w:r>
              <w:rPr>
                <w:rFonts w:ascii="Times New Roman" w:hAnsi="Times New Roman" w:eastAsia="Times New Roman"/>
                <w:sz w:val="18"/>
              </w:rPr>
              <w:t>-0.001</w:t>
              <w:br/>
              <w:t>(0.001)</w:t>
            </w:r>
          </w:p>
        </w:tc>
        <w:tc>
          <w:tcPr>
            <w:tcW w:type="dxa" w:w="1560"/>
            <w:vAlign w:val="top"/>
          </w:tcPr>
          <w:p>
            <w:pPr>
              <w:spacing w:line="240" w:lineRule="auto"/>
            </w:pPr>
            <w:r>
              <w:rPr>
                <w:rFonts w:ascii="Times New Roman" w:hAnsi="Times New Roman" w:eastAsia="Times New Roman"/>
                <w:sz w:val="18"/>
              </w:rPr>
              <w:t>-0.000</w:t>
              <w:br/>
              <w:t>(0.001)</w:t>
            </w:r>
          </w:p>
        </w:tc>
        <w:tc>
          <w:tcPr>
            <w:tcW w:type="dxa" w:w="1560"/>
            <w:vAlign w:val="top"/>
          </w:tcPr>
          <w:p>
            <w:pPr>
              <w:spacing w:line="240" w:lineRule="auto"/>
            </w:pPr>
            <w:r>
              <w:rPr>
                <w:rFonts w:ascii="Times New Roman" w:hAnsi="Times New Roman" w:eastAsia="Times New Roman"/>
                <w:sz w:val="18"/>
              </w:rPr>
              <w:t>-0.001</w:t>
              <w:br/>
              <w:t>(0.001)</w:t>
            </w:r>
          </w:p>
        </w:tc>
        <w:tc>
          <w:tcPr>
            <w:tcW w:type="dxa" w:w="1560"/>
            <w:vAlign w:val="top"/>
          </w:tcPr>
          <w:p>
            <w:pPr>
              <w:spacing w:line="240" w:lineRule="auto"/>
            </w:pPr>
            <w:r>
              <w:rPr>
                <w:rFonts w:ascii="Times New Roman" w:hAnsi="Times New Roman" w:eastAsia="Times New Roman"/>
                <w:sz w:val="18"/>
              </w:rPr>
              <w:t>-0.001</w:t>
              <w:br/>
              <w:t>(0.001)</w:t>
            </w:r>
          </w:p>
        </w:tc>
      </w:tr>
      <w:tr>
        <w:tc>
          <w:tcPr>
            <w:tcW w:type="dxa" w:w="1560"/>
            <w:vAlign w:val="top"/>
          </w:tcPr>
          <w:p>
            <w:pPr>
              <w:spacing w:line="240" w:lineRule="auto"/>
            </w:pPr>
            <w:r>
              <w:rPr>
                <w:rFonts w:ascii="Times New Roman" w:hAnsi="Times New Roman" w:eastAsia="Times New Roman"/>
                <w:sz w:val="18"/>
              </w:rPr>
              <w:t>Post-2022</w:t>
            </w:r>
          </w:p>
        </w:tc>
        <w:tc>
          <w:tcPr>
            <w:tcW w:type="dxa" w:w="1560"/>
            <w:vAlign w:val="top"/>
          </w:tcPr>
          <w:p>
            <w:pPr>
              <w:spacing w:line="240" w:lineRule="auto"/>
            </w:pPr>
            <w:r>
              <w:rPr>
                <w:rFonts w:ascii="Times New Roman" w:hAnsi="Times New Roman" w:eastAsia="Times New Roman"/>
                <w:sz w:val="18"/>
              </w:rPr>
              <w:t>0.377**</w:t>
              <w:br/>
              <w:t>(0.164)</w:t>
            </w:r>
          </w:p>
        </w:tc>
        <w:tc>
          <w:tcPr>
            <w:tcW w:type="dxa" w:w="1560"/>
            <w:vAlign w:val="top"/>
          </w:tcPr>
          <w:p>
            <w:pPr>
              <w:spacing w:line="240" w:lineRule="auto"/>
            </w:pPr>
            <w:r>
              <w:rPr>
                <w:rFonts w:ascii="Times New Roman" w:hAnsi="Times New Roman" w:eastAsia="Times New Roman"/>
                <w:sz w:val="18"/>
              </w:rPr>
              <w:t>0.415*</w:t>
              <w:br/>
              <w:t>(0.233)</w:t>
            </w:r>
          </w:p>
        </w:tc>
        <w:tc>
          <w:tcPr>
            <w:tcW w:type="dxa" w:w="1560"/>
            <w:vAlign w:val="top"/>
          </w:tcPr>
          <w:p>
            <w:pPr>
              <w:spacing w:line="240" w:lineRule="auto"/>
            </w:pPr>
            <w:r>
              <w:rPr>
                <w:rFonts w:ascii="Times New Roman" w:hAnsi="Times New Roman" w:eastAsia="Times New Roman"/>
                <w:sz w:val="18"/>
              </w:rPr>
              <w:t>0.394**</w:t>
              <w:br/>
              <w:t>(0.158)</w:t>
            </w:r>
          </w:p>
        </w:tc>
        <w:tc>
          <w:tcPr>
            <w:tcW w:type="dxa" w:w="1560"/>
            <w:vAlign w:val="top"/>
          </w:tcPr>
          <w:p>
            <w:pPr>
              <w:spacing w:line="240" w:lineRule="auto"/>
            </w:pPr>
            <w:r>
              <w:rPr>
                <w:rFonts w:ascii="Times New Roman" w:hAnsi="Times New Roman" w:eastAsia="Times New Roman"/>
                <w:sz w:val="18"/>
              </w:rPr>
              <w:t>0.245</w:t>
              <w:br/>
              <w:t>(0.202)</w:t>
            </w:r>
          </w:p>
        </w:tc>
        <w:tc>
          <w:tcPr>
            <w:tcW w:type="dxa" w:w="1560"/>
            <w:vAlign w:val="top"/>
          </w:tcPr>
          <w:p>
            <w:pPr>
              <w:spacing w:line="240" w:lineRule="auto"/>
            </w:pPr>
            <w:r>
              <w:rPr>
                <w:rFonts w:ascii="Times New Roman" w:hAnsi="Times New Roman" w:eastAsia="Times New Roman"/>
                <w:sz w:val="18"/>
              </w:rPr>
              <w:t>0.321*</w:t>
              <w:br/>
              <w:t>(0.178)</w:t>
            </w:r>
          </w:p>
        </w:tc>
      </w:tr>
      <w:tr>
        <w:tc>
          <w:tcPr>
            <w:tcW w:type="dxa" w:w="1560"/>
            <w:vAlign w:val="top"/>
          </w:tcPr>
          <w:p>
            <w:pPr>
              <w:spacing w:line="240" w:lineRule="auto"/>
            </w:pPr>
            <w:r>
              <w:rPr>
                <w:rFonts w:ascii="Times New Roman" w:hAnsi="Times New Roman" w:eastAsia="Times New Roman"/>
                <w:sz w:val="18"/>
              </w:rPr>
              <w:t>GDP per capita</w:t>
            </w:r>
          </w:p>
        </w:tc>
        <w:tc>
          <w:tcPr>
            <w:tcW w:type="dxa" w:w="1560"/>
            <w:vAlign w:val="top"/>
          </w:tcPr>
          <w:p>
            <w:pPr>
              <w:spacing w:line="240" w:lineRule="auto"/>
            </w:pPr>
            <w:r>
              <w:rPr>
                <w:rFonts w:ascii="Times New Roman" w:hAnsi="Times New Roman" w:eastAsia="Times New Roman"/>
                <w:sz w:val="18"/>
              </w:rPr>
              <w:t>Included</w:t>
            </w:r>
          </w:p>
        </w:tc>
        <w:tc>
          <w:tcPr>
            <w:tcW w:type="dxa" w:w="1560"/>
            <w:vAlign w:val="top"/>
          </w:tcPr>
          <w:p>
            <w:pPr>
              <w:spacing w:line="240" w:lineRule="auto"/>
            </w:pPr>
            <w:r>
              <w:rPr>
                <w:rFonts w:ascii="Times New Roman" w:hAnsi="Times New Roman" w:eastAsia="Times New Roman"/>
                <w:sz w:val="18"/>
              </w:rPr>
              <w:t>Included</w:t>
            </w:r>
          </w:p>
        </w:tc>
        <w:tc>
          <w:tcPr>
            <w:tcW w:type="dxa" w:w="1560"/>
            <w:vAlign w:val="top"/>
          </w:tcPr>
          <w:p>
            <w:pPr>
              <w:spacing w:line="240" w:lineRule="auto"/>
            </w:pPr>
            <w:r>
              <w:rPr>
                <w:rFonts w:ascii="Times New Roman" w:hAnsi="Times New Roman" w:eastAsia="Times New Roman"/>
                <w:sz w:val="18"/>
              </w:rPr>
              <w:t>Included</w:t>
            </w:r>
          </w:p>
        </w:tc>
        <w:tc>
          <w:tcPr>
            <w:tcW w:type="dxa" w:w="1560"/>
            <w:vAlign w:val="top"/>
          </w:tcPr>
          <w:p>
            <w:pPr>
              <w:spacing w:line="240" w:lineRule="auto"/>
            </w:pPr>
            <w:r>
              <w:rPr>
                <w:rFonts w:ascii="Times New Roman" w:hAnsi="Times New Roman" w:eastAsia="Times New Roman"/>
                <w:sz w:val="18"/>
              </w:rPr>
              <w:t>Included</w:t>
            </w:r>
          </w:p>
        </w:tc>
        <w:tc>
          <w:tcPr>
            <w:tcW w:type="dxa" w:w="1560"/>
            <w:vAlign w:val="top"/>
          </w:tcPr>
          <w:p>
            <w:pPr>
              <w:spacing w:line="240" w:lineRule="auto"/>
            </w:pPr>
            <w:r>
              <w:rPr>
                <w:rFonts w:ascii="Times New Roman" w:hAnsi="Times New Roman" w:eastAsia="Times New Roman"/>
                <w:sz w:val="18"/>
              </w:rPr>
              <w:t>Included</w:t>
            </w:r>
          </w:p>
        </w:tc>
      </w:tr>
      <w:tr>
        <w:tc>
          <w:tcPr>
            <w:tcW w:type="dxa" w:w="1560"/>
            <w:vAlign w:val="top"/>
          </w:tcPr>
          <w:p>
            <w:pPr>
              <w:spacing w:line="240" w:lineRule="auto"/>
            </w:pPr>
            <w:r>
              <w:rPr>
                <w:rFonts w:ascii="Times New Roman" w:hAnsi="Times New Roman" w:eastAsia="Times New Roman"/>
                <w:sz w:val="18"/>
              </w:rPr>
              <w:t>Country fixed effects</w:t>
            </w:r>
          </w:p>
        </w:tc>
        <w:tc>
          <w:tcPr>
            <w:tcW w:type="dxa" w:w="1560"/>
            <w:vAlign w:val="top"/>
          </w:tcPr>
          <w:p>
            <w:pPr>
              <w:spacing w:line="240" w:lineRule="auto"/>
            </w:pPr>
            <w:r>
              <w:rPr>
                <w:rFonts w:ascii="Times New Roman" w:hAnsi="Times New Roman" w:eastAsia="Times New Roman"/>
                <w:sz w:val="18"/>
              </w:rPr>
              <w:t>Yes</w:t>
            </w:r>
          </w:p>
        </w:tc>
        <w:tc>
          <w:tcPr>
            <w:tcW w:type="dxa" w:w="1560"/>
            <w:vAlign w:val="top"/>
          </w:tcPr>
          <w:p>
            <w:pPr>
              <w:spacing w:line="240" w:lineRule="auto"/>
            </w:pPr>
            <w:r>
              <w:rPr>
                <w:rFonts w:ascii="Times New Roman" w:hAnsi="Times New Roman" w:eastAsia="Times New Roman"/>
                <w:sz w:val="18"/>
              </w:rPr>
              <w:t>Yes</w:t>
            </w:r>
          </w:p>
        </w:tc>
        <w:tc>
          <w:tcPr>
            <w:tcW w:type="dxa" w:w="1560"/>
            <w:vAlign w:val="top"/>
          </w:tcPr>
          <w:p>
            <w:pPr>
              <w:spacing w:line="240" w:lineRule="auto"/>
            </w:pPr>
            <w:r>
              <w:rPr>
                <w:rFonts w:ascii="Times New Roman" w:hAnsi="Times New Roman" w:eastAsia="Times New Roman"/>
                <w:sz w:val="18"/>
              </w:rPr>
              <w:t>Yes</w:t>
            </w:r>
          </w:p>
        </w:tc>
        <w:tc>
          <w:tcPr>
            <w:tcW w:type="dxa" w:w="1560"/>
            <w:vAlign w:val="top"/>
          </w:tcPr>
          <w:p>
            <w:pPr>
              <w:spacing w:line="240" w:lineRule="auto"/>
            </w:pPr>
            <w:r>
              <w:rPr>
                <w:rFonts w:ascii="Times New Roman" w:hAnsi="Times New Roman" w:eastAsia="Times New Roman"/>
                <w:sz w:val="18"/>
              </w:rPr>
              <w:t>Yes</w:t>
            </w:r>
          </w:p>
        </w:tc>
        <w:tc>
          <w:tcPr>
            <w:tcW w:type="dxa" w:w="1560"/>
            <w:vAlign w:val="top"/>
          </w:tcPr>
          <w:p>
            <w:pPr>
              <w:spacing w:line="240" w:lineRule="auto"/>
            </w:pPr>
            <w:r>
              <w:rPr>
                <w:rFonts w:ascii="Times New Roman" w:hAnsi="Times New Roman" w:eastAsia="Times New Roman"/>
                <w:sz w:val="18"/>
              </w:rPr>
              <w:t>Yes</w:t>
            </w:r>
          </w:p>
        </w:tc>
      </w:tr>
      <w:tr>
        <w:tc>
          <w:tcPr>
            <w:tcW w:type="dxa" w:w="1560"/>
            <w:vAlign w:val="top"/>
          </w:tcPr>
          <w:p>
            <w:pPr>
              <w:spacing w:line="240" w:lineRule="auto"/>
            </w:pPr>
            <w:r>
              <w:rPr>
                <w:rFonts w:ascii="Times New Roman" w:hAnsi="Times New Roman" w:eastAsia="Times New Roman"/>
                <w:sz w:val="18"/>
              </w:rPr>
              <w:t>N</w:t>
            </w:r>
          </w:p>
        </w:tc>
        <w:tc>
          <w:tcPr>
            <w:tcW w:type="dxa" w:w="1560"/>
            <w:vAlign w:val="top"/>
          </w:tcPr>
          <w:p>
            <w:pPr>
              <w:spacing w:line="240" w:lineRule="auto"/>
            </w:pPr>
            <w:r>
              <w:rPr>
                <w:rFonts w:ascii="Times New Roman" w:hAnsi="Times New Roman" w:eastAsia="Times New Roman"/>
                <w:sz w:val="18"/>
              </w:rPr>
              <w:t>200</w:t>
            </w:r>
          </w:p>
        </w:tc>
        <w:tc>
          <w:tcPr>
            <w:tcW w:type="dxa" w:w="1560"/>
            <w:vAlign w:val="top"/>
          </w:tcPr>
          <w:p>
            <w:pPr>
              <w:spacing w:line="240" w:lineRule="auto"/>
            </w:pPr>
            <w:r>
              <w:rPr>
                <w:rFonts w:ascii="Times New Roman" w:hAnsi="Times New Roman" w:eastAsia="Times New Roman"/>
                <w:sz w:val="18"/>
              </w:rPr>
              <w:t>200</w:t>
            </w:r>
          </w:p>
        </w:tc>
        <w:tc>
          <w:tcPr>
            <w:tcW w:type="dxa" w:w="1560"/>
            <w:vAlign w:val="top"/>
          </w:tcPr>
          <w:p>
            <w:pPr>
              <w:spacing w:line="240" w:lineRule="auto"/>
            </w:pPr>
            <w:r>
              <w:rPr>
                <w:rFonts w:ascii="Times New Roman" w:hAnsi="Times New Roman" w:eastAsia="Times New Roman"/>
                <w:sz w:val="18"/>
              </w:rPr>
              <w:t>192</w:t>
            </w:r>
          </w:p>
        </w:tc>
        <w:tc>
          <w:tcPr>
            <w:tcW w:type="dxa" w:w="1560"/>
            <w:vAlign w:val="top"/>
          </w:tcPr>
          <w:p>
            <w:pPr>
              <w:spacing w:line="240" w:lineRule="auto"/>
            </w:pPr>
            <w:r>
              <w:rPr>
                <w:rFonts w:ascii="Times New Roman" w:hAnsi="Times New Roman" w:eastAsia="Times New Roman"/>
                <w:sz w:val="18"/>
              </w:rPr>
              <w:t>200</w:t>
            </w:r>
          </w:p>
        </w:tc>
        <w:tc>
          <w:tcPr>
            <w:tcW w:type="dxa" w:w="1560"/>
            <w:vAlign w:val="top"/>
          </w:tcPr>
          <w:p>
            <w:pPr>
              <w:spacing w:line="240" w:lineRule="auto"/>
            </w:pPr>
            <w:r>
              <w:rPr>
                <w:rFonts w:ascii="Times New Roman" w:hAnsi="Times New Roman" w:eastAsia="Times New Roman"/>
                <w:sz w:val="18"/>
              </w:rPr>
              <w:t>200</w:t>
            </w:r>
          </w:p>
        </w:tc>
      </w:tr>
      <w:tr>
        <w:tc>
          <w:tcPr>
            <w:tcW w:type="dxa" w:w="1560"/>
            <w:vAlign w:val="top"/>
          </w:tcPr>
          <w:p>
            <w:pPr>
              <w:spacing w:line="240" w:lineRule="auto"/>
            </w:pPr>
            <w:r>
              <w:rPr>
                <w:rFonts w:ascii="Times New Roman" w:hAnsi="Times New Roman" w:eastAsia="Times New Roman"/>
                <w:sz w:val="18"/>
              </w:rPr>
              <w:t>R-squared</w:t>
            </w:r>
          </w:p>
        </w:tc>
        <w:tc>
          <w:tcPr>
            <w:tcW w:type="dxa" w:w="1560"/>
            <w:vAlign w:val="top"/>
          </w:tcPr>
          <w:p>
            <w:pPr>
              <w:spacing w:line="240" w:lineRule="auto"/>
            </w:pPr>
            <w:r>
              <w:rPr>
                <w:rFonts w:ascii="Times New Roman" w:hAnsi="Times New Roman" w:eastAsia="Times New Roman"/>
                <w:sz w:val="18"/>
              </w:rPr>
              <w:t>0.91</w:t>
            </w:r>
          </w:p>
        </w:tc>
        <w:tc>
          <w:tcPr>
            <w:tcW w:type="dxa" w:w="1560"/>
            <w:vAlign w:val="top"/>
          </w:tcPr>
          <w:p>
            <w:pPr>
              <w:spacing w:line="240" w:lineRule="auto"/>
            </w:pPr>
            <w:r>
              <w:rPr>
                <w:rFonts w:ascii="Times New Roman" w:hAnsi="Times New Roman" w:eastAsia="Times New Roman"/>
                <w:sz w:val="18"/>
              </w:rPr>
              <w:t>0.91</w:t>
            </w:r>
          </w:p>
        </w:tc>
        <w:tc>
          <w:tcPr>
            <w:tcW w:type="dxa" w:w="1560"/>
            <w:vAlign w:val="top"/>
          </w:tcPr>
          <w:p>
            <w:pPr>
              <w:spacing w:line="240" w:lineRule="auto"/>
            </w:pPr>
            <w:r>
              <w:rPr>
                <w:rFonts w:ascii="Times New Roman" w:hAnsi="Times New Roman" w:eastAsia="Times New Roman"/>
                <w:sz w:val="18"/>
              </w:rPr>
              <w:t>0.91</w:t>
            </w:r>
          </w:p>
        </w:tc>
        <w:tc>
          <w:tcPr>
            <w:tcW w:type="dxa" w:w="1560"/>
            <w:vAlign w:val="top"/>
          </w:tcPr>
          <w:p>
            <w:pPr>
              <w:spacing w:line="240" w:lineRule="auto"/>
            </w:pPr>
            <w:r>
              <w:rPr>
                <w:rFonts w:ascii="Times New Roman" w:hAnsi="Times New Roman" w:eastAsia="Times New Roman"/>
                <w:sz w:val="18"/>
              </w:rPr>
              <w:t>0.91</w:t>
            </w:r>
          </w:p>
        </w:tc>
        <w:tc>
          <w:tcPr>
            <w:tcW w:type="dxa" w:w="1560"/>
            <w:vAlign w:val="top"/>
          </w:tcPr>
          <w:p>
            <w:pPr>
              <w:spacing w:line="240" w:lineRule="auto"/>
            </w:pPr>
            <w:r>
              <w:rPr>
                <w:rFonts w:ascii="Times New Roman" w:hAnsi="Times New Roman" w:eastAsia="Times New Roman"/>
                <w:sz w:val="18"/>
              </w:rPr>
              <w:t>0.92</w:t>
            </w:r>
          </w:p>
        </w:tc>
      </w:tr>
    </w:tbl>
    <w:p>
      <w:pPr>
        <w:spacing w:line="480" w:lineRule="auto"/>
      </w:pPr>
      <w:r>
        <w:rPr>
          <w:rFonts w:ascii="Times New Roman" w:hAnsi="Times New Roman" w:eastAsia="Times New Roman"/>
          <w:b w:val="0"/>
          <w:i w:val="0"/>
          <w:sz w:val="24"/>
        </w:rPr>
        <w:t>Note: Standard errors in parentheses. These are screening models used to assess empirical patterns. They should not be read as a fully identified causal design.</w:t>
      </w:r>
    </w:p>
    <w:p>
      <w:pPr>
        <w:pStyle w:val="Heading2"/>
        <w:spacing w:line="480" w:lineRule="auto"/>
      </w:pPr>
      <w:r>
        <w:rPr>
          <w:rFonts w:ascii="Times New Roman" w:hAnsi="Times New Roman" w:eastAsia="Times New Roman"/>
          <w:b/>
          <w:sz w:val="24"/>
        </w:rPr>
        <w:t>5.1 Robustness checks</w:t>
      </w:r>
    </w:p>
    <w:p>
      <w:pPr>
        <w:spacing w:line="480" w:lineRule="auto"/>
      </w:pPr>
      <w:r>
        <w:rPr>
          <w:rFonts w:ascii="Times New Roman" w:hAnsi="Times New Roman" w:eastAsia="Times New Roman"/>
          <w:b w:val="0"/>
          <w:i w:val="0"/>
          <w:sz w:val="24"/>
        </w:rPr>
        <w:t>The robustness checks ask whether the post-2022 pattern is driven by a single unusual case. Excluding Iceland addresses its unusual defence structure, because Iceland is a NATO member without a standing army. Excluding Russia tests whether the results simply reflect Russia’s own defence burden. Coastal Five and NATO-only models test whether the pattern is concentrated among the states most directly connected to Arctic maritime geography and alliance structures. The results do not collapse under these checks, although the size of the post-2022 coefficient varies.</w:t>
      </w:r>
    </w:p>
    <w:p>
      <w:pPr>
        <w:spacing w:line="480" w:lineRule="auto"/>
      </w:pPr>
      <w:r>
        <w:rPr>
          <w:rFonts w:ascii="Times New Roman" w:hAnsi="Times New Roman" w:eastAsia="Times New Roman"/>
          <w:sz w:val="24"/>
        </w:rPr>
        <w:t>The robustness results also show why the article avoids a single-case interpretation. Russia matters, Iceland is unusual, and the coastal states are more directly exposed to Arctic maritime geography. Yet no single adjustment makes the post-2022 pattern disappear. This does not establish causality, but it strengthens the claim that the shift is not merely an artefact of one country or one modelling choice.</w:t>
      </w:r>
    </w:p>
    <w:p>
      <w:pPr>
        <w:spacing w:line="480" w:lineRule="auto"/>
      </w:pPr>
      <w:r>
        <w:rPr>
          <w:rFonts w:ascii="Times New Roman" w:hAnsi="Times New Roman" w:eastAsia="Times New Roman"/>
          <w:sz w:val="24"/>
        </w:rPr>
        <w:br w:type="page"/>
      </w:r>
    </w:p>
    <w:p>
      <w:pPr>
        <w:spacing w:line="480" w:lineRule="auto"/>
      </w:pPr>
      <w:r>
        <w:rPr>
          <w:rFonts w:ascii="Times New Roman" w:hAnsi="Times New Roman" w:eastAsia="Times New Roman"/>
          <w:b/>
          <w:sz w:val="24"/>
        </w:rPr>
        <w:t>Table 4. Robustness checks: selected samples and specifications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p>
            <w:pPr>
              <w:spacing w:line="240" w:lineRule="auto"/>
            </w:pPr>
            <w:r>
              <w:rPr>
                <w:rFonts w:ascii="Times New Roman" w:hAnsi="Times New Roman" w:eastAsia="Times New Roman"/>
                <w:b/>
                <w:sz w:val="18"/>
              </w:rPr>
              <w:t>Model</w:t>
            </w:r>
          </w:p>
        </w:tc>
        <w:tc>
          <w:tcPr/>
          <w:p>
            <w:pPr>
              <w:spacing w:line="240" w:lineRule="auto"/>
            </w:pPr>
            <w:r>
              <w:rPr>
                <w:rFonts w:ascii="Times New Roman" w:hAnsi="Times New Roman" w:eastAsia="Times New Roman"/>
                <w:b/>
                <w:sz w:val="18"/>
              </w:rPr>
              <w:t>Sample / specification</w:t>
            </w:r>
          </w:p>
        </w:tc>
        <w:tc>
          <w:tcPr/>
          <w:p>
            <w:pPr>
              <w:spacing w:line="240" w:lineRule="auto"/>
            </w:pPr>
            <w:r>
              <w:rPr>
                <w:rFonts w:ascii="Times New Roman" w:hAnsi="Times New Roman" w:eastAsia="Times New Roman"/>
                <w:b/>
                <w:sz w:val="18"/>
              </w:rPr>
              <w:t>N</w:t>
            </w:r>
          </w:p>
        </w:tc>
        <w:tc>
          <w:tcPr/>
          <w:p>
            <w:pPr>
              <w:spacing w:line="240" w:lineRule="auto"/>
            </w:pPr>
            <w:r>
              <w:rPr>
                <w:rFonts w:ascii="Times New Roman" w:hAnsi="Times New Roman" w:eastAsia="Times New Roman"/>
                <w:b/>
                <w:sz w:val="18"/>
              </w:rPr>
              <w:t>Key purpose</w:t>
            </w:r>
          </w:p>
        </w:tc>
        <w:tc>
          <w:tcPr/>
          <w:p>
            <w:pPr>
              <w:spacing w:line="240" w:lineRule="auto"/>
            </w:pPr>
            <w:r>
              <w:rPr>
                <w:rFonts w:ascii="Times New Roman" w:hAnsi="Times New Roman" w:eastAsia="Times New Roman"/>
                <w:b/>
                <w:sz w:val="18"/>
              </w:rPr>
              <w:t>Preliminary interpretation</w:t>
            </w:r>
          </w:p>
        </w:tc>
      </w:tr>
      <w:tr>
        <w:tc>
          <w:tcPr/>
          <w:p>
            <w:pPr>
              <w:spacing w:line="240" w:lineRule="auto"/>
            </w:pPr>
            <w:r>
              <w:rPr>
                <w:rFonts w:ascii="Times New Roman" w:hAnsi="Times New Roman" w:eastAsia="Times New Roman"/>
                <w:b w:val="0"/>
                <w:sz w:val="18"/>
              </w:rPr>
              <w:t>R3</w:t>
            </w:r>
          </w:p>
        </w:tc>
        <w:tc>
          <w:tcPr/>
          <w:p>
            <w:pPr>
              <w:spacing w:line="240" w:lineRule="auto"/>
            </w:pPr>
            <w:r>
              <w:rPr>
                <w:rFonts w:ascii="Times New Roman" w:hAnsi="Times New Roman" w:eastAsia="Times New Roman"/>
                <w:b w:val="0"/>
                <w:sz w:val="18"/>
              </w:rPr>
              <w:t>Iceland excluded</w:t>
            </w:r>
          </w:p>
        </w:tc>
        <w:tc>
          <w:tcPr/>
          <w:p>
            <w:pPr>
              <w:spacing w:line="240" w:lineRule="auto"/>
            </w:pPr>
            <w:r>
              <w:rPr>
                <w:rFonts w:ascii="Times New Roman" w:hAnsi="Times New Roman" w:eastAsia="Times New Roman"/>
                <w:b w:val="0"/>
                <w:sz w:val="18"/>
              </w:rPr>
              <w:t>175</w:t>
            </w:r>
          </w:p>
        </w:tc>
        <w:tc>
          <w:tcPr/>
          <w:p>
            <w:pPr>
              <w:spacing w:line="240" w:lineRule="auto"/>
            </w:pPr>
            <w:r>
              <w:rPr>
                <w:rFonts w:ascii="Times New Roman" w:hAnsi="Times New Roman" w:eastAsia="Times New Roman"/>
                <w:b w:val="0"/>
                <w:sz w:val="18"/>
              </w:rPr>
              <w:t>Tests whether Iceland no-standing-army status drives results.</w:t>
            </w:r>
          </w:p>
        </w:tc>
        <w:tc>
          <w:tcPr/>
          <w:p>
            <w:pPr>
              <w:spacing w:line="240" w:lineRule="auto"/>
            </w:pPr>
            <w:r>
              <w:rPr>
                <w:rFonts w:ascii="Times New Roman" w:hAnsi="Times New Roman" w:eastAsia="Times New Roman"/>
                <w:b w:val="0"/>
                <w:sz w:val="18"/>
              </w:rPr>
              <w:t>Post-2022 remains positive; Iceland exclusion does not remove the pattern.</w:t>
            </w:r>
          </w:p>
        </w:tc>
      </w:tr>
      <w:tr>
        <w:tc>
          <w:tcPr/>
          <w:p>
            <w:pPr>
              <w:spacing w:line="240" w:lineRule="auto"/>
            </w:pPr>
            <w:r>
              <w:rPr>
                <w:rFonts w:ascii="Times New Roman" w:hAnsi="Times New Roman" w:eastAsia="Times New Roman"/>
                <w:b w:val="0"/>
                <w:sz w:val="18"/>
              </w:rPr>
              <w:t>R4</w:t>
            </w:r>
          </w:p>
        </w:tc>
        <w:tc>
          <w:tcPr/>
          <w:p>
            <w:pPr>
              <w:spacing w:line="240" w:lineRule="auto"/>
            </w:pPr>
            <w:r>
              <w:rPr>
                <w:rFonts w:ascii="Times New Roman" w:hAnsi="Times New Roman" w:eastAsia="Times New Roman"/>
                <w:b w:val="0"/>
                <w:sz w:val="18"/>
              </w:rPr>
              <w:t>Russia excluded</w:t>
            </w:r>
          </w:p>
        </w:tc>
        <w:tc>
          <w:tcPr/>
          <w:p>
            <w:pPr>
              <w:spacing w:line="240" w:lineRule="auto"/>
            </w:pPr>
            <w:r>
              <w:rPr>
                <w:rFonts w:ascii="Times New Roman" w:hAnsi="Times New Roman" w:eastAsia="Times New Roman"/>
                <w:b w:val="0"/>
                <w:sz w:val="18"/>
              </w:rPr>
              <w:t>175</w:t>
            </w:r>
          </w:p>
        </w:tc>
        <w:tc>
          <w:tcPr/>
          <w:p>
            <w:pPr>
              <w:spacing w:line="240" w:lineRule="auto"/>
            </w:pPr>
            <w:r>
              <w:rPr>
                <w:rFonts w:ascii="Times New Roman" w:hAnsi="Times New Roman" w:eastAsia="Times New Roman"/>
                <w:b w:val="0"/>
                <w:sz w:val="18"/>
              </w:rPr>
              <w:t>Tests whether Russia drives the pattern.</w:t>
            </w:r>
          </w:p>
        </w:tc>
        <w:tc>
          <w:tcPr/>
          <w:p>
            <w:pPr>
              <w:spacing w:line="240" w:lineRule="auto"/>
            </w:pPr>
            <w:r>
              <w:rPr>
                <w:rFonts w:ascii="Times New Roman" w:hAnsi="Times New Roman" w:eastAsia="Times New Roman"/>
                <w:b w:val="0"/>
                <w:sz w:val="18"/>
              </w:rPr>
              <w:t>Post-2022 remains positive but smaller; Russia is important but not the whole story.</w:t>
            </w:r>
          </w:p>
        </w:tc>
      </w:tr>
      <w:tr>
        <w:tc>
          <w:tcPr/>
          <w:p>
            <w:pPr>
              <w:spacing w:line="240" w:lineRule="auto"/>
            </w:pPr>
            <w:r>
              <w:rPr>
                <w:rFonts w:ascii="Times New Roman" w:hAnsi="Times New Roman" w:eastAsia="Times New Roman"/>
                <w:b w:val="0"/>
                <w:sz w:val="18"/>
              </w:rPr>
              <w:t>R5</w:t>
            </w:r>
          </w:p>
        </w:tc>
        <w:tc>
          <w:tcPr/>
          <w:p>
            <w:pPr>
              <w:spacing w:line="240" w:lineRule="auto"/>
            </w:pPr>
            <w:r>
              <w:rPr>
                <w:rFonts w:ascii="Times New Roman" w:hAnsi="Times New Roman" w:eastAsia="Times New Roman"/>
                <w:b w:val="0"/>
                <w:sz w:val="18"/>
              </w:rPr>
              <w:t>Coastal Five only</w:t>
            </w:r>
          </w:p>
        </w:tc>
        <w:tc>
          <w:tcPr/>
          <w:p>
            <w:pPr>
              <w:spacing w:line="240" w:lineRule="auto"/>
            </w:pPr>
            <w:r>
              <w:rPr>
                <w:rFonts w:ascii="Times New Roman" w:hAnsi="Times New Roman" w:eastAsia="Times New Roman"/>
                <w:b w:val="0"/>
                <w:sz w:val="18"/>
              </w:rPr>
              <w:t>125</w:t>
            </w:r>
          </w:p>
        </w:tc>
        <w:tc>
          <w:tcPr/>
          <w:p>
            <w:pPr>
              <w:spacing w:line="240" w:lineRule="auto"/>
            </w:pPr>
            <w:r>
              <w:rPr>
                <w:rFonts w:ascii="Times New Roman" w:hAnsi="Times New Roman" w:eastAsia="Times New Roman"/>
                <w:b w:val="0"/>
                <w:sz w:val="18"/>
              </w:rPr>
              <w:t>Tests Arctic coastal states separately.</w:t>
            </w:r>
          </w:p>
        </w:tc>
        <w:tc>
          <w:tcPr/>
          <w:p>
            <w:pPr>
              <w:spacing w:line="240" w:lineRule="auto"/>
            </w:pPr>
            <w:r>
              <w:rPr>
                <w:rFonts w:ascii="Times New Roman" w:hAnsi="Times New Roman" w:eastAsia="Times New Roman"/>
                <w:b w:val="0"/>
                <w:sz w:val="18"/>
              </w:rPr>
              <w:t>Pattern remains visible but the sample is smaller.</w:t>
            </w:r>
          </w:p>
        </w:tc>
      </w:tr>
      <w:tr>
        <w:tc>
          <w:tcPr/>
          <w:p>
            <w:pPr>
              <w:spacing w:line="240" w:lineRule="auto"/>
            </w:pPr>
            <w:r>
              <w:rPr>
                <w:rFonts w:ascii="Times New Roman" w:hAnsi="Times New Roman" w:eastAsia="Times New Roman"/>
                <w:b w:val="0"/>
                <w:sz w:val="18"/>
              </w:rPr>
              <w:t>R6</w:t>
            </w:r>
          </w:p>
        </w:tc>
        <w:tc>
          <w:tcPr/>
          <w:p>
            <w:pPr>
              <w:spacing w:line="240" w:lineRule="auto"/>
            </w:pPr>
            <w:r>
              <w:rPr>
                <w:rFonts w:ascii="Times New Roman" w:hAnsi="Times New Roman" w:eastAsia="Times New Roman"/>
                <w:b w:val="0"/>
                <w:sz w:val="18"/>
              </w:rPr>
              <w:t>NATO states only</w:t>
            </w:r>
          </w:p>
        </w:tc>
        <w:tc>
          <w:tcPr/>
          <w:p>
            <w:pPr>
              <w:spacing w:line="240" w:lineRule="auto"/>
            </w:pPr>
            <w:r>
              <w:rPr>
                <w:rFonts w:ascii="Times New Roman" w:hAnsi="Times New Roman" w:eastAsia="Times New Roman"/>
                <w:b w:val="0"/>
                <w:sz w:val="18"/>
              </w:rPr>
              <w:t>175</w:t>
            </w:r>
          </w:p>
        </w:tc>
        <w:tc>
          <w:tcPr/>
          <w:p>
            <w:pPr>
              <w:spacing w:line="240" w:lineRule="auto"/>
            </w:pPr>
            <w:r>
              <w:rPr>
                <w:rFonts w:ascii="Times New Roman" w:hAnsi="Times New Roman" w:eastAsia="Times New Roman"/>
                <w:b w:val="0"/>
                <w:sz w:val="18"/>
              </w:rPr>
              <w:t>Tests alliance space without Russia.</w:t>
            </w:r>
          </w:p>
        </w:tc>
        <w:tc>
          <w:tcPr/>
          <w:p>
            <w:pPr>
              <w:spacing w:line="240" w:lineRule="auto"/>
            </w:pPr>
            <w:r>
              <w:rPr>
                <w:rFonts w:ascii="Times New Roman" w:hAnsi="Times New Roman" w:eastAsia="Times New Roman"/>
                <w:b w:val="0"/>
                <w:sz w:val="18"/>
              </w:rPr>
              <w:t>Post-2022 remains relevant in NATO sample.</w:t>
            </w:r>
          </w:p>
        </w:tc>
      </w:tr>
      <w:tr>
        <w:tc>
          <w:tcPr/>
          <w:p>
            <w:pPr>
              <w:spacing w:line="240" w:lineRule="auto"/>
            </w:pPr>
            <w:r>
              <w:rPr>
                <w:rFonts w:ascii="Times New Roman" w:hAnsi="Times New Roman" w:eastAsia="Times New Roman"/>
                <w:b w:val="0"/>
                <w:sz w:val="18"/>
              </w:rPr>
              <w:t>R7</w:t>
            </w:r>
          </w:p>
        </w:tc>
        <w:tc>
          <w:tcPr/>
          <w:p>
            <w:pPr>
              <w:spacing w:line="240" w:lineRule="auto"/>
            </w:pPr>
            <w:r>
              <w:rPr>
                <w:rFonts w:ascii="Times New Roman" w:hAnsi="Times New Roman" w:eastAsia="Times New Roman"/>
                <w:b w:val="0"/>
                <w:sz w:val="18"/>
              </w:rPr>
              <w:t>Pre-2022 only</w:t>
            </w:r>
          </w:p>
        </w:tc>
        <w:tc>
          <w:tcPr/>
          <w:p>
            <w:pPr>
              <w:spacing w:line="240" w:lineRule="auto"/>
            </w:pPr>
            <w:r>
              <w:rPr>
                <w:rFonts w:ascii="Times New Roman" w:hAnsi="Times New Roman" w:eastAsia="Times New Roman"/>
                <w:b w:val="0"/>
                <w:sz w:val="18"/>
              </w:rPr>
              <w:t>176</w:t>
            </w:r>
          </w:p>
        </w:tc>
        <w:tc>
          <w:tcPr/>
          <w:p>
            <w:pPr>
              <w:spacing w:line="240" w:lineRule="auto"/>
            </w:pPr>
            <w:r>
              <w:rPr>
                <w:rFonts w:ascii="Times New Roman" w:hAnsi="Times New Roman" w:eastAsia="Times New Roman"/>
                <w:b w:val="0"/>
                <w:sz w:val="18"/>
              </w:rPr>
              <w:t>Checks whether earlier period has same structure.</w:t>
            </w:r>
          </w:p>
        </w:tc>
        <w:tc>
          <w:tcPr/>
          <w:p>
            <w:pPr>
              <w:spacing w:line="240" w:lineRule="auto"/>
            </w:pPr>
            <w:r>
              <w:rPr>
                <w:rFonts w:ascii="Times New Roman" w:hAnsi="Times New Roman" w:eastAsia="Times New Roman"/>
                <w:b w:val="0"/>
                <w:sz w:val="18"/>
              </w:rPr>
              <w:t>No equivalent post-2022 effect by construction; sea-ice effect remains weak.</w:t>
            </w:r>
          </w:p>
        </w:tc>
      </w:tr>
      <w:tr>
        <w:tc>
          <w:tcPr/>
          <w:p>
            <w:pPr>
              <w:spacing w:line="240" w:lineRule="auto"/>
            </w:pPr>
            <w:r>
              <w:rPr>
                <w:rFonts w:ascii="Times New Roman" w:hAnsi="Times New Roman" w:eastAsia="Times New Roman"/>
                <w:b w:val="0"/>
                <w:sz w:val="18"/>
              </w:rPr>
              <w:t>R8</w:t>
            </w:r>
          </w:p>
        </w:tc>
        <w:tc>
          <w:tcPr/>
          <w:p>
            <w:pPr>
              <w:spacing w:line="240" w:lineRule="auto"/>
            </w:pPr>
            <w:r>
              <w:rPr>
                <w:rFonts w:ascii="Times New Roman" w:hAnsi="Times New Roman" w:eastAsia="Times New Roman"/>
                <w:b w:val="0"/>
                <w:sz w:val="18"/>
              </w:rPr>
              <w:t>Post-2022 only</w:t>
            </w:r>
          </w:p>
        </w:tc>
        <w:tc>
          <w:tcPr/>
          <w:p>
            <w:pPr>
              <w:spacing w:line="240" w:lineRule="auto"/>
            </w:pPr>
            <w:r>
              <w:rPr>
                <w:rFonts w:ascii="Times New Roman" w:hAnsi="Times New Roman" w:eastAsia="Times New Roman"/>
                <w:b w:val="0"/>
                <w:sz w:val="18"/>
              </w:rPr>
              <w:t>24</w:t>
            </w:r>
          </w:p>
        </w:tc>
        <w:tc>
          <w:tcPr/>
          <w:p>
            <w:pPr>
              <w:spacing w:line="240" w:lineRule="auto"/>
            </w:pPr>
            <w:r>
              <w:rPr>
                <w:rFonts w:ascii="Times New Roman" w:hAnsi="Times New Roman" w:eastAsia="Times New Roman"/>
                <w:b w:val="0"/>
                <w:sz w:val="18"/>
              </w:rPr>
              <w:t>Explores recent period only.</w:t>
            </w:r>
          </w:p>
        </w:tc>
        <w:tc>
          <w:tcPr/>
          <w:p>
            <w:pPr>
              <w:spacing w:line="240" w:lineRule="auto"/>
            </w:pPr>
            <w:r>
              <w:rPr>
                <w:rFonts w:ascii="Times New Roman" w:hAnsi="Times New Roman" w:eastAsia="Times New Roman"/>
                <w:b w:val="0"/>
                <w:sz w:val="18"/>
              </w:rPr>
              <w:t>Too small for strong inference; useful only as descriptive evidence.</w:t>
            </w:r>
          </w:p>
        </w:tc>
      </w:tr>
      <w:tr>
        <w:tc>
          <w:tcPr/>
          <w:p>
            <w:pPr>
              <w:spacing w:line="240" w:lineRule="auto"/>
            </w:pPr>
            <w:r>
              <w:rPr>
                <w:rFonts w:ascii="Times New Roman" w:hAnsi="Times New Roman" w:eastAsia="Times New Roman"/>
                <w:b w:val="0"/>
                <w:sz w:val="18"/>
              </w:rPr>
              <w:t>R9</w:t>
            </w:r>
          </w:p>
        </w:tc>
        <w:tc>
          <w:tcPr/>
          <w:p>
            <w:pPr>
              <w:spacing w:line="240" w:lineRule="auto"/>
            </w:pPr>
            <w:r>
              <w:rPr>
                <w:rFonts w:ascii="Times New Roman" w:hAnsi="Times New Roman" w:eastAsia="Times New Roman"/>
                <w:b w:val="0"/>
                <w:sz w:val="18"/>
              </w:rPr>
              <w:t>Alternative DV: log expenditure</w:t>
            </w:r>
          </w:p>
        </w:tc>
        <w:tc>
          <w:tcPr/>
          <w:p>
            <w:pPr>
              <w:spacing w:line="240" w:lineRule="auto"/>
            </w:pPr>
            <w:r>
              <w:rPr>
                <w:rFonts w:ascii="Times New Roman" w:hAnsi="Times New Roman" w:eastAsia="Times New Roman"/>
                <w:b w:val="0"/>
                <w:sz w:val="18"/>
              </w:rPr>
              <w:t>200</w:t>
            </w:r>
          </w:p>
        </w:tc>
        <w:tc>
          <w:tcPr/>
          <w:p>
            <w:pPr>
              <w:spacing w:line="240" w:lineRule="auto"/>
            </w:pPr>
            <w:r>
              <w:rPr>
                <w:rFonts w:ascii="Times New Roman" w:hAnsi="Times New Roman" w:eastAsia="Times New Roman"/>
                <w:b w:val="0"/>
                <w:sz w:val="18"/>
              </w:rPr>
              <w:t>Tests scale of military spending rather than burden.</w:t>
            </w:r>
          </w:p>
        </w:tc>
        <w:tc>
          <w:tcPr/>
          <w:p>
            <w:pPr>
              <w:spacing w:line="240" w:lineRule="auto"/>
            </w:pPr>
            <w:r>
              <w:rPr>
                <w:rFonts w:ascii="Times New Roman" w:hAnsi="Times New Roman" w:eastAsia="Times New Roman"/>
                <w:b w:val="0"/>
                <w:sz w:val="18"/>
              </w:rPr>
              <w:t>Broadly consistent with security-burden interpretation.</w:t>
            </w:r>
          </w:p>
        </w:tc>
      </w:tr>
    </w:tbl>
    <w:p>
      <w:pPr>
        <w:pStyle w:val="Heading2"/>
        <w:spacing w:line="480" w:lineRule="auto"/>
      </w:pPr>
      <w:r>
        <w:rPr>
          <w:rFonts w:ascii="Times New Roman" w:hAnsi="Times New Roman" w:eastAsia="Times New Roman"/>
          <w:b/>
          <w:sz w:val="24"/>
        </w:rPr>
        <w:t>5.2 Content-mechanism models</w:t>
      </w:r>
    </w:p>
    <w:p>
      <w:pPr>
        <w:spacing w:line="480" w:lineRule="auto"/>
      </w:pPr>
      <w:r>
        <w:rPr>
          <w:rFonts w:ascii="Times New Roman" w:hAnsi="Times New Roman" w:eastAsia="Times New Roman"/>
          <w:b w:val="0"/>
          <w:i w:val="0"/>
          <w:sz w:val="24"/>
        </w:rPr>
        <w:t>The content models are consistent with the mechanism. Russia-threat language and critical-infrastructure language are more closely associated with military burden than generic climate language. This is not surprising. Climate language is common in Arctic policy, but it is not necessarily militarised. A government can discuss climate change, indigenous rights, environmental monitoring, or scientific cooperation without implying a larger defence burden. The security-relevant content is more specific: Russia threat, NATO/alliance coordination, deterrence, military mobility, resilience, and infrastructure protection.</w:t>
      </w:r>
    </w:p>
    <w:p>
      <w:pPr>
        <w:spacing w:line="480" w:lineRule="auto"/>
      </w:pPr>
      <w:r>
        <w:rPr>
          <w:rFonts w:ascii="Times New Roman" w:hAnsi="Times New Roman" w:eastAsia="Times New Roman"/>
          <w:sz w:val="24"/>
        </w:rPr>
        <w:t>A further implication is that not all Arctic language is equally security-relevant. Climate, science, indigenous communities, and governance remain central in the documents, but these themes do not necessarily map onto military burden. The mechanism becomes more visible when documents connect Arctic issues to Russia, NATO, deterrence, resilience, surveillance, infrastructure, and military mobility. The coding scheme therefore distinguishes between general Arctic salience and alliance-security framing.</w:t>
      </w:r>
    </w:p>
    <w:p>
      <w:pPr>
        <w:spacing w:line="480" w:lineRule="auto"/>
      </w:pPr>
      <w:r>
        <w:rPr>
          <w:rFonts w:ascii="Times New Roman" w:hAnsi="Times New Roman" w:eastAsia="Times New Roman"/>
          <w:b w:val="0"/>
          <w:i w:val="0"/>
          <w:sz w:val="24"/>
        </w:rPr>
        <w:t>The content results should be interpreted as mechanism evidence rather than as a second causal test. The number of documents is limited, and documents are not annual observations in the same way as military expenditure data. The point is not that a single phrase causes spending. The point is that the post-2022 document language helps explain why military burden rises in a way that sea-ice decline alone cannot explain. The documents show the political translation of Arctic change into alliance-security terms.</w:t>
      </w:r>
    </w:p>
    <w:p>
      <w:pPr>
        <w:spacing w:line="480" w:lineRule="auto"/>
      </w:pPr>
      <w:r>
        <w:rPr>
          <w:rFonts w:ascii="Times New Roman" w:hAnsi="Times New Roman" w:eastAsia="Times New Roman"/>
          <w:b/>
          <w:sz w:val="24"/>
        </w:rPr>
        <w:t>Table 5. Content-mechanism models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tcPr>
          <w:p>
            <w:pPr>
              <w:spacing w:line="240" w:lineRule="auto"/>
            </w:pPr>
            <w:r>
              <w:rPr>
                <w:rFonts w:ascii="Times New Roman" w:hAnsi="Times New Roman" w:eastAsia="Times New Roman"/>
                <w:b/>
                <w:sz w:val="18"/>
              </w:rPr>
              <w:t>Variable</w:t>
            </w:r>
          </w:p>
        </w:tc>
        <w:tc>
          <w:tcPr>
            <w:tcW w:type="dxa" w:w="2340"/>
            <w:vAlign w:val="center"/>
          </w:tcPr>
          <w:p>
            <w:pPr>
              <w:spacing w:line="240" w:lineRule="auto"/>
            </w:pPr>
            <w:r>
              <w:rPr>
                <w:rFonts w:ascii="Times New Roman" w:hAnsi="Times New Roman" w:eastAsia="Times New Roman"/>
                <w:b/>
                <w:sz w:val="18"/>
              </w:rPr>
              <w:t>Strategic framing only</w:t>
            </w:r>
          </w:p>
        </w:tc>
        <w:tc>
          <w:tcPr>
            <w:tcW w:type="dxa" w:w="2340"/>
            <w:vAlign w:val="center"/>
          </w:tcPr>
          <w:p>
            <w:pPr>
              <w:spacing w:line="240" w:lineRule="auto"/>
            </w:pPr>
            <w:r>
              <w:rPr>
                <w:rFonts w:ascii="Times New Roman" w:hAnsi="Times New Roman" w:eastAsia="Times New Roman"/>
                <w:b/>
                <w:sz w:val="18"/>
              </w:rPr>
              <w:t>Post-2022 interactions</w:t>
            </w:r>
          </w:p>
        </w:tc>
        <w:tc>
          <w:tcPr>
            <w:tcW w:type="dxa" w:w="2340"/>
            <w:vAlign w:val="center"/>
          </w:tcPr>
          <w:p>
            <w:pPr>
              <w:spacing w:line="240" w:lineRule="auto"/>
            </w:pPr>
            <w:r>
              <w:rPr>
                <w:rFonts w:ascii="Times New Roman" w:hAnsi="Times New Roman" w:eastAsia="Times New Roman"/>
                <w:b/>
                <w:sz w:val="18"/>
              </w:rPr>
              <w:t>Compact mechanism</w:t>
            </w:r>
          </w:p>
        </w:tc>
      </w:tr>
      <w:tr>
        <w:tc>
          <w:tcPr>
            <w:tcW w:type="dxa" w:w="2340"/>
            <w:vAlign w:val="top"/>
          </w:tcPr>
          <w:p>
            <w:pPr>
              <w:spacing w:line="240" w:lineRule="auto"/>
            </w:pPr>
            <w:r>
              <w:rPr>
                <w:rFonts w:ascii="Times New Roman" w:hAnsi="Times New Roman" w:eastAsia="Times New Roman"/>
                <w:sz w:val="18"/>
              </w:rPr>
              <w:t>SCFI</w:t>
            </w:r>
          </w:p>
        </w:tc>
        <w:tc>
          <w:tcPr>
            <w:tcW w:type="dxa" w:w="2340"/>
            <w:vAlign w:val="top"/>
          </w:tcPr>
          <w:p>
            <w:pPr>
              <w:spacing w:line="240" w:lineRule="auto"/>
            </w:pPr>
            <w:r>
              <w:rPr>
                <w:rFonts w:ascii="Times New Roman" w:hAnsi="Times New Roman" w:eastAsia="Times New Roman"/>
                <w:sz w:val="18"/>
              </w:rPr>
              <w:t>0.686</w:t>
              <w:br/>
              <w:t>(0.420)</w:t>
            </w:r>
          </w:p>
        </w:tc>
        <w:tc>
          <w:tcPr>
            <w:tcW w:type="dxa" w:w="2340"/>
            <w:vAlign w:val="top"/>
          </w:tcPr>
          <w:p>
            <w:pPr>
              <w:spacing w:line="240" w:lineRule="auto"/>
            </w:pPr>
            <w:r>
              <w:rPr>
                <w:rFonts w:ascii="Times New Roman" w:hAnsi="Times New Roman" w:eastAsia="Times New Roman"/>
                <w:sz w:val="18"/>
              </w:rPr>
              <w:t>0.855</w:t>
              <w:br/>
              <w:t>(0.766)</w:t>
            </w:r>
          </w:p>
        </w:tc>
        <w:tc>
          <w:tcPr>
            <w:tcW w:type="dxa" w:w="2340"/>
            <w:vAlign w:val="top"/>
          </w:tcPr>
          <w:p>
            <w:pPr>
              <w:spacing w:line="240" w:lineRule="auto"/>
            </w:pPr>
            <w:r>
              <w:rPr>
                <w:rFonts w:ascii="Times New Roman" w:hAnsi="Times New Roman" w:eastAsia="Times New Roman"/>
                <w:sz w:val="18"/>
              </w:rPr>
              <w:t>1.144**</w:t>
              <w:br/>
              <w:t>(0.518)</w:t>
            </w:r>
          </w:p>
        </w:tc>
      </w:tr>
      <w:tr>
        <w:tc>
          <w:tcPr>
            <w:tcW w:type="dxa" w:w="2340"/>
            <w:vAlign w:val="top"/>
          </w:tcPr>
          <w:p>
            <w:pPr>
              <w:spacing w:line="240" w:lineRule="auto"/>
            </w:pPr>
            <w:r>
              <w:rPr>
                <w:rFonts w:ascii="Times New Roman" w:hAnsi="Times New Roman" w:eastAsia="Times New Roman"/>
                <w:sz w:val="18"/>
              </w:rPr>
              <w:t>NAFI</w:t>
            </w:r>
          </w:p>
        </w:tc>
        <w:tc>
          <w:tcPr>
            <w:tcW w:type="dxa" w:w="2340"/>
            <w:vAlign w:val="top"/>
          </w:tcPr>
          <w:p>
            <w:pPr>
              <w:spacing w:line="240" w:lineRule="auto"/>
            </w:pPr>
            <w:r>
              <w:rPr>
                <w:rFonts w:ascii="Times New Roman" w:hAnsi="Times New Roman" w:eastAsia="Times New Roman"/>
                <w:sz w:val="18"/>
              </w:rPr>
              <w:t>-0.837***</w:t>
              <w:br/>
              <w:t>(0.288)</w:t>
            </w:r>
          </w:p>
        </w:tc>
        <w:tc>
          <w:tcPr>
            <w:tcW w:type="dxa" w:w="2340"/>
            <w:vAlign w:val="top"/>
          </w:tcPr>
          <w:p>
            <w:pPr>
              <w:spacing w:line="240" w:lineRule="auto"/>
            </w:pPr>
            <w:r>
              <w:rPr>
                <w:rFonts w:ascii="Times New Roman" w:hAnsi="Times New Roman" w:eastAsia="Times New Roman"/>
                <w:sz w:val="18"/>
              </w:rPr>
              <w:t>-0.429</w:t>
              <w:br/>
              <w:t>(0.432)</w:t>
            </w:r>
          </w:p>
        </w:tc>
        <w:tc>
          <w:tcPr>
            <w:tcW w:type="dxa" w:w="2340"/>
            <w:vAlign w:val="top"/>
          </w:tcPr>
          <w:p>
            <w:pPr>
              <w:spacing w:line="240" w:lineRule="auto"/>
            </w:pPr>
            <w:r>
              <w:rPr>
                <w:rFonts w:ascii="Times New Roman" w:hAnsi="Times New Roman" w:eastAsia="Times New Roman"/>
                <w:sz w:val="18"/>
              </w:rPr>
              <w:t>-0.998***</w:t>
              <w:br/>
              <w:t>(0.295)</w:t>
            </w:r>
          </w:p>
        </w:tc>
      </w:tr>
      <w:tr>
        <w:tc>
          <w:tcPr>
            <w:tcW w:type="dxa" w:w="2340"/>
            <w:vAlign w:val="top"/>
          </w:tcPr>
          <w:p>
            <w:pPr>
              <w:spacing w:line="240" w:lineRule="auto"/>
            </w:pPr>
            <w:r>
              <w:rPr>
                <w:rFonts w:ascii="Times New Roman" w:hAnsi="Times New Roman" w:eastAsia="Times New Roman"/>
                <w:sz w:val="18"/>
              </w:rPr>
              <w:t>Russia Threat</w:t>
            </w:r>
          </w:p>
        </w:tc>
        <w:tc>
          <w:tcPr>
            <w:tcW w:type="dxa" w:w="2340"/>
            <w:vAlign w:val="top"/>
          </w:tcPr>
          <w:p>
            <w:pPr>
              <w:spacing w:line="240" w:lineRule="auto"/>
            </w:pPr>
            <w:r>
              <w:rPr>
                <w:rFonts w:ascii="Times New Roman" w:hAnsi="Times New Roman" w:eastAsia="Times New Roman"/>
                <w:sz w:val="18"/>
              </w:rPr>
              <w:t>0.445*</w:t>
              <w:br/>
              <w:t>(0.252)</w:t>
            </w:r>
          </w:p>
        </w:tc>
        <w:tc>
          <w:tcPr>
            <w:tcW w:type="dxa" w:w="2340"/>
            <w:vAlign w:val="top"/>
          </w:tcPr>
          <w:p>
            <w:pPr>
              <w:spacing w:line="240" w:lineRule="auto"/>
            </w:pPr>
            <w:r>
              <w:rPr>
                <w:rFonts w:ascii="Times New Roman" w:hAnsi="Times New Roman" w:eastAsia="Times New Roman"/>
                <w:sz w:val="18"/>
              </w:rPr>
              <w:t>0.512*</w:t>
              <w:br/>
              <w:t>(0.283)</w:t>
            </w:r>
          </w:p>
        </w:tc>
        <w:tc>
          <w:tcPr>
            <w:tcW w:type="dxa" w:w="2340"/>
            <w:vAlign w:val="top"/>
          </w:tcPr>
          <w:p>
            <w:pPr>
              <w:spacing w:line="240" w:lineRule="auto"/>
            </w:pPr>
            <w:r>
              <w:rPr>
                <w:rFonts w:ascii="Times New Roman" w:hAnsi="Times New Roman" w:eastAsia="Times New Roman"/>
                <w:sz w:val="18"/>
              </w:rPr>
              <w:t>0.611**</w:t>
              <w:br/>
              <w:t>(0.301)</w:t>
            </w:r>
          </w:p>
        </w:tc>
      </w:tr>
      <w:tr>
        <w:tc>
          <w:tcPr>
            <w:tcW w:type="dxa" w:w="2340"/>
            <w:vAlign w:val="top"/>
          </w:tcPr>
          <w:p>
            <w:pPr>
              <w:spacing w:line="240" w:lineRule="auto"/>
            </w:pPr>
            <w:r>
              <w:rPr>
                <w:rFonts w:ascii="Times New Roman" w:hAnsi="Times New Roman" w:eastAsia="Times New Roman"/>
                <w:sz w:val="18"/>
              </w:rPr>
              <w:t>Critical Infrastructure</w:t>
            </w:r>
          </w:p>
        </w:tc>
        <w:tc>
          <w:tcPr>
            <w:tcW w:type="dxa" w:w="2340"/>
            <w:vAlign w:val="top"/>
          </w:tcPr>
          <w:p>
            <w:pPr>
              <w:spacing w:line="240" w:lineRule="auto"/>
            </w:pPr>
            <w:r>
              <w:rPr>
                <w:rFonts w:ascii="Times New Roman" w:hAnsi="Times New Roman" w:eastAsia="Times New Roman"/>
                <w:sz w:val="18"/>
              </w:rPr>
              <w:t>0.302</w:t>
              <w:br/>
              <w:t>(0.211)</w:t>
            </w:r>
          </w:p>
        </w:tc>
        <w:tc>
          <w:tcPr>
            <w:tcW w:type="dxa" w:w="2340"/>
            <w:vAlign w:val="top"/>
          </w:tcPr>
          <w:p>
            <w:pPr>
              <w:spacing w:line="240" w:lineRule="auto"/>
            </w:pPr>
            <w:r>
              <w:rPr>
                <w:rFonts w:ascii="Times New Roman" w:hAnsi="Times New Roman" w:eastAsia="Times New Roman"/>
                <w:sz w:val="18"/>
              </w:rPr>
              <w:t>0.498*</w:t>
              <w:br/>
              <w:t>(0.280)</w:t>
            </w:r>
          </w:p>
        </w:tc>
        <w:tc>
          <w:tcPr>
            <w:tcW w:type="dxa" w:w="2340"/>
            <w:vAlign w:val="top"/>
          </w:tcPr>
          <w:p>
            <w:pPr>
              <w:spacing w:line="240" w:lineRule="auto"/>
            </w:pPr>
            <w:r>
              <w:rPr>
                <w:rFonts w:ascii="Times New Roman" w:hAnsi="Times New Roman" w:eastAsia="Times New Roman"/>
                <w:sz w:val="18"/>
              </w:rPr>
              <w:t>0.533*</w:t>
              <w:br/>
              <w:t>(0.293)</w:t>
            </w:r>
          </w:p>
        </w:tc>
      </w:tr>
      <w:tr>
        <w:tc>
          <w:tcPr>
            <w:tcW w:type="dxa" w:w="2340"/>
            <w:vAlign w:val="top"/>
          </w:tcPr>
          <w:p>
            <w:pPr>
              <w:spacing w:line="240" w:lineRule="auto"/>
            </w:pPr>
            <w:r>
              <w:rPr>
                <w:rFonts w:ascii="Times New Roman" w:hAnsi="Times New Roman" w:eastAsia="Times New Roman"/>
                <w:sz w:val="18"/>
              </w:rPr>
              <w:t>Post-2022</w:t>
            </w:r>
          </w:p>
        </w:tc>
        <w:tc>
          <w:tcPr>
            <w:tcW w:type="dxa" w:w="2340"/>
            <w:vAlign w:val="top"/>
          </w:tcPr>
          <w:p>
            <w:pPr>
              <w:spacing w:line="240" w:lineRule="auto"/>
            </w:pPr>
            <w:r>
              <w:rPr>
                <w:rFonts w:ascii="Times New Roman" w:hAnsi="Times New Roman" w:eastAsia="Times New Roman"/>
                <w:sz w:val="18"/>
              </w:rPr>
              <w:t>Included</w:t>
            </w:r>
          </w:p>
        </w:tc>
        <w:tc>
          <w:tcPr>
            <w:tcW w:type="dxa" w:w="2340"/>
            <w:vAlign w:val="top"/>
          </w:tcPr>
          <w:p>
            <w:pPr>
              <w:spacing w:line="240" w:lineRule="auto"/>
            </w:pPr>
            <w:r>
              <w:rPr>
                <w:rFonts w:ascii="Times New Roman" w:hAnsi="Times New Roman" w:eastAsia="Times New Roman"/>
                <w:sz w:val="18"/>
              </w:rPr>
              <w:t>Included</w:t>
            </w:r>
          </w:p>
        </w:tc>
        <w:tc>
          <w:tcPr>
            <w:tcW w:type="dxa" w:w="2340"/>
            <w:vAlign w:val="top"/>
          </w:tcPr>
          <w:p>
            <w:pPr>
              <w:spacing w:line="240" w:lineRule="auto"/>
            </w:pPr>
            <w:r>
              <w:rPr>
                <w:rFonts w:ascii="Times New Roman" w:hAnsi="Times New Roman" w:eastAsia="Times New Roman"/>
                <w:sz w:val="18"/>
              </w:rPr>
              <w:t>Included</w:t>
            </w:r>
          </w:p>
        </w:tc>
      </w:tr>
      <w:tr>
        <w:tc>
          <w:tcPr>
            <w:tcW w:type="dxa" w:w="2340"/>
            <w:vAlign w:val="top"/>
          </w:tcPr>
          <w:p>
            <w:pPr>
              <w:spacing w:line="240" w:lineRule="auto"/>
            </w:pPr>
            <w:r>
              <w:rPr>
                <w:rFonts w:ascii="Times New Roman" w:hAnsi="Times New Roman" w:eastAsia="Times New Roman"/>
                <w:sz w:val="18"/>
              </w:rPr>
              <w:t>N</w:t>
            </w:r>
          </w:p>
        </w:tc>
        <w:tc>
          <w:tcPr>
            <w:tcW w:type="dxa" w:w="2340"/>
            <w:vAlign w:val="top"/>
          </w:tcPr>
          <w:p>
            <w:pPr>
              <w:spacing w:line="240" w:lineRule="auto"/>
            </w:pPr>
            <w:r>
              <w:rPr>
                <w:rFonts w:ascii="Times New Roman" w:hAnsi="Times New Roman" w:eastAsia="Times New Roman"/>
                <w:sz w:val="18"/>
              </w:rPr>
              <w:t>41</w:t>
            </w:r>
          </w:p>
        </w:tc>
        <w:tc>
          <w:tcPr>
            <w:tcW w:type="dxa" w:w="2340"/>
            <w:vAlign w:val="top"/>
          </w:tcPr>
          <w:p>
            <w:pPr>
              <w:spacing w:line="240" w:lineRule="auto"/>
            </w:pPr>
            <w:r>
              <w:rPr>
                <w:rFonts w:ascii="Times New Roman" w:hAnsi="Times New Roman" w:eastAsia="Times New Roman"/>
                <w:sz w:val="18"/>
              </w:rPr>
              <w:t>41</w:t>
            </w:r>
          </w:p>
        </w:tc>
        <w:tc>
          <w:tcPr>
            <w:tcW w:type="dxa" w:w="2340"/>
            <w:vAlign w:val="top"/>
          </w:tcPr>
          <w:p>
            <w:pPr>
              <w:spacing w:line="240" w:lineRule="auto"/>
            </w:pPr>
            <w:r>
              <w:rPr>
                <w:rFonts w:ascii="Times New Roman" w:hAnsi="Times New Roman" w:eastAsia="Times New Roman"/>
                <w:sz w:val="18"/>
              </w:rPr>
              <w:t>41</w:t>
            </w:r>
          </w:p>
        </w:tc>
      </w:tr>
      <w:tr>
        <w:tc>
          <w:tcPr>
            <w:tcW w:type="dxa" w:w="2340"/>
            <w:vAlign w:val="top"/>
          </w:tcPr>
          <w:p>
            <w:pPr>
              <w:spacing w:line="240" w:lineRule="auto"/>
            </w:pPr>
            <w:r>
              <w:rPr>
                <w:rFonts w:ascii="Times New Roman" w:hAnsi="Times New Roman" w:eastAsia="Times New Roman"/>
                <w:sz w:val="18"/>
              </w:rPr>
              <w:t>Purpose</w:t>
            </w:r>
          </w:p>
        </w:tc>
        <w:tc>
          <w:tcPr>
            <w:tcW w:type="dxa" w:w="2340"/>
            <w:vAlign w:val="top"/>
          </w:tcPr>
          <w:p>
            <w:pPr>
              <w:spacing w:line="240" w:lineRule="auto"/>
            </w:pPr>
            <w:r>
              <w:rPr>
                <w:rFonts w:ascii="Times New Roman" w:hAnsi="Times New Roman" w:eastAsia="Times New Roman"/>
                <w:sz w:val="18"/>
              </w:rPr>
              <w:t>Mechanism screening</w:t>
            </w:r>
          </w:p>
        </w:tc>
        <w:tc>
          <w:tcPr>
            <w:tcW w:type="dxa" w:w="2340"/>
            <w:vAlign w:val="top"/>
          </w:tcPr>
          <w:p>
            <w:pPr>
              <w:spacing w:line="240" w:lineRule="auto"/>
            </w:pPr>
            <w:r>
              <w:rPr>
                <w:rFonts w:ascii="Times New Roman" w:hAnsi="Times New Roman" w:eastAsia="Times New Roman"/>
                <w:sz w:val="18"/>
              </w:rPr>
              <w:t>Interaction screening</w:t>
            </w:r>
          </w:p>
        </w:tc>
        <w:tc>
          <w:tcPr>
            <w:tcW w:type="dxa" w:w="2340"/>
            <w:vAlign w:val="top"/>
          </w:tcPr>
          <w:p>
            <w:pPr>
              <w:spacing w:line="240" w:lineRule="auto"/>
            </w:pPr>
            <w:r>
              <w:rPr>
                <w:rFonts w:ascii="Times New Roman" w:hAnsi="Times New Roman" w:eastAsia="Times New Roman"/>
                <w:sz w:val="18"/>
              </w:rPr>
              <w:t>Parsimonious mechanism check</w:t>
            </w:r>
          </w:p>
        </w:tc>
      </w:tr>
    </w:tbl>
    <w:p>
      <w:pPr>
        <w:pStyle w:val="Heading1"/>
        <w:spacing w:line="480" w:lineRule="auto"/>
      </w:pPr>
      <w:r>
        <w:rPr>
          <w:rFonts w:ascii="Times New Roman" w:hAnsi="Times New Roman" w:eastAsia="Times New Roman"/>
          <w:b/>
          <w:sz w:val="24"/>
        </w:rPr>
        <w:t>6. Discussion</w:t>
      </w:r>
    </w:p>
    <w:p>
      <w:pPr>
        <w:spacing w:line="480" w:lineRule="auto"/>
      </w:pPr>
      <w:r>
        <w:rPr>
          <w:rFonts w:ascii="Times New Roman" w:hAnsi="Times New Roman" w:eastAsia="Times New Roman"/>
          <w:b w:val="0"/>
          <w:i w:val="0"/>
          <w:sz w:val="24"/>
        </w:rPr>
        <w:t>The findings clarify the kind of argument that can be made about Arctic security. A strong direct sea-ice effect would have supported a simple environmental-security account. That is not what the evidence shows. The Arctic’s changing physical geography matters, but the path from melting ice to military burden runs through political interpretation. The post-2022 rupture is the key political condition. It changed the way Arctic states, especially NATO members and Nordic states, interpreted northern geography.</w:t>
      </w:r>
    </w:p>
    <w:p>
      <w:pPr>
        <w:spacing w:line="480" w:lineRule="auto"/>
      </w:pPr>
      <w:r>
        <w:rPr>
          <w:rFonts w:ascii="Times New Roman" w:hAnsi="Times New Roman" w:eastAsia="Times New Roman"/>
          <w:sz w:val="24"/>
        </w:rPr>
        <w:t>For The Polar Journal’s readership, the point is less that the Arctic has become a conventional war zone than that the social and political meaning of the region has shifted. Polar governance is still present, but it now competes with a stronger vocabulary of strategic exposure. That vocabulary did not emerge solely from melting ice. It emerged from the interaction between a changing physical region and a changed European security order.</w:t>
      </w:r>
    </w:p>
    <w:p>
      <w:pPr>
        <w:spacing w:line="480" w:lineRule="auto"/>
      </w:pPr>
      <w:r>
        <w:rPr>
          <w:rFonts w:ascii="Times New Roman" w:hAnsi="Times New Roman" w:eastAsia="Times New Roman"/>
          <w:b w:val="0"/>
          <w:i w:val="0"/>
          <w:sz w:val="24"/>
        </w:rPr>
        <w:t>This is where official documents are useful. They show how northern geography is connected to sovereignty, deterrence, infrastructure, mobility, and resilience. Norway’s High North policy, Finland’s defence report, Sweden’s national security strategy, Canada’s 2024 defence framing, Greenland’s foreign and security policy, and Iceland’s national security policy each connect northern issues to a broader security vocabulary. These documents do not all say the same thing. Nor should they be treated as interchangeable. But taken together they show that the Arctic has been pulled into a wider alliance-security field after 2022.</w:t>
      </w:r>
    </w:p>
    <w:p>
      <w:pPr>
        <w:spacing w:line="480" w:lineRule="auto"/>
      </w:pPr>
      <w:r>
        <w:rPr>
          <w:rFonts w:ascii="Times New Roman" w:hAnsi="Times New Roman" w:eastAsia="Times New Roman"/>
          <w:b w:val="0"/>
          <w:i w:val="0"/>
          <w:sz w:val="24"/>
        </w:rPr>
        <w:t>The governance dimension remains important. Arctic cooperation did not disappear. Scientific, environmental, indigenous, and legal frameworks still matter. The more accurate conclusion is that cooperation now operates alongside a more explicit security grammar. This is a different claim from saying that the Arctic has become a battlefield. The evidence is more subtle. The region is still governed through institutions and law, but the political space surrounding those institutions has hardened. The post-2022 order makes it more difficult to treat the Arctic as insulated from confrontation elsewhere in Europe.</w:t>
      </w:r>
    </w:p>
    <w:p>
      <w:pPr>
        <w:spacing w:line="480" w:lineRule="auto"/>
      </w:pPr>
      <w:r>
        <w:rPr>
          <w:rFonts w:ascii="Times New Roman" w:hAnsi="Times New Roman" w:eastAsia="Times New Roman"/>
          <w:b w:val="0"/>
          <w:i w:val="0"/>
          <w:sz w:val="24"/>
        </w:rPr>
        <w:t>The broader implication is that Russia’s war against Ukraine has disrupted more than the eastern boundary of Europe. It has encouraged allied governments to think about Russia across a wider strategic geography. This includes the Baltic-Nordic region, the North Atlantic, the GIUK gap, the Barents and Norwegian Seas, undersea infrastructure, maritime mobility, and the Arctic. The Arctic is therefore not simply an isolated northern theatre. It is increasingly one arena within a new political-security ordering of Europe and the North Atlantic.</w:t>
      </w:r>
    </w:p>
    <w:p>
      <w:pPr>
        <w:spacing w:line="480" w:lineRule="auto"/>
      </w:pPr>
      <w:r>
        <w:rPr>
          <w:rFonts w:ascii="Times New Roman" w:hAnsi="Times New Roman" w:eastAsia="Times New Roman"/>
          <w:b w:val="0"/>
          <w:i w:val="0"/>
          <w:sz w:val="24"/>
        </w:rPr>
        <w:t>This conclusion should be stated with care. The article does not prove that a new order is complete or irreversible. It shows that official discourse and military-burden patterns are consistent with an emerging reordering. Russia’s war has weakened the previous assumption that Arctic cooperation can be largely separated from wider European conflict. It has also made alliance coordination appear relevant across multiple areas where Russia and NATO may confront one another. The Arctic is one of those areas, not because ice melt mechanically militarises it, but because environmental accessibility, infrastructure vulnerability, and alliance planning now intersect under post-2022 conditions.</w:t>
      </w:r>
    </w:p>
    <w:p>
      <w:pPr>
        <w:pStyle w:val="Heading1"/>
        <w:spacing w:line="480" w:lineRule="auto"/>
      </w:pPr>
      <w:r>
        <w:rPr>
          <w:rFonts w:ascii="Times New Roman" w:hAnsi="Times New Roman" w:eastAsia="Times New Roman"/>
          <w:b/>
          <w:sz w:val="24"/>
        </w:rPr>
        <w:t>7. Limitations and Conclusion</w:t>
      </w:r>
    </w:p>
    <w:p>
      <w:pPr>
        <w:spacing w:line="480" w:lineRule="auto"/>
      </w:pPr>
      <w:r>
        <w:rPr>
          <w:rFonts w:ascii="Times New Roman" w:hAnsi="Times New Roman" w:eastAsia="Times New Roman"/>
          <w:b w:val="0"/>
          <w:i w:val="0"/>
          <w:sz w:val="24"/>
        </w:rPr>
        <w:t>Three limitations should be stated plainly. First, military burden is not an Arctic-specific force-posture measure. Future research should build annual indicators for Arctic bases, exercises, icebreaker fleets, surveillance systems, military mobility corridors, and northern infrastructure protection. Second, the document corpus is necessarily limited. Official strategies are infrequent and do not provide annual observations. Third, the post-2022 period is still short, which limits the strength of inference about long-term change.</w:t>
      </w:r>
    </w:p>
    <w:p>
      <w:pPr>
        <w:spacing w:line="480" w:lineRule="auto"/>
      </w:pPr>
      <w:r>
        <w:rPr>
          <w:rFonts w:ascii="Times New Roman" w:hAnsi="Times New Roman" w:eastAsia="Times New Roman"/>
          <w:b w:val="0"/>
          <w:i w:val="0"/>
          <w:sz w:val="24"/>
        </w:rPr>
        <w:t>These limitations do not invalidate the article’s contribution; they define its scope. The study shows that a direct climate-to-military-burden claim is too strong. It also shows that a purely cooperative Arctic-governance account is too narrow after 2022. The more convincing account is conditional: sea-ice decline changes the material background, while Russia’s war and NATO-centred security framing determine when and how Arctic issues become tied to military burden.</w:t>
      </w:r>
    </w:p>
    <w:p>
      <w:pPr>
        <w:spacing w:line="480" w:lineRule="auto"/>
      </w:pPr>
      <w:r>
        <w:rPr>
          <w:rFonts w:ascii="Times New Roman" w:hAnsi="Times New Roman" w:eastAsia="Times New Roman"/>
          <w:b w:val="0"/>
          <w:i w:val="0"/>
          <w:sz w:val="24"/>
        </w:rPr>
        <w:t>The conclusion is therefore cautious but meaningful. Sea-ice decline did not mechanically increase military burden across the Arctic Eight. The more defensible finding is that the post-2022 security rupture transformed the political interpretation of Arctic geography. The Arctic is now more often read through alliance security, resilience, critical infrastructure, and Russia threat. In this sense, the post-2022 Arctic is less a story of melting ice directly producing militarisation than a story of environmental change being absorbed into a broader reordering of European and North Atlantic security.</w:t>
      </w:r>
    </w:p>
    <w:p>
      <w:pPr>
        <w:pStyle w:val="Heading1"/>
        <w:spacing w:line="480" w:lineRule="auto"/>
      </w:pPr>
      <w:r>
        <w:rPr>
          <w:rFonts w:ascii="Times New Roman" w:hAnsi="Times New Roman" w:eastAsia="Times New Roman"/>
          <w:b/>
          <w:sz w:val="24"/>
        </w:rPr>
        <w:t>Data and Replication Statement</w:t>
      </w:r>
    </w:p>
    <w:p>
      <w:pPr>
        <w:spacing w:line="480" w:lineRule="auto"/>
      </w:pPr>
      <w:r>
        <w:rPr>
          <w:rFonts w:ascii="Times New Roman" w:hAnsi="Times New Roman" w:eastAsia="Times New Roman"/>
          <w:b w:val="0"/>
          <w:i w:val="0"/>
          <w:sz w:val="24"/>
        </w:rPr>
        <w:t>The replication package is available at: https://github.com/SaltanHsyn/arctic-alliance-security-replication. It contains the Python scripts, requirements file, processed datasets, model outputs, codebook, and documentation required to reproduce the reported results. The official strategic documents used for content analysis are publicly available from government or institutional sources. A reviewer evidence pack containing the document inventory, coding materials, and document list is available upon request.</w:t>
      </w:r>
    </w:p>
    <w:p>
      <w:pPr>
        <w:pStyle w:val="Heading1"/>
      </w:pPr>
      <w:r>
        <w:rPr/>
        <w:t>Declaration of Generative AI and AI-Assisted Technologies</w:t>
      </w:r>
    </w:p>
    <w:p>
      <w:r>
        <w:rPr/>
        <w:t>During the preparation of this manuscript, the author used ChatGPT by OpenAI as an AI-assisted tool for language editing, structural organization, drafting support, coding assistance, and preparation of replication documentation. The tool was not used to generate original data, fabricate sources, substitute for empirical analysis, or make autonomous scholarly judgments. All strategic documents, quantitative datasets, Python scripts, model outputs, interpretations, and final manuscript revisions were reviewed, verified, and approved by the author. The author takes full responsibility for the accuracy, integrity, originality, and scholarly content of the manuscript.</w:t>
      </w:r>
    </w:p>
    <w:p>
      <w:r>
        <w:rPr/>
        <w:t/>
      </w:r>
    </w:p>
    <w:p>
      <w:pPr>
        <w:pStyle w:val="Heading1"/>
        <w:spacing w:line="480" w:lineRule="auto"/>
      </w:pPr>
      <w:r>
        <w:rPr>
          <w:rFonts w:ascii="Times New Roman" w:hAnsi="Times New Roman" w:eastAsia="Times New Roman"/>
          <w:b/>
          <w:sz w:val="24"/>
        </w:rPr>
        <w:t>References</w:t>
      </w:r>
    </w:p>
    <w:p>
      <w:pPr>
        <w:spacing w:line="480" w:lineRule="auto"/>
      </w:pPr>
      <w:r>
        <w:rPr>
          <w:rFonts w:ascii="Times New Roman" w:hAnsi="Times New Roman" w:eastAsia="Times New Roman"/>
          <w:b w:val="0"/>
          <w:i w:val="0"/>
          <w:sz w:val="24"/>
        </w:rPr>
        <w:t>Borgerson, S. G. (2008). Arctic meltdown: The economic and security implications of global warming. Foreign Affairs, 87(2), 63-77.</w:t>
      </w:r>
    </w:p>
    <w:p>
      <w:pPr>
        <w:spacing w:line="480" w:lineRule="auto"/>
      </w:pPr>
      <w:r>
        <w:rPr>
          <w:rFonts w:ascii="Times New Roman" w:hAnsi="Times New Roman" w:eastAsia="Times New Roman"/>
          <w:b w:val="0"/>
          <w:i w:val="0"/>
          <w:sz w:val="24"/>
        </w:rPr>
        <w:t>Buzan, B., Waever, O., &amp; de Wilde, J. (1998). Security: A New Framework for Analysis. Lynne Rienner.</w:t>
      </w:r>
    </w:p>
    <w:p>
      <w:pPr>
        <w:spacing w:line="480" w:lineRule="auto"/>
      </w:pPr>
      <w:r>
        <w:rPr>
          <w:rFonts w:ascii="Times New Roman" w:hAnsi="Times New Roman" w:eastAsia="Times New Roman"/>
          <w:b w:val="0"/>
          <w:i w:val="0"/>
          <w:sz w:val="24"/>
        </w:rPr>
        <w:t>Byers, M. (2013). International Law and the Arctic. Cambridge University Press.</w:t>
      </w:r>
    </w:p>
    <w:p>
      <w:pPr>
        <w:spacing w:line="480" w:lineRule="auto"/>
      </w:pPr>
      <w:r>
        <w:rPr>
          <w:rFonts w:ascii="Times New Roman" w:hAnsi="Times New Roman" w:eastAsia="Times New Roman"/>
          <w:b w:val="0"/>
          <w:i w:val="0"/>
          <w:sz w:val="24"/>
        </w:rPr>
        <w:t>Conley, H. A., &amp; Melino, M. (2016). The new ice curtain: Russia’s strategic reach to the Arctic. Center for Strategic and International Studies.</w:t>
      </w:r>
    </w:p>
    <w:p>
      <w:pPr>
        <w:spacing w:line="480" w:lineRule="auto"/>
      </w:pPr>
      <w:r>
        <w:rPr>
          <w:rFonts w:ascii="Times New Roman" w:hAnsi="Times New Roman" w:eastAsia="Times New Roman"/>
          <w:b w:val="0"/>
          <w:i w:val="0"/>
          <w:sz w:val="24"/>
        </w:rPr>
        <w:t>Dalby, S. (2014). Rethinking geopolitics: Climate security in the Anthropocene. Global Policy.</w:t>
      </w:r>
    </w:p>
    <w:p>
      <w:pPr>
        <w:spacing w:line="480" w:lineRule="auto"/>
      </w:pPr>
      <w:r>
        <w:rPr>
          <w:rFonts w:ascii="Times New Roman" w:hAnsi="Times New Roman" w:eastAsia="Times New Roman"/>
          <w:b w:val="0"/>
          <w:i w:val="0"/>
          <w:sz w:val="24"/>
        </w:rPr>
        <w:t>Depledge, D. (2015). Geopolitics and the northern sea route. The RUSI Journal.</w:t>
      </w:r>
    </w:p>
    <w:p>
      <w:pPr>
        <w:spacing w:line="480" w:lineRule="auto"/>
      </w:pPr>
      <w:r>
        <w:rPr>
          <w:rFonts w:ascii="Times New Roman" w:hAnsi="Times New Roman" w:eastAsia="Times New Roman"/>
          <w:b w:val="0"/>
          <w:i w:val="0"/>
          <w:sz w:val="24"/>
        </w:rPr>
        <w:t>Dodds, K. (2010). Flag planting and finger pointing: The Law of the Sea, the Arctic and the political geographies of the outer continental shelf. Political Geography, 29(2), 63-73.</w:t>
      </w:r>
    </w:p>
    <w:p>
      <w:pPr>
        <w:spacing w:line="480" w:lineRule="auto"/>
      </w:pPr>
      <w:r>
        <w:rPr>
          <w:rFonts w:ascii="Times New Roman" w:hAnsi="Times New Roman" w:eastAsia="Times New Roman"/>
          <w:b w:val="0"/>
          <w:i w:val="0"/>
          <w:sz w:val="24"/>
        </w:rPr>
        <w:t>Exner-Pirot, H. (2013). What is the Arctic a case of? The Arctic as a regional environmental security complex and the implications for policy. The Polar Journal, 3(1), 120-135.</w:t>
      </w:r>
    </w:p>
    <w:p>
      <w:pPr>
        <w:spacing w:line="480" w:lineRule="auto"/>
      </w:pPr>
      <w:r>
        <w:rPr>
          <w:rFonts w:ascii="Times New Roman" w:hAnsi="Times New Roman" w:eastAsia="Times New Roman"/>
          <w:b w:val="0"/>
          <w:i w:val="0"/>
          <w:sz w:val="24"/>
        </w:rPr>
        <w:t>Government of Canada. (2019). Arctic and Northern Policy Framework.</w:t>
      </w:r>
    </w:p>
    <w:p>
      <w:pPr>
        <w:spacing w:line="480" w:lineRule="auto"/>
      </w:pPr>
      <w:r>
        <w:rPr>
          <w:rFonts w:ascii="Times New Roman" w:hAnsi="Times New Roman" w:eastAsia="Times New Roman"/>
          <w:b w:val="0"/>
          <w:i w:val="0"/>
          <w:sz w:val="24"/>
        </w:rPr>
        <w:t>Government of Finland. (2021). Finland’s Strategy for Arctic Policy.</w:t>
      </w:r>
    </w:p>
    <w:p>
      <w:pPr>
        <w:spacing w:line="480" w:lineRule="auto"/>
      </w:pPr>
      <w:r>
        <w:rPr>
          <w:rFonts w:ascii="Times New Roman" w:hAnsi="Times New Roman" w:eastAsia="Times New Roman"/>
          <w:b w:val="0"/>
          <w:i w:val="0"/>
          <w:sz w:val="24"/>
        </w:rPr>
        <w:t>Government of Iceland. (2021). Iceland’s Policy on Matters Concerning the Arctic Region.</w:t>
      </w:r>
    </w:p>
    <w:p>
      <w:pPr>
        <w:spacing w:line="480" w:lineRule="auto"/>
      </w:pPr>
      <w:r>
        <w:rPr>
          <w:rFonts w:ascii="Times New Roman" w:hAnsi="Times New Roman" w:eastAsia="Times New Roman"/>
          <w:b w:val="0"/>
          <w:i w:val="0"/>
          <w:sz w:val="24"/>
        </w:rPr>
        <w:t>Government of Sweden. (2020). Sweden’s Strategy for the Arctic Region.</w:t>
      </w:r>
    </w:p>
    <w:p>
      <w:pPr>
        <w:spacing w:line="480" w:lineRule="auto"/>
      </w:pPr>
      <w:r>
        <w:rPr>
          <w:rFonts w:ascii="Times New Roman" w:hAnsi="Times New Roman" w:eastAsia="Times New Roman"/>
          <w:b w:val="0"/>
          <w:i w:val="0"/>
          <w:sz w:val="24"/>
        </w:rPr>
        <w:t>Heininen, L. (2018). Arctic geopolitics from classical to critical approaches. In Arctic Yearbook.</w:t>
      </w:r>
    </w:p>
    <w:p>
      <w:pPr>
        <w:spacing w:line="480" w:lineRule="auto"/>
      </w:pPr>
      <w:r>
        <w:rPr>
          <w:rFonts w:ascii="Times New Roman" w:hAnsi="Times New Roman" w:eastAsia="Times New Roman"/>
          <w:b w:val="0"/>
          <w:i w:val="0"/>
          <w:sz w:val="24"/>
        </w:rPr>
        <w:t>Huebert, R. (2010). The newly emerging Arctic security environment. Canadian Defence &amp; Foreign Affairs Institute.</w:t>
      </w:r>
    </w:p>
    <w:p>
      <w:pPr>
        <w:spacing w:line="480" w:lineRule="auto"/>
      </w:pPr>
      <w:r>
        <w:rPr>
          <w:rFonts w:ascii="Times New Roman" w:hAnsi="Times New Roman" w:eastAsia="Times New Roman"/>
          <w:b w:val="0"/>
          <w:i w:val="0"/>
          <w:sz w:val="24"/>
        </w:rPr>
        <w:t>Klimenko, E. (2016). Russia’s Arctic security policy: Still quiet in the High North? SIPRI Policy Paper.</w:t>
      </w:r>
    </w:p>
    <w:p>
      <w:pPr>
        <w:spacing w:line="480" w:lineRule="auto"/>
      </w:pPr>
      <w:r>
        <w:rPr>
          <w:rFonts w:ascii="Times New Roman" w:hAnsi="Times New Roman" w:eastAsia="Times New Roman"/>
          <w:b w:val="0"/>
          <w:i w:val="0"/>
          <w:sz w:val="24"/>
        </w:rPr>
        <w:t>Lackenbauer, P. W., &amp; Dean, R. (Eds.). (2021). The Arctic and World Order. North American and Arctic Defence and Security Network.</w:t>
      </w:r>
    </w:p>
    <w:p>
      <w:pPr>
        <w:spacing w:line="480" w:lineRule="auto"/>
      </w:pPr>
      <w:r>
        <w:rPr>
          <w:rFonts w:ascii="Times New Roman" w:hAnsi="Times New Roman" w:eastAsia="Times New Roman"/>
          <w:b w:val="0"/>
          <w:i w:val="0"/>
          <w:sz w:val="24"/>
        </w:rPr>
        <w:t>National Snow and Ice Data Center. (2026). Sea Ice Index.</w:t>
      </w:r>
    </w:p>
    <w:p>
      <w:pPr>
        <w:spacing w:line="480" w:lineRule="auto"/>
      </w:pPr>
      <w:r>
        <w:rPr>
          <w:rFonts w:ascii="Times New Roman" w:hAnsi="Times New Roman" w:eastAsia="Times New Roman"/>
          <w:b w:val="0"/>
          <w:i w:val="0"/>
          <w:sz w:val="24"/>
        </w:rPr>
        <w:t>Nordas, R., &amp; Gleditsch, N. P. (2007). Climate change and conflict. Political Geography, 26(6), 627-638.</w:t>
      </w:r>
    </w:p>
    <w:p>
      <w:pPr>
        <w:spacing w:line="480" w:lineRule="auto"/>
      </w:pPr>
      <w:r>
        <w:rPr>
          <w:rFonts w:ascii="Times New Roman" w:hAnsi="Times New Roman" w:eastAsia="Times New Roman"/>
          <w:b w:val="0"/>
          <w:i w:val="0"/>
          <w:sz w:val="24"/>
        </w:rPr>
        <w:t>Norwegian Ministries. (2025). Norway in the North: A High North Policy for a New Era.</w:t>
      </w:r>
    </w:p>
    <w:p>
      <w:pPr>
        <w:spacing w:line="480" w:lineRule="auto"/>
      </w:pPr>
      <w:r>
        <w:rPr>
          <w:rFonts w:ascii="Times New Roman" w:hAnsi="Times New Roman" w:eastAsia="Times New Roman"/>
          <w:b w:val="0"/>
          <w:i w:val="0"/>
          <w:sz w:val="24"/>
        </w:rPr>
        <w:t>Russian Federation. (2020, amended 2023). Foundations of the Russian Federation State Policy in the Arctic for the Period up to 2035.</w:t>
      </w:r>
    </w:p>
    <w:p>
      <w:pPr>
        <w:spacing w:line="480" w:lineRule="auto"/>
      </w:pPr>
      <w:r>
        <w:rPr>
          <w:rFonts w:ascii="Times New Roman" w:hAnsi="Times New Roman" w:eastAsia="Times New Roman"/>
          <w:b w:val="0"/>
          <w:i w:val="0"/>
          <w:sz w:val="24"/>
        </w:rPr>
        <w:t>Russian Federation. (2020, amended 2023). Strategy for Development of the Arctic Zone of the Russian Federation and Provision of National Security for the Period up to 2035.</w:t>
      </w:r>
    </w:p>
    <w:p>
      <w:pPr>
        <w:spacing w:line="480" w:lineRule="auto"/>
      </w:pPr>
      <w:r>
        <w:rPr>
          <w:rFonts w:ascii="Times New Roman" w:hAnsi="Times New Roman" w:eastAsia="Times New Roman"/>
          <w:b w:val="0"/>
          <w:i w:val="0"/>
          <w:sz w:val="24"/>
        </w:rPr>
        <w:t>SIPRI. (2025). Military Expenditure Database.</w:t>
      </w:r>
    </w:p>
    <w:p>
      <w:pPr>
        <w:spacing w:line="480" w:lineRule="auto"/>
      </w:pPr>
      <w:r>
        <w:rPr>
          <w:rFonts w:ascii="Times New Roman" w:hAnsi="Times New Roman" w:eastAsia="Times New Roman"/>
          <w:b w:val="0"/>
          <w:i w:val="0"/>
          <w:sz w:val="24"/>
        </w:rPr>
        <w:t>United States Government. (2022). National Strategy for the Arctic Region.</w:t>
      </w:r>
    </w:p>
    <w:p>
      <w:pPr>
        <w:spacing w:line="480" w:lineRule="auto"/>
      </w:pPr>
      <w:r>
        <w:rPr>
          <w:rFonts w:ascii="Times New Roman" w:hAnsi="Times New Roman" w:eastAsia="Times New Roman"/>
          <w:b w:val="0"/>
          <w:i w:val="0"/>
          <w:sz w:val="24"/>
        </w:rPr>
        <w:t>United States Department of Defense. (2024). Department of Defense Arctic Strategy.</w:t>
      </w:r>
    </w:p>
    <w:p>
      <w:pPr>
        <w:spacing w:line="480" w:lineRule="auto"/>
      </w:pPr>
      <w:r>
        <w:rPr>
          <w:rFonts w:ascii="Times New Roman" w:hAnsi="Times New Roman" w:eastAsia="Times New Roman"/>
          <w:b w:val="0"/>
          <w:i w:val="0"/>
          <w:sz w:val="24"/>
        </w:rPr>
        <w:t>Wilson Rowe, E. (2018). Arctic Governance: Power in Cross-Border Cooperation. Manchester University Press.</w:t>
      </w:r>
    </w:p>
    <w:p>
      <w:pPr>
        <w:spacing w:line="480" w:lineRule="auto"/>
      </w:pPr>
      <w:r>
        <w:rPr>
          <w:rFonts w:ascii="Times New Roman" w:hAnsi="Times New Roman" w:eastAsia="Times New Roman"/>
          <w:b w:val="0"/>
          <w:i w:val="0"/>
          <w:sz w:val="24"/>
        </w:rPr>
        <w:t>World Bank. (2025). Commodity Markets Pink Sheet.</w:t>
      </w:r>
    </w:p>
    <w:p>
      <w:pPr>
        <w:spacing w:line="480" w:lineRule="auto"/>
      </w:pPr>
      <w:r>
        <w:rPr>
          <w:rFonts w:ascii="Times New Roman" w:hAnsi="Times New Roman" w:eastAsia="Times New Roman"/>
          <w:b w:val="0"/>
          <w:i w:val="0"/>
          <w:sz w:val="24"/>
        </w:rPr>
        <w:t>World Bank. (2025). World Development Indicators.</w:t>
      </w: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480" w:lineRule="auto"/>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40" w:after="0" w:line="480" w:lineRule="auto"/>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40" w:after="0" w:line="480" w:lineRule="auto"/>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line="480" w:lineRule="auto"/>
    </w:pPr>
    <w:rPr>
      <w:rFonts w:ascii="Times New Roman" w:hAnsi="Times New Roman" w:eastAsia="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