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0CE57" w14:textId="77777777" w:rsidR="00461277" w:rsidRPr="00304AA5" w:rsidRDefault="00000000">
      <w:pPr>
        <w:pStyle w:val="JCMTitle"/>
        <w:spacing w:after="120" w:line="276" w:lineRule="auto"/>
        <w:jc w:val="center"/>
        <w:rPr>
          <w:rFonts w:ascii="Times New Roman" w:eastAsia="Times New Roman" w:hAnsi="Times New Roman"/>
          <w:b w:val="0"/>
          <w:sz w:val="36"/>
          <w:szCs w:val="36"/>
        </w:rPr>
      </w:pPr>
      <w:r w:rsidRPr="00304AA5">
        <w:rPr>
          <w:rFonts w:ascii="Times New Roman" w:eastAsia="Times New Roman" w:hAnsi="Times New Roman"/>
          <w:b/>
          <w:sz w:val="32"/>
          <w:szCs w:val="36"/>
        </w:rPr>
        <w:t>Event-Contextual Geopolitical Risk and Brent Oil Prices: Evidence from an Interaction-Augmented NARDL Model</w:t>
      </w:r>
    </w:p>
    <w:p w14:paraId="6348ADAE" w14:textId="77777777" w:rsidR="00461277" w:rsidRPr="003C190B" w:rsidRDefault="00000000" w:rsidP="003C190B">
      <w:pPr>
        <w:pStyle w:val="Balk1"/>
        <w:spacing w:before="240" w:after="120" w:line="360" w:lineRule="auto"/>
        <w:jc w:val="left"/>
        <w:rPr>
          <w:sz w:val="24"/>
          <w:szCs w:val="24"/>
        </w:rPr>
      </w:pPr>
      <w:r w:rsidRPr="003C190B">
        <w:rPr>
          <w:rFonts w:ascii="Times New Roman" w:eastAsia="Times New Roman" w:hAnsi="Times New Roman"/>
          <w:b/>
          <w:sz w:val="24"/>
          <w:szCs w:val="24"/>
        </w:rPr>
        <w:t>Abstract</w:t>
      </w:r>
    </w:p>
    <w:p w14:paraId="763BD063"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This study examines whether the impact of geopolitical risk on Brent oil prices varies across event contexts. Using an interaction-augmented NARDL approach, the study shows that geopolitical risk should not be treated merely as a general source of uncertainty, but as a risk factor priced through the geographical position of risk-producing actors and their location within the energy supply chain. Interpreted cautiously, the findings suggest that the Russia–Ukraine War generated a stronger geopolitical risk transmission to Brent oil prices than Iran-related tensions. Overall, the results indicate that geopolitical risk is not a homogeneous shock in oil markets, but a spatially embedded and context-specific pricing mechanism.</w:t>
      </w:r>
    </w:p>
    <w:p w14:paraId="6FB6608C" w14:textId="77777777" w:rsidR="00461277" w:rsidRPr="003C190B" w:rsidRDefault="00000000">
      <w:pPr>
        <w:spacing w:after="120" w:line="360" w:lineRule="auto"/>
        <w:jc w:val="both"/>
        <w:rPr>
          <w:sz w:val="24"/>
          <w:szCs w:val="24"/>
        </w:rPr>
      </w:pPr>
      <w:r w:rsidRPr="003C190B">
        <w:rPr>
          <w:rFonts w:ascii="Times New Roman" w:hAnsi="Times New Roman" w:eastAsia="Times New Roman"/>
          <w:b/>
          <w:i w:val="0"/>
          <w:sz w:val="24"/>
          <w:szCs w:val="24"/>
        </w:rPr>
      </w:r>
      <w:r>
        <w:rPr>
          <w:rFonts w:ascii="Times New Roman" w:hAnsi="Times New Roman" w:eastAsia="Times New Roman"/>
          <w:sz w:val="24"/>
        </w:rPr>
        <w:t>Keywords: geopolitical risk; Brent oil prices; Russia-Ukraine War; Iran tensions; NARDL; energy security; energy policy</w:t>
      </w:r>
    </w:p>
    <w:p w14:paraId="42A2BAFE" w14:textId="77777777" w:rsidR="00461277" w:rsidRPr="003C190B" w:rsidRDefault="00000000" w:rsidP="003C190B">
      <w:pPr>
        <w:pStyle w:val="Balk1"/>
        <w:spacing w:before="240" w:after="120" w:line="360" w:lineRule="auto"/>
        <w:jc w:val="left"/>
        <w:rPr>
          <w:sz w:val="24"/>
          <w:szCs w:val="24"/>
        </w:rPr>
      </w:pPr>
      <w:r w:rsidRPr="003C190B">
        <w:rPr>
          <w:rFonts w:ascii="Times New Roman" w:eastAsia="Times New Roman" w:hAnsi="Times New Roman"/>
          <w:b/>
          <w:sz w:val="24"/>
          <w:szCs w:val="24"/>
        </w:rPr>
        <w:t>1. Introduction</w:t>
      </w:r>
    </w:p>
    <w:p w14:paraId="77EC7DE8"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Crude oil prices are among the key indicators reflecting the functioning of the global energy system, expectations regarding supply security, and perceptions of geopolitical risk. These prices do not merely respond to current supply–demand conditions; they also price in expectations of future supply disruptions, transportation risks, and the likelihood of conflict (Kilian et al., 2024). Therefore, fluctuations in oil prices have direct implications for energy costs, inflation dynamics, fiscal balances, market expectations, and the policy choices of developing economies, particularly those dependent on energy imports (Yang et al., 2023; Huang et al., 2021).</w:t>
      </w:r>
    </w:p>
    <w:p w14:paraId="46A7331A"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 xml:space="preserve">Given that states often regard oil as an important political instrument, oil markets are inevitably exposed to geopolitical events and tensions (Qin et al., 2020). This exposure may operate through two opposing channels. On the one hand, geopolitical tensions can raise the probability of future supply disruptions and generate a risk premium in oil markets. On the other hand, they can increase uncertainty about global economic activity, thereby exerting downward pressure on consumption, investment, and energy demand (Kilian et al., 2024; Minesso et al., 2023). Accordingly, the impact of geopolitical risk on oil prices may </w:t>
      </w:r>
      <w:r w:rsidRPr="003C190B">
        <w:rPr>
          <w:rFonts w:ascii="Times New Roman" w:hAnsi="Times New Roman" w:eastAsia="Times New Roman"/>
          <w:sz w:val="24"/>
          <w:szCs w:val="24"/>
        </w:rPr>
        <w:lastRenderedPageBreak/>
        <w:t>vary not only with the level of risk itself, but also with the geography of the event, the affected supply or transit channel, and the expectations through which the market prices the shock.</w:t>
      </w:r>
    </w:p>
    <w:p w14:paraId="17605606"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The existing literature shows that the relationship between geopolitical risk and oil prices is neither linear, unidirectional, nor stable over time. Studies based on the GPR index demonstrate that geopolitical risk can affect oil prices, oil returns, volatility, and inflation dynamics (Caldara and Iacoviello, 2022; Yang et al., 2023; Ivanovski and Hailemariam, 2022; Qin et al., 2020). However, much of this literature treats geopolitical risk as a general uncertainty indicator and only partially distinguishes the channels through which different geopolitical events are transmitted to oil prices. Yet the effect of geopolitical risk on oil markets may depend not only on the level of risk, but also on whether the risk emerges as a producer-country crisis, a sanctions regime, a transit-security threat, or a vulnerability at a critical energy chokepoint.</w:t>
      </w:r>
    </w:p>
    <w:p w14:paraId="65D0D508"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In this context, the Russia–Ukraine War and Iran-related tensions can be considered two distinct types of geopolitical risk transmitted to oil markets through different channels. The Russia–Ukraine War represents a geopolitical shock that directly affects an energy-producing and exporting region, shaping oil prices through sanctions, supply expectations, European energy security concerns, and broader market uncertainty. By contrast, Iran-related tensions are priced less through actual oil supply losses and more through transit security, tanker transportation, insurance costs, and expectations of potential supply disruptions, particularly because of the strategic position of the Strait of Hormuz. Given the central role of the Strait of Hormuz in global oil flows, Iran-related tensions may influence oil markets primarily through the oil risk premium channel (Olanipekun and Alola, 2020; Shepard and Pratson, 2020).</w:t>
      </w:r>
    </w:p>
    <w:p w14:paraId="17897E3B"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This study builds on this distinction by examining whether the impact of geopolitical risk on Brent oil prices varies across event contexts. To this end, the Global Geopolitical Risk Index is decomposed into positive and negative components, which are then interacted with dummy variables representing the Russia–Ukraine War and Iran-related tensions. This design allows the study to evaluate, within a single empirical framework, both the general effect of geopolitical risk on Brent prices and the extent to which this effect changes across two distinct geopolitical contexts.</w:t>
      </w:r>
    </w:p>
    <w:p w14:paraId="10BC6D9C" w14:textId="77777777" w:rsidR="00461277" w:rsidRPr="003C190B" w:rsidRDefault="00000000" w:rsidP="003C190B">
      <w:pPr>
        <w:pStyle w:val="Balk1"/>
        <w:spacing w:before="240" w:after="120" w:line="360" w:lineRule="auto"/>
        <w:jc w:val="left"/>
        <w:rPr>
          <w:sz w:val="24"/>
          <w:szCs w:val="24"/>
        </w:rPr>
      </w:pPr>
      <w:r w:rsidRPr="003C190B">
        <w:rPr>
          <w:rFonts w:ascii="Times New Roman" w:eastAsia="Times New Roman" w:hAnsi="Times New Roman"/>
          <w:b/>
          <w:sz w:val="24"/>
          <w:szCs w:val="24"/>
        </w:rPr>
        <w:t>2. Literature Review and Conceptual Background</w:t>
      </w:r>
    </w:p>
    <w:p w14:paraId="27C5BAC9" w14:textId="77777777" w:rsidR="00461277" w:rsidRPr="003C190B" w:rsidRDefault="00000000" w:rsidP="003C190B">
      <w:pPr>
        <w:pStyle w:val="Balk2"/>
        <w:spacing w:before="240" w:after="120" w:line="360" w:lineRule="auto"/>
        <w:jc w:val="left"/>
        <w:rPr>
          <w:szCs w:val="24"/>
        </w:rPr>
      </w:pPr>
      <w:r w:rsidRPr="003C190B">
        <w:rPr>
          <w:rFonts w:ascii="Times New Roman" w:eastAsia="Times New Roman" w:hAnsi="Times New Roman"/>
          <w:b/>
          <w:sz w:val="24"/>
          <w:szCs w:val="24"/>
        </w:rPr>
        <w:t>2.1. Geopolitical risk and oil price dynamics</w:t>
      </w:r>
    </w:p>
    <w:p w14:paraId="679B84F0"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 xml:space="preserve">The Global Geopolitical Risk Index developed by Caldara and Iacoviello (2022) is one of the most widely used indicators for measuring geopolitical risk. Based on systematic newspaper searches, the index captures not only realized geopolitical events but also threats, tensions, and expectations of conflict. This </w:t>
      </w:r>
      <w:r w:rsidRPr="003C190B">
        <w:rPr>
          <w:rFonts w:ascii="Times New Roman" w:hAnsi="Times New Roman" w:eastAsia="Times New Roman"/>
          <w:sz w:val="24"/>
          <w:szCs w:val="24"/>
        </w:rPr>
        <w:lastRenderedPageBreak/>
        <w:t>makes the GPR index particularly useful for analysing oil markets, where risk is often priced before actual supply disruptions materialize.</w:t>
      </w:r>
    </w:p>
    <w:p w14:paraId="5447D5CF"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Recent studies show that geopolitical risk affects oil markets through multiple and sometimes opposing channels. Yang et al. (2023) emphasize two mechanisms: an economic activity channel, through which geopolitical uncertainty weakens consumption, investment, and oil demand; and a risk channel, through which expectations of future supply disruptions raise the holding value of oil contracts and increase risk premiums. Similarly, the ECB assessment summarized by Minesso et al. (2023) shows that the oil price response to geopolitical shocks depends on the source of the event and the market’s perception of supply disruption risks.</w:t>
      </w:r>
    </w:p>
    <w:p w14:paraId="62E2523E"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The literature also indicates that the GPR–oil price nexus is time-varying and conditional on market regimes. Ivanovski and Hailemariam (2022) show that the relationship between geopolitical risk, oil prices, and oil price volatility changes over time, while Huang et al. (2021) find that geopolitical risk is more strongly associated with oil volatility than with oil returns. These findings support the view that geopolitical risk should not be treated as a uniform shock in oil markets.</w:t>
      </w:r>
    </w:p>
    <w:p w14:paraId="1F7A11E1" w14:textId="77777777" w:rsidR="00461277" w:rsidRPr="003C190B" w:rsidRDefault="00000000" w:rsidP="003C190B">
      <w:pPr>
        <w:pStyle w:val="Balk2"/>
        <w:spacing w:before="240" w:after="120" w:line="360" w:lineRule="auto"/>
        <w:jc w:val="left"/>
        <w:rPr>
          <w:szCs w:val="24"/>
        </w:rPr>
      </w:pPr>
      <w:r w:rsidRPr="003C190B">
        <w:rPr>
          <w:rFonts w:ascii="Times New Roman" w:eastAsia="Times New Roman" w:hAnsi="Times New Roman"/>
          <w:b/>
          <w:sz w:val="24"/>
          <w:szCs w:val="24"/>
        </w:rPr>
        <w:t>2.2. Nonlinear and asymmetric effects of geopolitical risk</w:t>
      </w:r>
    </w:p>
    <w:p w14:paraId="290CBA29"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Because geopolitical risk may affect oil prices differently depending on the direction of the shock and market conditions, nonlinear and asymmetric approaches have become increasingly important. Qin et al. (2020) show that the effects of geopolitical risk on energy returns and volatility vary across market conditions, while Ren et al. (2023), using a QARDL approach, demonstrate that the effect of GPR on crude oil prices differs across quantiles and time horizons. These studies suggest that the oil market response to geopolitical risk is not adequately captured by linear and symmetric specifications.</w:t>
      </w:r>
    </w:p>
    <w:p w14:paraId="684E6D11"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Asymmetric modelling is particularly relevant for oil markets because increases in geopolitical risk may generate immediate risk premiums, whereas reductions in risk may not lead to proportional price declines. Wars, sanctions, and regional tensions may leave persistent uncertainty in expectations even after the initial shock fades. The NARDL framework is therefore suitable for separating positive and negative changes in geopolitical risk and for evaluating whether their effects differ in the short and long run (Shin et al., 2014; Pesaran et al., 2001).</w:t>
      </w:r>
    </w:p>
    <w:p w14:paraId="23BB0B88" w14:textId="77777777" w:rsidR="00461277" w:rsidRPr="003C190B" w:rsidRDefault="00000000" w:rsidP="003C190B">
      <w:pPr>
        <w:pStyle w:val="Balk2"/>
        <w:spacing w:before="240" w:after="120" w:line="360" w:lineRule="auto"/>
        <w:jc w:val="left"/>
        <w:rPr>
          <w:szCs w:val="24"/>
        </w:rPr>
      </w:pPr>
      <w:r w:rsidRPr="003C190B">
        <w:rPr>
          <w:rFonts w:ascii="Times New Roman" w:eastAsia="Times New Roman" w:hAnsi="Times New Roman"/>
          <w:b/>
          <w:sz w:val="24"/>
          <w:szCs w:val="24"/>
        </w:rPr>
        <w:t>2.3. Event-contextual geopolitical risk: Russia–Ukraine and Iran-related tensions</w:t>
      </w:r>
    </w:p>
    <w:p w14:paraId="59B61887"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 xml:space="preserve">The Russia–Ukraine War represents a producer-country and sanctions-related geopolitical shock. Zhang et al. (2024) show that the war and associated sanctions generated sharp increases in WTI and Brent prices and substantially increased market volatility. Fang and Shao (2022), Ohikhuare (2023), and Pan and Sun </w:t>
      </w:r>
      <w:r w:rsidRPr="003C190B">
        <w:rPr>
          <w:rFonts w:ascii="Times New Roman" w:hAnsi="Times New Roman" w:eastAsia="Times New Roman"/>
          <w:sz w:val="24"/>
          <w:szCs w:val="24"/>
        </w:rPr>
        <w:lastRenderedPageBreak/>
        <w:t>(2023) further show that the war affected commodity markets through volatility, financial spillovers, futures market reactions, and broader uncertainty channels. These findings indicate that the Russia–Ukraine War is not merely a general increase in geopolitical risk, but an event context linked to production geography, sanctions, and European energy security.</w:t>
      </w:r>
    </w:p>
    <w:p w14:paraId="39D7CEC2"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Iran-related tensions represent a different geopolitical pricing mechanism. Rather than directly affecting a major production area in the same way as the Russia–Ukraine War, Iran-related tensions are primarily linked to the Strait of Hormuz, tanker transportation, transit security, insurance costs, and expectations of possible supply disruptions. Shepard and Pratson (2020) identify the Strait of Hormuz as a critical chokepoint for global energy flows, while Goldenberg et al. (2019) emphasize that US–Iran tensions can be priced through low-probability but high-impact scenarios involving shipping traffic and energy infrastructure. Olanipekun and Alola (2020) also show that geopolitical risk in the Persian Gulf can affect oil production asymmetrically.</w:t>
      </w:r>
    </w:p>
    <w:p w14:paraId="2723A88B"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Overall, the literature reveals three gaps. First, many studies examine the oil price effects of geopolitical risk through the aggregate GPR index without testing whether the effect varies across event contexts. Second, the Russia–Ukraine War and Iran-related tensions are usually discussed in separate literatures, and their effects on Brent prices are rarely compared within the same empirical framework. Third, existing studies focus mostly on direct price, volatility, or spillover effects, whereas fewer studies model GPR components through event-specific interaction terms. This study addresses these gaps by comparing two geopolitical event contexts within an interaction-augmented NARDL framework.</w:t>
      </w:r>
    </w:p>
    <w:p w14:paraId="1E059B97" w14:textId="77777777" w:rsidR="00461277" w:rsidRPr="003C190B" w:rsidRDefault="00000000" w:rsidP="003C190B">
      <w:pPr>
        <w:pStyle w:val="Balk1"/>
        <w:spacing w:before="240" w:after="120" w:line="360" w:lineRule="auto"/>
        <w:jc w:val="left"/>
        <w:rPr>
          <w:sz w:val="24"/>
          <w:szCs w:val="24"/>
        </w:rPr>
      </w:pPr>
      <w:r w:rsidRPr="003C190B">
        <w:rPr>
          <w:rFonts w:ascii="Times New Roman" w:eastAsia="Times New Roman" w:hAnsi="Times New Roman"/>
          <w:b/>
          <w:sz w:val="24"/>
          <w:szCs w:val="24"/>
        </w:rPr>
        <w:t>3. Data and Empirical Strategy</w:t>
      </w:r>
    </w:p>
    <w:p w14:paraId="582EA115" w14:textId="77777777" w:rsidR="00461277" w:rsidRPr="003C190B" w:rsidRDefault="00000000" w:rsidP="003C190B">
      <w:pPr>
        <w:pStyle w:val="Balk2"/>
        <w:spacing w:before="240" w:after="120" w:line="360" w:lineRule="auto"/>
        <w:jc w:val="left"/>
        <w:rPr>
          <w:szCs w:val="24"/>
        </w:rPr>
      </w:pPr>
      <w:r w:rsidRPr="003C190B">
        <w:rPr>
          <w:rFonts w:ascii="Times New Roman" w:eastAsia="Times New Roman" w:hAnsi="Times New Roman"/>
          <w:b/>
          <w:sz w:val="24"/>
          <w:szCs w:val="24"/>
        </w:rPr>
        <w:t>3.1. Data and variables</w:t>
      </w:r>
    </w:p>
    <w:p w14:paraId="0FE6896F"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This study examines the relationship between Brent oil prices and geopolitical risk using monthly data for the period 2007M06–2026M03. The dataset is designed to test both the general effect of geopolitical risk on Brent oil prices and whether this effect differs across the Russia–Ukraine War and Iran-related tension contexts. The main variables are Brent oil prices, the Global Geopolitical Risk Index, Russia–Ukraine and Iran event dummies, and the OVX and EPUTRADE variables used in robustness checks.</w:t>
      </w:r>
    </w:p>
    <w:p w14:paraId="1A3322E5" w14:textId="77777777" w:rsidR="00461277" w:rsidRDefault="00000000">
      <w:pPr>
        <w:spacing w:after="120" w:line="360" w:lineRule="auto"/>
        <w:jc w:val="both"/>
      </w:pPr>
      <w:r>
        <w:rPr>
          <w:rFonts w:ascii="Times New Roman" w:hAnsi="Times New Roman" w:eastAsia="Times New Roman"/>
          <w:b/>
          <w:sz w:val="24"/>
        </w:rPr>
        <w:t>Table 1. Variable definitions and data sources</w:t>
      </w:r>
    </w:p>
    <w:tbl>
      <w:tblPr>
        <w:tblStyle w:val="TabloKlavuzu"/>
        <w:tblW w:w="0" w:type="auto"/>
        <w:jc w:val="center"/>
        <w:tblLayout w:type="autofit"/>
        <w:tblLook w:val="04A0" w:firstRow="1" w:lastRow="0" w:firstColumn="1" w:lastColumn="0" w:noHBand="0" w:noVBand="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1296"/>
        <w:gridCol w:w="2880"/>
        <w:gridCol w:w="2160"/>
        <w:gridCol w:w="1152"/>
      </w:tblGrid>
      <w:tr w:rsidR="00461277" w14:paraId="75D946F2" w14:textId="77777777">
        <w:trPr>
          <w:jc w:val="center"/>
        </w:trPr>
        <w:tc>
          <w:tcPr>
            <w:tcW w:w="2016" w:type="dxa"/>
            <w:vAlign w:val="center"/>
            <w:shd w:fill="D9EAF7"/>
          </w:tcPr>
          <w:p w14:paraId="36CE6E2E" w14:textId="77777777" w:rsidR="00461277" w:rsidRDefault="00000000">
            <w:pPr>
              <w:spacing w:line="240" w:lineRule="auto" w:after="40"/>
            </w:pPr>
            <w:r>
              <w:rPr>
                <w:rFonts w:ascii="Times New Roman" w:hAnsi="Times New Roman" w:eastAsia="Times New Roman"/>
                <w:b/>
                <w:sz w:val="20"/>
              </w:rPr>
              <w:t>Variable</w:t>
            </w:r>
          </w:p>
        </w:tc>
        <w:tc>
          <w:tcPr>
            <w:tcW w:w="1296" w:type="dxa"/>
            <w:vAlign w:val="center"/>
            <w:shd w:fill="D9EAF7"/>
          </w:tcPr>
          <w:p w14:paraId="28659D06" w14:textId="77777777" w:rsidR="00461277" w:rsidRDefault="00000000">
            <w:pPr>
              <w:spacing w:line="240" w:lineRule="auto" w:after="40"/>
            </w:pPr>
            <w:r>
              <w:rPr>
                <w:rFonts w:ascii="Times New Roman" w:hAnsi="Times New Roman" w:eastAsia="Times New Roman"/>
                <w:b/>
                <w:sz w:val="20"/>
              </w:rPr>
              <w:t>Symbol</w:t>
            </w:r>
          </w:p>
        </w:tc>
        <w:tc>
          <w:tcPr>
            <w:tcW w:w="2880" w:type="dxa"/>
            <w:vAlign w:val="center"/>
            <w:shd w:fill="D9EAF7"/>
          </w:tcPr>
          <w:p w14:paraId="5D45BF80" w14:textId="77777777" w:rsidR="00461277" w:rsidRDefault="00000000">
            <w:pPr>
              <w:spacing w:line="240" w:lineRule="auto" w:after="40"/>
            </w:pPr>
            <w:r>
              <w:rPr>
                <w:rFonts w:ascii="Times New Roman" w:hAnsi="Times New Roman" w:eastAsia="Times New Roman"/>
                <w:b/>
                <w:sz w:val="20"/>
              </w:rPr>
              <w:t>Description</w:t>
            </w:r>
          </w:p>
        </w:tc>
        <w:tc>
          <w:tcPr>
            <w:tcW w:w="2160" w:type="dxa"/>
            <w:vAlign w:val="center"/>
            <w:shd w:fill="D9EAF7"/>
          </w:tcPr>
          <w:p w14:paraId="57D086E9" w14:textId="77777777" w:rsidR="00461277" w:rsidRDefault="00000000">
            <w:pPr>
              <w:spacing w:line="240" w:lineRule="auto" w:after="40"/>
            </w:pPr>
            <w:r>
              <w:rPr>
                <w:rFonts w:ascii="Times New Roman" w:hAnsi="Times New Roman" w:eastAsia="Times New Roman"/>
                <w:b/>
                <w:sz w:val="20"/>
              </w:rPr>
              <w:t>Source</w:t>
            </w:r>
          </w:p>
        </w:tc>
        <w:tc>
          <w:tcPr>
            <w:tcW w:w="1152" w:type="dxa"/>
            <w:vAlign w:val="center"/>
            <w:shd w:fill="D9EAF7"/>
          </w:tcPr>
          <w:p w14:paraId="75D48AAF" w14:textId="77777777" w:rsidR="00461277" w:rsidRDefault="00000000">
            <w:pPr>
              <w:spacing w:line="240" w:lineRule="auto" w:after="40"/>
            </w:pPr>
            <w:r>
              <w:rPr>
                <w:rFonts w:ascii="Times New Roman" w:hAnsi="Times New Roman" w:eastAsia="Times New Roman"/>
                <w:b/>
                <w:sz w:val="20"/>
              </w:rPr>
              <w:t>Frequency</w:t>
            </w:r>
          </w:p>
        </w:tc>
      </w:tr>
      <w:tr w:rsidR="00461277" w14:paraId="31801E04" w14:textId="77777777">
        <w:trPr>
          <w:jc w:val="center"/>
        </w:trPr>
        <w:tc>
          <w:tcPr>
            <w:tcW w:w="2016" w:type="dxa"/>
            <w:vAlign w:val="center"/>
          </w:tcPr>
          <w:p w14:paraId="2B8396FE" w14:textId="77777777" w:rsidR="00461277" w:rsidRDefault="00000000">
            <w:pPr>
              <w:spacing w:line="240" w:lineRule="auto" w:after="40"/>
            </w:pPr>
            <w:r>
              <w:rPr>
                <w:rFonts w:ascii="Times New Roman" w:hAnsi="Times New Roman" w:eastAsia="Times New Roman"/>
                <w:sz w:val="20"/>
              </w:rPr>
              <w:t>Brent oil price</w:t>
            </w:r>
          </w:p>
        </w:tc>
        <w:tc>
          <w:tcPr>
            <w:tcW w:w="1296" w:type="dxa"/>
            <w:vAlign w:val="center"/>
          </w:tcPr>
          <w:p w14:paraId="72446975" w14:textId="77777777" w:rsidR="00461277" w:rsidRDefault="00000000">
            <w:pPr>
              <w:spacing w:line="240" w:lineRule="auto" w:after="40"/>
            </w:pPr>
            <w:r>
              <w:rPr>
                <w:rFonts w:ascii="Times New Roman" w:hAnsi="Times New Roman" w:eastAsia="Times New Roman"/>
                <w:sz w:val="20"/>
              </w:rPr>
              <w:t>BRENT</w:t>
            </w:r>
          </w:p>
        </w:tc>
        <w:tc>
          <w:tcPr>
            <w:tcW w:w="2880" w:type="dxa"/>
            <w:vAlign w:val="center"/>
          </w:tcPr>
          <w:p w14:paraId="458EAFE1" w14:textId="77777777" w:rsidR="00461277" w:rsidRDefault="00000000">
            <w:pPr>
              <w:spacing w:line="240" w:lineRule="auto" w:after="40"/>
            </w:pPr>
            <w:r>
              <w:rPr>
                <w:rFonts w:ascii="Times New Roman" w:hAnsi="Times New Roman" w:eastAsia="Times New Roman"/>
                <w:sz w:val="20"/>
              </w:rPr>
              <w:t>Brent crude oil price</w:t>
            </w:r>
          </w:p>
        </w:tc>
        <w:tc>
          <w:tcPr>
            <w:tcW w:w="2160" w:type="dxa"/>
            <w:vAlign w:val="center"/>
          </w:tcPr>
          <w:p w14:paraId="0DFE26AE" w14:textId="77777777" w:rsidR="00461277" w:rsidRDefault="00000000">
            <w:pPr>
              <w:spacing w:line="240" w:lineRule="auto" w:after="40"/>
            </w:pPr>
            <w:r>
              <w:rPr>
                <w:rFonts w:ascii="Times New Roman" w:hAnsi="Times New Roman" w:eastAsia="Times New Roman"/>
                <w:sz w:val="20"/>
              </w:rPr>
              <w:t>Investing.com / EIA / FRED</w:t>
            </w:r>
          </w:p>
        </w:tc>
        <w:tc>
          <w:tcPr>
            <w:tcW w:w="1152" w:type="dxa"/>
            <w:vAlign w:val="center"/>
          </w:tcPr>
          <w:p w14:paraId="6A1E8FD0" w14:textId="77777777" w:rsidR="00461277" w:rsidRDefault="00000000">
            <w:pPr>
              <w:spacing w:line="240" w:lineRule="auto" w:after="40"/>
            </w:pPr>
            <w:r>
              <w:rPr>
                <w:rFonts w:ascii="Times New Roman" w:hAnsi="Times New Roman" w:eastAsia="Times New Roman"/>
                <w:sz w:val="20"/>
              </w:rPr>
              <w:t>Monthly</w:t>
            </w:r>
          </w:p>
        </w:tc>
      </w:tr>
      <w:tr w:rsidR="00461277" w14:paraId="7759C7D7" w14:textId="77777777">
        <w:trPr>
          <w:jc w:val="center"/>
        </w:trPr>
        <w:tc>
          <w:tcPr>
            <w:tcW w:w="2016" w:type="dxa"/>
            <w:vAlign w:val="center"/>
          </w:tcPr>
          <w:p w14:paraId="1B0C582C" w14:textId="77777777" w:rsidR="00461277" w:rsidRDefault="00000000">
            <w:pPr>
              <w:spacing w:line="240" w:lineRule="auto" w:after="40"/>
            </w:pPr>
            <w:r>
              <w:rPr>
                <w:rFonts w:ascii="Times New Roman" w:hAnsi="Times New Roman" w:eastAsia="Times New Roman"/>
                <w:sz w:val="20"/>
              </w:rPr>
              <w:t>Global Geopolitical Risk Index</w:t>
            </w:r>
          </w:p>
        </w:tc>
        <w:tc>
          <w:tcPr>
            <w:tcW w:w="1296" w:type="dxa"/>
            <w:vAlign w:val="center"/>
          </w:tcPr>
          <w:p w14:paraId="439F45DC" w14:textId="77777777" w:rsidR="00461277" w:rsidRDefault="00000000">
            <w:pPr>
              <w:spacing w:line="240" w:lineRule="auto" w:after="40"/>
            </w:pPr>
            <w:r>
              <w:rPr>
                <w:rFonts w:ascii="Times New Roman" w:hAnsi="Times New Roman" w:eastAsia="Times New Roman"/>
                <w:sz w:val="20"/>
              </w:rPr>
              <w:t>GPR</w:t>
            </w:r>
          </w:p>
        </w:tc>
        <w:tc>
          <w:tcPr>
            <w:tcW w:w="2880" w:type="dxa"/>
            <w:vAlign w:val="center"/>
          </w:tcPr>
          <w:p w14:paraId="5047D366" w14:textId="77777777" w:rsidR="00461277" w:rsidRDefault="00000000">
            <w:pPr>
              <w:spacing w:line="240" w:lineRule="auto" w:after="40"/>
            </w:pPr>
            <w:r>
              <w:rPr>
                <w:rFonts w:ascii="Times New Roman" w:hAnsi="Times New Roman" w:eastAsia="Times New Roman"/>
                <w:sz w:val="20"/>
              </w:rPr>
              <w:t>News-based global geopolitical risk index</w:t>
            </w:r>
          </w:p>
        </w:tc>
        <w:tc>
          <w:tcPr>
            <w:tcW w:w="2160" w:type="dxa"/>
            <w:vAlign w:val="center"/>
          </w:tcPr>
          <w:p w14:paraId="6E85DF05" w14:textId="77777777" w:rsidR="00461277" w:rsidRDefault="00000000">
            <w:pPr>
              <w:spacing w:line="240" w:lineRule="auto" w:after="40"/>
            </w:pPr>
            <w:r>
              <w:rPr>
                <w:rFonts w:ascii="Times New Roman" w:hAnsi="Times New Roman" w:eastAsia="Times New Roman"/>
                <w:sz w:val="20"/>
              </w:rPr>
              <w:t>Caldara and Iacoviello</w:t>
            </w:r>
          </w:p>
        </w:tc>
        <w:tc>
          <w:tcPr>
            <w:tcW w:w="1152" w:type="dxa"/>
            <w:vAlign w:val="center"/>
          </w:tcPr>
          <w:p w14:paraId="20C9C365" w14:textId="77777777" w:rsidR="00461277" w:rsidRDefault="00000000">
            <w:pPr>
              <w:spacing w:line="240" w:lineRule="auto" w:after="40"/>
            </w:pPr>
            <w:r>
              <w:rPr>
                <w:rFonts w:ascii="Times New Roman" w:hAnsi="Times New Roman" w:eastAsia="Times New Roman"/>
                <w:sz w:val="20"/>
              </w:rPr>
              <w:t>Monthly</w:t>
            </w:r>
          </w:p>
        </w:tc>
      </w:tr>
      <w:tr w:rsidR="00461277" w14:paraId="147A186F" w14:textId="77777777">
        <w:trPr>
          <w:jc w:val="center"/>
        </w:trPr>
        <w:tc>
          <w:tcPr>
            <w:tcW w:w="2016" w:type="dxa"/>
            <w:vAlign w:val="center"/>
          </w:tcPr>
          <w:p w14:paraId="4A546E41" w14:textId="77777777" w:rsidR="00461277" w:rsidRDefault="00000000">
            <w:pPr>
              <w:spacing w:line="240" w:lineRule="auto" w:after="40"/>
            </w:pPr>
            <w:r>
              <w:rPr>
                <w:rFonts w:ascii="Times New Roman" w:hAnsi="Times New Roman" w:eastAsia="Times New Roman"/>
                <w:sz w:val="20"/>
              </w:rPr>
              <w:t>Russia–Ukraine War dummy</w:t>
            </w:r>
          </w:p>
        </w:tc>
        <w:tc>
          <w:tcPr>
            <w:tcW w:w="1296" w:type="dxa"/>
            <w:vAlign w:val="center"/>
          </w:tcPr>
          <w:p w14:paraId="241683B7" w14:textId="77777777" w:rsidR="00461277" w:rsidRDefault="00000000">
            <w:pPr>
              <w:spacing w:line="240" w:lineRule="auto" w:after="40"/>
            </w:pPr>
            <w:r>
              <w:rPr>
                <w:rFonts w:ascii="Times New Roman" w:hAnsi="Times New Roman" w:eastAsia="Times New Roman"/>
                <w:sz w:val="20"/>
              </w:rPr>
              <w:t>RU_D</w:t>
            </w:r>
          </w:p>
        </w:tc>
        <w:tc>
          <w:tcPr>
            <w:tcW w:w="2880" w:type="dxa"/>
            <w:vAlign w:val="center"/>
          </w:tcPr>
          <w:p w14:paraId="0EC7BDA1" w14:textId="77777777" w:rsidR="00461277" w:rsidRDefault="00000000">
            <w:pPr>
              <w:spacing w:line="240" w:lineRule="auto" w:after="40"/>
            </w:pPr>
            <w:r>
              <w:rPr>
                <w:rFonts w:ascii="Times New Roman" w:hAnsi="Times New Roman" w:eastAsia="Times New Roman"/>
                <w:sz w:val="20"/>
              </w:rPr>
              <w:t>Event dummy representing the Russia–Ukraine War period</w:t>
            </w:r>
          </w:p>
        </w:tc>
        <w:tc>
          <w:tcPr>
            <w:tcW w:w="2160" w:type="dxa"/>
            <w:vAlign w:val="center"/>
          </w:tcPr>
          <w:p w14:paraId="1FC27B2B" w14:textId="77777777" w:rsidR="00461277" w:rsidRDefault="00000000">
            <w:pPr>
              <w:spacing w:line="240" w:lineRule="auto" w:after="40"/>
            </w:pPr>
            <w:r>
              <w:rPr>
                <w:rFonts w:ascii="Times New Roman" w:hAnsi="Times New Roman" w:eastAsia="Times New Roman"/>
                <w:sz w:val="20"/>
              </w:rPr>
              <w:t>Author’s definition</w:t>
            </w:r>
          </w:p>
        </w:tc>
        <w:tc>
          <w:tcPr>
            <w:tcW w:w="1152" w:type="dxa"/>
            <w:vAlign w:val="center"/>
          </w:tcPr>
          <w:p w14:paraId="02FBE483" w14:textId="77777777" w:rsidR="00461277" w:rsidRDefault="00000000">
            <w:pPr>
              <w:spacing w:line="240" w:lineRule="auto" w:after="40"/>
            </w:pPr>
            <w:r>
              <w:rPr>
                <w:rFonts w:ascii="Times New Roman" w:hAnsi="Times New Roman" w:eastAsia="Times New Roman"/>
                <w:sz w:val="20"/>
              </w:rPr>
              <w:t>Monthly</w:t>
            </w:r>
          </w:p>
        </w:tc>
      </w:tr>
      <w:tr w:rsidR="00461277" w14:paraId="7420C8A8" w14:textId="77777777">
        <w:trPr>
          <w:jc w:val="center"/>
        </w:trPr>
        <w:tc>
          <w:tcPr>
            <w:tcW w:w="2016" w:type="dxa"/>
            <w:vAlign w:val="center"/>
          </w:tcPr>
          <w:p w14:paraId="2B081F90" w14:textId="77777777" w:rsidR="00461277" w:rsidRDefault="00000000">
            <w:pPr>
              <w:spacing w:line="240" w:lineRule="auto" w:after="40"/>
            </w:pPr>
            <w:r>
              <w:rPr>
                <w:rFonts w:ascii="Times New Roman" w:hAnsi="Times New Roman" w:eastAsia="Times New Roman"/>
                <w:sz w:val="20"/>
              </w:rPr>
              <w:t>Iran-related tension dummy</w:t>
            </w:r>
          </w:p>
        </w:tc>
        <w:tc>
          <w:tcPr>
            <w:tcW w:w="1296" w:type="dxa"/>
            <w:vAlign w:val="center"/>
          </w:tcPr>
          <w:p w14:paraId="71AF9B7F" w14:textId="77777777" w:rsidR="00461277" w:rsidRDefault="00000000">
            <w:pPr>
              <w:spacing w:line="240" w:lineRule="auto" w:after="40"/>
            </w:pPr>
            <w:r>
              <w:rPr>
                <w:rFonts w:ascii="Times New Roman" w:hAnsi="Times New Roman" w:eastAsia="Times New Roman"/>
                <w:sz w:val="20"/>
              </w:rPr>
              <w:t>IR_D</w:t>
            </w:r>
          </w:p>
        </w:tc>
        <w:tc>
          <w:tcPr>
            <w:tcW w:w="2880" w:type="dxa"/>
            <w:vAlign w:val="center"/>
          </w:tcPr>
          <w:p w14:paraId="78ED3C36" w14:textId="77777777" w:rsidR="00461277" w:rsidRDefault="00000000">
            <w:pPr>
              <w:spacing w:line="240" w:lineRule="auto" w:after="40"/>
            </w:pPr>
            <w:r>
              <w:rPr>
                <w:rFonts w:ascii="Times New Roman" w:hAnsi="Times New Roman" w:eastAsia="Times New Roman"/>
                <w:sz w:val="20"/>
              </w:rPr>
              <w:t>Event dummy representing the Iran–US–Israel tension period</w:t>
            </w:r>
          </w:p>
        </w:tc>
        <w:tc>
          <w:tcPr>
            <w:tcW w:w="2160" w:type="dxa"/>
            <w:vAlign w:val="center"/>
          </w:tcPr>
          <w:p w14:paraId="402BE52B" w14:textId="77777777" w:rsidR="00461277" w:rsidRDefault="00000000">
            <w:pPr>
              <w:spacing w:line="240" w:lineRule="auto" w:after="40"/>
            </w:pPr>
            <w:r>
              <w:rPr>
                <w:rFonts w:ascii="Times New Roman" w:hAnsi="Times New Roman" w:eastAsia="Times New Roman"/>
                <w:sz w:val="20"/>
              </w:rPr>
              <w:t>Author’s definition</w:t>
            </w:r>
          </w:p>
        </w:tc>
        <w:tc>
          <w:tcPr>
            <w:tcW w:w="1152" w:type="dxa"/>
            <w:vAlign w:val="center"/>
          </w:tcPr>
          <w:p w14:paraId="6F037EB5" w14:textId="77777777" w:rsidR="00461277" w:rsidRDefault="00000000">
            <w:pPr>
              <w:spacing w:line="240" w:lineRule="auto" w:after="40"/>
            </w:pPr>
            <w:r>
              <w:rPr>
                <w:rFonts w:ascii="Times New Roman" w:hAnsi="Times New Roman" w:eastAsia="Times New Roman"/>
                <w:sz w:val="20"/>
              </w:rPr>
              <w:t>Monthly</w:t>
            </w:r>
          </w:p>
        </w:tc>
      </w:tr>
      <w:tr w:rsidR="00461277" w14:paraId="7C18E825" w14:textId="77777777">
        <w:trPr>
          <w:jc w:val="center"/>
        </w:trPr>
        <w:tc>
          <w:tcPr>
            <w:tcW w:w="2016" w:type="dxa"/>
            <w:vAlign w:val="center"/>
          </w:tcPr>
          <w:p w14:paraId="28BECC3E" w14:textId="77777777" w:rsidR="00461277" w:rsidRDefault="00000000">
            <w:pPr>
              <w:spacing w:line="240" w:lineRule="auto" w:after="40"/>
            </w:pPr>
            <w:r>
              <w:rPr>
                <w:rFonts w:ascii="Times New Roman" w:hAnsi="Times New Roman" w:eastAsia="Times New Roman"/>
                <w:sz w:val="20"/>
              </w:rPr>
              <w:lastRenderedPageBreak/>
              <w:t>Crude Oil Volatility Index</w:t>
            </w:r>
          </w:p>
        </w:tc>
        <w:tc>
          <w:tcPr>
            <w:tcW w:w="1296" w:type="dxa"/>
            <w:vAlign w:val="center"/>
          </w:tcPr>
          <w:p w14:paraId="3AAE4010" w14:textId="77777777" w:rsidR="00461277" w:rsidRDefault="00000000">
            <w:pPr>
              <w:spacing w:line="240" w:lineRule="auto" w:after="40"/>
            </w:pPr>
            <w:r>
              <w:rPr>
                <w:rFonts w:ascii="Times New Roman" w:hAnsi="Times New Roman" w:eastAsia="Times New Roman"/>
                <w:sz w:val="20"/>
              </w:rPr>
              <w:t>OVX</w:t>
            </w:r>
          </w:p>
        </w:tc>
        <w:tc>
          <w:tcPr>
            <w:tcW w:w="2880" w:type="dxa"/>
            <w:vAlign w:val="center"/>
          </w:tcPr>
          <w:p w14:paraId="49DC81F9" w14:textId="77777777" w:rsidR="00461277" w:rsidRDefault="00000000">
            <w:pPr>
              <w:spacing w:line="240" w:lineRule="auto" w:after="40"/>
            </w:pPr>
            <w:r>
              <w:rPr>
                <w:rFonts w:ascii="Times New Roman" w:hAnsi="Times New Roman" w:eastAsia="Times New Roman"/>
                <w:sz w:val="20"/>
              </w:rPr>
              <w:t>Indicator of oil market volatility and risk perception</w:t>
            </w:r>
          </w:p>
        </w:tc>
        <w:tc>
          <w:tcPr>
            <w:tcW w:w="2160" w:type="dxa"/>
            <w:vAlign w:val="center"/>
          </w:tcPr>
          <w:p w14:paraId="2B731755" w14:textId="77777777" w:rsidR="00461277" w:rsidRDefault="00000000">
            <w:pPr>
              <w:spacing w:line="240" w:lineRule="auto" w:after="40"/>
            </w:pPr>
            <w:r>
              <w:rPr>
                <w:rFonts w:ascii="Times New Roman" w:hAnsi="Times New Roman" w:eastAsia="Times New Roman"/>
                <w:sz w:val="20"/>
              </w:rPr>
              <w:t>CBOE / FRED</w:t>
            </w:r>
          </w:p>
        </w:tc>
        <w:tc>
          <w:tcPr>
            <w:tcW w:w="1152" w:type="dxa"/>
            <w:vAlign w:val="center"/>
          </w:tcPr>
          <w:p w14:paraId="7952E49A" w14:textId="77777777" w:rsidR="00461277" w:rsidRDefault="00000000">
            <w:pPr>
              <w:spacing w:line="240" w:lineRule="auto" w:after="40"/>
            </w:pPr>
            <w:r>
              <w:rPr>
                <w:rFonts w:ascii="Times New Roman" w:hAnsi="Times New Roman" w:eastAsia="Times New Roman"/>
                <w:sz w:val="20"/>
              </w:rPr>
              <w:t>Monthly</w:t>
            </w:r>
          </w:p>
        </w:tc>
      </w:tr>
      <w:tr w:rsidR="00461277" w14:paraId="39A5AE3C" w14:textId="77777777">
        <w:trPr>
          <w:jc w:val="center"/>
        </w:trPr>
        <w:tc>
          <w:tcPr>
            <w:tcW w:w="2016" w:type="dxa"/>
            <w:vAlign w:val="center"/>
          </w:tcPr>
          <w:p w14:paraId="628ECB8D" w14:textId="77777777" w:rsidR="00461277" w:rsidRDefault="00000000">
            <w:pPr>
              <w:spacing w:line="240" w:lineRule="auto" w:after="40"/>
            </w:pPr>
            <w:r>
              <w:rPr>
                <w:rFonts w:ascii="Times New Roman" w:hAnsi="Times New Roman" w:eastAsia="Times New Roman"/>
                <w:sz w:val="20"/>
              </w:rPr>
              <w:t>Trade Policy Uncertainty Index</w:t>
            </w:r>
          </w:p>
        </w:tc>
        <w:tc>
          <w:tcPr>
            <w:tcW w:w="1296" w:type="dxa"/>
            <w:vAlign w:val="center"/>
          </w:tcPr>
          <w:p w14:paraId="1B23C0A8" w14:textId="77777777" w:rsidR="00461277" w:rsidRDefault="00000000">
            <w:pPr>
              <w:spacing w:line="240" w:lineRule="auto" w:after="40"/>
            </w:pPr>
            <w:r>
              <w:rPr>
                <w:rFonts w:ascii="Times New Roman" w:hAnsi="Times New Roman" w:eastAsia="Times New Roman"/>
                <w:sz w:val="20"/>
              </w:rPr>
              <w:t>EPUTRADE</w:t>
            </w:r>
          </w:p>
        </w:tc>
        <w:tc>
          <w:tcPr>
            <w:tcW w:w="2880" w:type="dxa"/>
            <w:vAlign w:val="center"/>
          </w:tcPr>
          <w:p w14:paraId="45A2BE1B" w14:textId="77777777" w:rsidR="00461277" w:rsidRDefault="00000000">
            <w:pPr>
              <w:spacing w:line="240" w:lineRule="auto" w:after="40"/>
            </w:pPr>
            <w:r>
              <w:rPr>
                <w:rFonts w:ascii="Times New Roman" w:hAnsi="Times New Roman" w:eastAsia="Times New Roman"/>
                <w:sz w:val="20"/>
              </w:rPr>
              <w:t>Index representing trade policy uncertainty</w:t>
            </w:r>
          </w:p>
        </w:tc>
        <w:tc>
          <w:tcPr>
            <w:tcW w:w="2160" w:type="dxa"/>
            <w:vAlign w:val="center"/>
          </w:tcPr>
          <w:p w14:paraId="0F63D9D1" w14:textId="77777777" w:rsidR="00461277" w:rsidRDefault="00000000">
            <w:pPr>
              <w:spacing w:line="240" w:lineRule="auto" w:after="40"/>
            </w:pPr>
            <w:r>
              <w:rPr>
                <w:rFonts w:ascii="Times New Roman" w:hAnsi="Times New Roman" w:eastAsia="Times New Roman"/>
                <w:sz w:val="20"/>
              </w:rPr>
              <w:t>FRED</w:t>
            </w:r>
          </w:p>
        </w:tc>
        <w:tc>
          <w:tcPr>
            <w:tcW w:w="1152" w:type="dxa"/>
            <w:vAlign w:val="center"/>
          </w:tcPr>
          <w:p w14:paraId="04A7EFC3" w14:textId="77777777" w:rsidR="00461277" w:rsidRDefault="00000000">
            <w:pPr>
              <w:spacing w:line="240" w:lineRule="auto" w:after="40"/>
            </w:pPr>
            <w:r>
              <w:rPr>
                <w:rFonts w:ascii="Times New Roman" w:hAnsi="Times New Roman" w:eastAsia="Times New Roman"/>
                <w:sz w:val="20"/>
              </w:rPr>
              <w:t>Monthly</w:t>
            </w:r>
          </w:p>
        </w:tc>
      </w:tr>
    </w:tbl>
    <w:p w14:paraId="12EF4167" w14:textId="77777777" w:rsidR="00461277" w:rsidRPr="003C190B" w:rsidRDefault="00000000">
      <w:pPr>
        <w:pStyle w:val="Balk2"/>
        <w:spacing w:before="240" w:after="120" w:line="360" w:lineRule="auto"/>
        <w:jc w:val="left"/>
        <w:rPr>
          <w:szCs w:val="24"/>
        </w:rPr>
      </w:pPr>
      <w:r w:rsidRPr="003C190B">
        <w:rPr>
          <w:rFonts w:ascii="Times New Roman" w:eastAsia="Times New Roman" w:hAnsi="Times New Roman"/>
          <w:b/>
          <w:sz w:val="24"/>
          <w:szCs w:val="24"/>
        </w:rPr>
        <w:t>3.2. Variable construction</w:t>
      </w:r>
    </w:p>
    <w:p w14:paraId="7FACD1F3"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BRENT, GPR, OVX, and EPUTRADE are used in logarithmic form. Following the NARDL approach, the logarithmic GPR series is decomposed into positive and negative partial sums. The event-specific interaction terms are then constructed by multiplying these GPR components with the Russia–Ukraine and Iran event dummies:</w:t>
      </w:r>
    </w:p>
    <w:p w14:paraId="23FF46B3" w14:textId="77777777" w:rsidR="00461277" w:rsidRDefault="00000000">
      <w:pPr>
        <w:spacing w:after="120" w:line="360" w:lineRule="auto"/>
        <w:jc w:val="center"/>
      </w:pPr>
      <w:r>
        <w:rPr>
          <w:rFonts w:ascii="Times New Roman" w:hAnsi="Times New Roman" w:eastAsia="Times New Roman"/>
          <w:sz w:val="24"/>
        </w:rPr>
        <w:t xml:space="preserve">GPR_POS(t) = </w:t>
      </w:r>
      <w:proofErr w:type="gramStart"/>
      <w:r>
        <w:rPr>
          <w:rFonts w:ascii="Times New Roman" w:hAnsi="Times New Roman" w:eastAsia="Times New Roman"/>
          <w:sz w:val="24"/>
        </w:rPr>
        <w:t>sum[</w:t>
      </w:r>
      <w:proofErr w:type="gramEnd"/>
      <w:r>
        <w:rPr>
          <w:rFonts w:ascii="Times New Roman" w:hAnsi="Times New Roman" w:eastAsia="Times New Roman"/>
          <w:sz w:val="24"/>
        </w:rPr>
        <w:t xml:space="preserve">j = </w:t>
      </w:r>
      <w:proofErr w:type="gramStart"/>
      <w:r>
        <w:rPr>
          <w:rFonts w:ascii="Times New Roman" w:hAnsi="Times New Roman" w:eastAsia="Times New Roman"/>
          <w:sz w:val="24"/>
        </w:rPr>
        <w:t>1,...</w:t>
      </w:r>
      <w:proofErr w:type="gramEnd"/>
      <w:r>
        <w:rPr>
          <w:rFonts w:ascii="Times New Roman" w:hAnsi="Times New Roman" w:eastAsia="Times New Roman"/>
          <w:sz w:val="24"/>
        </w:rPr>
        <w:t>,t] max(ΔlnGPR(j), 0)</w:t>
      </w:r>
    </w:p>
    <w:p w14:paraId="1347F867" w14:textId="77777777" w:rsidR="00461277" w:rsidRDefault="00000000">
      <w:pPr>
        <w:spacing w:after="120" w:line="360" w:lineRule="auto"/>
        <w:jc w:val="center"/>
      </w:pPr>
      <w:r>
        <w:rPr>
          <w:rFonts w:ascii="Times New Roman" w:hAnsi="Times New Roman" w:eastAsia="Times New Roman"/>
          <w:sz w:val="24"/>
        </w:rPr>
        <w:t>GPR_NEG(t) = sum[j = 1,...,t] min(ΔlnGPR(j), 0)</w:t>
      </w:r>
    </w:p>
    <w:p w14:paraId="4B1143CF" w14:textId="77777777" w:rsidR="00461277" w:rsidRDefault="00000000">
      <w:pPr>
        <w:spacing w:after="120" w:line="360" w:lineRule="auto"/>
        <w:jc w:val="center"/>
      </w:pPr>
      <w:r>
        <w:rPr>
          <w:rFonts w:ascii="Times New Roman" w:hAnsi="Times New Roman" w:eastAsia="Times New Roman"/>
          <w:sz w:val="24"/>
        </w:rPr>
        <w:t>GPR_POS_RU(t) = GPR_POS(t) × RU_D(t)</w:t>
      </w:r>
    </w:p>
    <w:p w14:paraId="70634579" w14:textId="77777777" w:rsidR="00461277" w:rsidRDefault="00000000">
      <w:pPr>
        <w:spacing w:after="120" w:line="360" w:lineRule="auto"/>
        <w:jc w:val="center"/>
      </w:pPr>
      <w:r>
        <w:rPr>
          <w:rFonts w:ascii="Times New Roman" w:hAnsi="Times New Roman" w:eastAsia="Times New Roman"/>
          <w:sz w:val="24"/>
        </w:rPr>
        <w:t>GPR_NEG_RU(t) = GPR_NEG(t) × RU_D(t)</w:t>
      </w:r>
    </w:p>
    <w:p w14:paraId="2B6D14AA" w14:textId="77777777" w:rsidR="00461277" w:rsidRDefault="00000000">
      <w:pPr>
        <w:spacing w:after="120" w:line="360" w:lineRule="auto"/>
        <w:jc w:val="center"/>
      </w:pPr>
      <w:r>
        <w:rPr>
          <w:rFonts w:ascii="Times New Roman" w:hAnsi="Times New Roman" w:eastAsia="Times New Roman"/>
          <w:sz w:val="24"/>
        </w:rPr>
        <w:t>GPR_POS_IR(t) = GPR_POS(t) × IR_D(t)</w:t>
      </w:r>
    </w:p>
    <w:p w14:paraId="12BE9235" w14:textId="77777777" w:rsidR="00461277" w:rsidRDefault="00000000">
      <w:pPr>
        <w:spacing w:after="120" w:line="360" w:lineRule="auto"/>
        <w:jc w:val="center"/>
      </w:pPr>
      <w:r>
        <w:rPr>
          <w:rFonts w:ascii="Times New Roman" w:hAnsi="Times New Roman" w:eastAsia="Times New Roman"/>
          <w:sz w:val="24"/>
        </w:rPr>
        <w:t>GPR_NEG_IR(t) = GPR_NEG(t) × IR_D(t)</w:t>
      </w:r>
    </w:p>
    <w:p w14:paraId="33FBA391"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These interaction terms are included to test whether the effect of geopolitical risk on Brent oil prices changes across event contexts. OVX and EPUTRADE are used in robustness analyses to assess whether the main findings are preserved after controlling for oil market volatility and trade policy uncertainty.</w:t>
      </w:r>
    </w:p>
    <w:p w14:paraId="57BEC0E0" w14:textId="77777777" w:rsidR="00461277" w:rsidRPr="003C190B" w:rsidRDefault="00000000">
      <w:pPr>
        <w:pStyle w:val="Balk2"/>
        <w:spacing w:before="240" w:after="120" w:line="360" w:lineRule="auto"/>
        <w:jc w:val="left"/>
        <w:rPr>
          <w:szCs w:val="24"/>
        </w:rPr>
      </w:pPr>
      <w:r w:rsidRPr="003C190B">
        <w:rPr>
          <w:rFonts w:ascii="Times New Roman" w:eastAsia="Times New Roman" w:hAnsi="Times New Roman"/>
          <w:b/>
          <w:sz w:val="24"/>
          <w:szCs w:val="24"/>
        </w:rPr>
        <w:t>3.3. Event-contextual NARDL specification</w:t>
      </w:r>
    </w:p>
    <w:p w14:paraId="4BFA2AFD" w14:textId="77777777" w:rsidR="00461277" w:rsidRPr="003C190B" w:rsidRDefault="00000000">
      <w:pPr>
        <w:spacing w:after="120" w:line="360" w:lineRule="auto"/>
        <w:jc w:val="both"/>
        <w:rPr>
          <w:sz w:val="24"/>
          <w:szCs w:val="24"/>
        </w:rPr>
      </w:pPr>
      <w:r w:rsidRPr="003C190B">
        <w:rPr>
          <w:rFonts w:ascii="Times New Roman" w:hAnsi="Times New Roman" w:eastAsia="Times New Roman"/>
          <w:sz w:val="24"/>
          <w:szCs w:val="24"/>
        </w:rPr>
        <w:t>The event-contextual long-run relationship is defined through the following functional form:</w:t>
      </w:r>
    </w:p>
    <w:p w14:paraId="57500F0A" w14:textId="77777777" w:rsidR="00461277" w:rsidRDefault="00000000">
      <w:pPr>
        <w:spacing w:after="120" w:line="360" w:lineRule="auto"/>
        <w:jc w:val="center"/>
      </w:pPr>
      <w:r>
        <w:rPr>
          <w:rFonts w:ascii="Times New Roman" w:hAnsi="Times New Roman" w:eastAsia="Times New Roman"/>
          <w:sz w:val="24"/>
        </w:rPr>
        <w:t>lnBRENT(t) = f[GPR_POS(t), GPR_NEG(t), GPR_POS_RU(t), GPR_NEG_RU(t), GPR_POS_IR(t), GPR_NEG_IR(t)]</w:t>
      </w:r>
    </w:p>
    <w:p w14:paraId="355DD863"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Based on this functional structure, the NARDL model is estimated in an error-correction form that jointly captures short-run adjustment dynamics and the long-run equilibrium relationship:</w:t>
      </w:r>
    </w:p>
    <w:p w14:paraId="6C431B10" w14:textId="77777777" w:rsidR="00461277" w:rsidRDefault="00000000">
      <w:pPr>
        <w:spacing w:after="120" w:line="360" w:lineRule="auto"/>
        <w:jc w:val="center"/>
      </w:pPr>
      <w:r>
        <w:rPr>
          <w:rFonts w:ascii="Times New Roman" w:hAnsi="Times New Roman" w:eastAsia="Times New Roman"/>
          <w:sz w:val="24"/>
        </w:rPr>
        <w:t>ΔlnBRENT(t) = α0 + λECM(t−1) + Σβi ΔlnBRENT(t−i) + Σγi ΔGPR_POS(t−i) + Σδi ΔGPR_NEG(t−i)</w:t>
      </w:r>
    </w:p>
    <w:p w14:paraId="6572317E" w14:textId="77777777" w:rsidR="00461277" w:rsidRDefault="00000000">
      <w:pPr>
        <w:spacing w:after="120" w:line="360" w:lineRule="auto"/>
        <w:jc w:val="center"/>
      </w:pPr>
      <w:r>
        <w:rPr>
          <w:rFonts w:ascii="Times New Roman" w:hAnsi="Times New Roman" w:eastAsia="Times New Roman"/>
          <w:sz w:val="24"/>
        </w:rPr>
        <w:t>+ Σθi ΔGPR_POS_RU(t−i) + Σφi ΔGPR_NEG_RU(t−i) + Σμi ΔGPR_POS_IR(t−i) + Σηi ΔGPR_NEG_IR(t−i) + ε(t)</w:t>
      </w:r>
    </w:p>
    <w:p w14:paraId="68E19233" w14:textId="5B738BCE"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where ECM_{t−1} denotes the lagged long-run equilibrium error, λ represents the speed of adjustment, and ε_t is the error term. A negative and statistically significant λ indicates that short-run deviations are corrected toward the long-run equilibrium. Differences between the Russia–Ukraine and Iran interaction coefficients are evaluated using Wald tests.</w:t>
      </w:r>
      <w:r w:rsidR="00A15BE4" w:rsidRPr="003C190B">
        <w:rPr>
          <w:rFonts w:ascii="Times New Roman" w:hAnsi="Times New Roman" w:eastAsia="Times New Roman"/>
          <w:sz w:val="24"/>
          <w:szCs w:val="24"/>
        </w:rPr>
        <w:t xml:space="preserve"> </w:t>
      </w:r>
    </w:p>
    <w:p w14:paraId="30B2B028" w14:textId="77777777" w:rsidR="00461277" w:rsidRPr="003C190B" w:rsidRDefault="00000000">
      <w:pPr>
        <w:pStyle w:val="Balk1"/>
        <w:spacing w:before="240" w:after="120" w:line="360" w:lineRule="auto"/>
        <w:jc w:val="left"/>
        <w:rPr>
          <w:sz w:val="24"/>
          <w:szCs w:val="24"/>
        </w:rPr>
      </w:pPr>
      <w:r w:rsidRPr="003C190B">
        <w:rPr>
          <w:rFonts w:ascii="Times New Roman" w:eastAsia="Times New Roman" w:hAnsi="Times New Roman"/>
          <w:b/>
          <w:sz w:val="24"/>
          <w:szCs w:val="24"/>
        </w:rPr>
        <w:t>4. Empirical Results</w:t>
      </w:r>
    </w:p>
    <w:p w14:paraId="521CAB26" w14:textId="77777777" w:rsidR="00461277" w:rsidRPr="003C190B" w:rsidRDefault="00000000">
      <w:pPr>
        <w:pStyle w:val="Balk2"/>
        <w:spacing w:before="240" w:after="120" w:line="360" w:lineRule="auto"/>
        <w:jc w:val="left"/>
        <w:rPr>
          <w:szCs w:val="24"/>
        </w:rPr>
      </w:pPr>
      <w:r w:rsidRPr="003C190B">
        <w:rPr>
          <w:rFonts w:ascii="Times New Roman" w:eastAsia="Times New Roman" w:hAnsi="Times New Roman"/>
          <w:b/>
          <w:sz w:val="24"/>
          <w:szCs w:val="24"/>
        </w:rPr>
        <w:t>4.1. Unit root tests</w:t>
      </w:r>
    </w:p>
    <w:p w14:paraId="30DEA89F"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Before model estimation, the stationarity properties of the variables are examined using ADF, Phillips–Perron, KPSS, and Zivot–Andrews unit root tests. The results are reported in Table 2.</w:t>
      </w:r>
    </w:p>
    <w:p w14:paraId="68F7B11A" w14:textId="77777777" w:rsidR="00461277" w:rsidRDefault="00000000">
      <w:pPr>
        <w:spacing w:after="120" w:line="360" w:lineRule="auto"/>
        <w:jc w:val="both"/>
      </w:pPr>
      <w:r>
        <w:rPr>
          <w:rFonts w:ascii="Times New Roman" w:hAnsi="Times New Roman" w:eastAsia="Times New Roman"/>
          <w:b/>
          <w:sz w:val="24"/>
        </w:rPr>
        <w:lastRenderedPageBreak/>
        <w:t>Table 2. Results of ADF, PP, KPSS and Zivot–Andrews unit root tests</w:t>
      </w:r>
    </w:p>
    <w:tbl>
      <w:tblPr>
        <w:tblStyle w:val="TabloKlavuzu"/>
        <w:tblW w:w="0" w:type="auto"/>
        <w:jc w:val="center"/>
        <w:tblLayout w:type="autofit"/>
        <w:tblLook w:val="04A0" w:firstRow="1" w:lastRow="0" w:firstColumn="1" w:lastColumn="0" w:noHBand="0" w:noVBand="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152"/>
        <w:gridCol w:w="1152"/>
        <w:gridCol w:w="1152"/>
        <w:gridCol w:w="1584"/>
        <w:gridCol w:w="1440"/>
        <w:gridCol w:w="1440"/>
      </w:tblGrid>
      <w:tr w:rsidR="00461277" w14:paraId="7BF2C5DC" w14:textId="77777777">
        <w:trPr>
          <w:jc w:val="center"/>
        </w:trPr>
        <w:tc>
          <w:tcPr>
            <w:tcW w:w="1872" w:type="dxa"/>
            <w:vAlign w:val="center"/>
            <w:shd w:fill="D9EAF7"/>
          </w:tcPr>
          <w:p w14:paraId="01522E61" w14:textId="77777777" w:rsidR="00461277" w:rsidRDefault="00000000">
            <w:pPr>
              <w:spacing w:line="240" w:lineRule="auto" w:after="40"/>
            </w:pPr>
            <w:r>
              <w:rPr>
                <w:rFonts w:ascii="Times New Roman" w:hAnsi="Times New Roman" w:eastAsia="Times New Roman"/>
                <w:b/>
                <w:sz w:val="20"/>
              </w:rPr>
              <w:t>Variable</w:t>
            </w:r>
          </w:p>
        </w:tc>
        <w:tc>
          <w:tcPr>
            <w:tcW w:w="1152" w:type="dxa"/>
            <w:vAlign w:val="center"/>
            <w:shd w:fill="D9EAF7"/>
          </w:tcPr>
          <w:p w14:paraId="48CA0359" w14:textId="77777777" w:rsidR="00461277" w:rsidRDefault="00000000">
            <w:pPr>
              <w:spacing w:line="240" w:lineRule="auto" w:after="40"/>
            </w:pPr>
            <w:r>
              <w:rPr>
                <w:rFonts w:ascii="Times New Roman" w:hAnsi="Times New Roman" w:eastAsia="Times New Roman"/>
                <w:b/>
                <w:sz w:val="20"/>
              </w:rPr>
              <w:t>ADF</w:t>
            </w:r>
          </w:p>
        </w:tc>
        <w:tc>
          <w:tcPr>
            <w:tcW w:w="1152" w:type="dxa"/>
            <w:vAlign w:val="center"/>
            <w:shd w:fill="D9EAF7"/>
          </w:tcPr>
          <w:p w14:paraId="08EF4B72" w14:textId="77777777" w:rsidR="00461277" w:rsidRDefault="00000000">
            <w:pPr>
              <w:spacing w:line="240" w:lineRule="auto" w:after="40"/>
            </w:pPr>
            <w:r>
              <w:rPr>
                <w:rFonts w:ascii="Times New Roman" w:hAnsi="Times New Roman" w:eastAsia="Times New Roman"/>
                <w:b/>
                <w:sz w:val="20"/>
              </w:rPr>
              <w:t>PP</w:t>
            </w:r>
          </w:p>
        </w:tc>
        <w:tc>
          <w:tcPr>
            <w:tcW w:w="1152" w:type="dxa"/>
            <w:vAlign w:val="center"/>
            <w:shd w:fill="D9EAF7"/>
          </w:tcPr>
          <w:p w14:paraId="5F2E18BF" w14:textId="77777777" w:rsidR="00461277" w:rsidRDefault="00000000">
            <w:pPr>
              <w:spacing w:line="240" w:lineRule="auto" w:after="40"/>
            </w:pPr>
            <w:r>
              <w:rPr>
                <w:rFonts w:ascii="Times New Roman" w:hAnsi="Times New Roman" w:eastAsia="Times New Roman"/>
                <w:b/>
                <w:sz w:val="20"/>
              </w:rPr>
              <w:t>KPSS</w:t>
            </w:r>
          </w:p>
        </w:tc>
        <w:tc>
          <w:tcPr>
            <w:tcW w:w="1584" w:type="dxa"/>
            <w:vAlign w:val="center"/>
            <w:shd w:fill="D9EAF7"/>
          </w:tcPr>
          <w:p w14:paraId="06784A68" w14:textId="77777777" w:rsidR="00461277" w:rsidRDefault="00000000">
            <w:pPr>
              <w:spacing w:line="240" w:lineRule="auto" w:after="40"/>
            </w:pPr>
            <w:r>
              <w:rPr>
                <w:rFonts w:ascii="Times New Roman" w:hAnsi="Times New Roman" w:eastAsia="Times New Roman"/>
                <w:b/>
                <w:sz w:val="20"/>
              </w:rPr>
              <w:t>Zivot–Andrews</w:t>
            </w:r>
          </w:p>
        </w:tc>
        <w:tc>
          <w:tcPr>
            <w:tcW w:w="1440" w:type="dxa"/>
            <w:vAlign w:val="center"/>
            <w:shd w:fill="D9EAF7"/>
          </w:tcPr>
          <w:p w14:paraId="4FCB244A" w14:textId="77777777" w:rsidR="00461277" w:rsidRDefault="00000000">
            <w:pPr>
              <w:spacing w:line="240" w:lineRule="auto" w:after="40"/>
            </w:pPr>
            <w:r>
              <w:rPr>
                <w:rFonts w:ascii="Times New Roman" w:hAnsi="Times New Roman" w:eastAsia="Times New Roman"/>
                <w:b/>
                <w:sz w:val="20"/>
              </w:rPr>
              <w:t>Break observation</w:t>
            </w:r>
          </w:p>
        </w:tc>
        <w:tc>
          <w:tcPr>
            <w:tcW w:w="1440" w:type="dxa"/>
            <w:vAlign w:val="center"/>
            <w:shd w:fill="D9EAF7"/>
          </w:tcPr>
          <w:p w14:paraId="3F3C00AD" w14:textId="77777777" w:rsidR="00461277" w:rsidRDefault="00000000">
            <w:pPr>
              <w:spacing w:line="240" w:lineRule="auto" w:after="40"/>
            </w:pPr>
            <w:r>
              <w:rPr>
                <w:rFonts w:ascii="Times New Roman" w:hAnsi="Times New Roman" w:eastAsia="Times New Roman"/>
                <w:b/>
                <w:sz w:val="20"/>
              </w:rPr>
              <w:t>Decision</w:t>
            </w:r>
          </w:p>
        </w:tc>
      </w:tr>
      <w:tr w:rsidR="00461277" w14:paraId="0BA5197E" w14:textId="77777777">
        <w:trPr>
          <w:jc w:val="center"/>
        </w:trPr>
        <w:tc>
          <w:tcPr>
            <w:tcW w:w="1872" w:type="dxa"/>
            <w:vAlign w:val="center"/>
          </w:tcPr>
          <w:p w14:paraId="2B9D8109" w14:textId="77777777" w:rsidR="00461277" w:rsidRDefault="00000000">
            <w:pPr>
              <w:spacing w:line="240" w:lineRule="auto" w:after="40"/>
            </w:pPr>
            <w:r>
              <w:rPr>
                <w:rFonts w:ascii="Times New Roman" w:hAnsi="Times New Roman" w:eastAsia="Times New Roman"/>
                <w:sz w:val="20"/>
              </w:rPr>
              <w:t>LN_BRENT</w:t>
            </w:r>
          </w:p>
        </w:tc>
        <w:tc>
          <w:tcPr>
            <w:tcW w:w="1152" w:type="dxa"/>
            <w:vAlign w:val="center"/>
          </w:tcPr>
          <w:p w14:paraId="546BF057" w14:textId="77777777" w:rsidR="00461277" w:rsidRDefault="00000000">
            <w:pPr>
              <w:spacing w:line="240" w:lineRule="auto" w:after="40"/>
            </w:pPr>
            <w:r>
              <w:rPr>
                <w:rFonts w:ascii="Times New Roman" w:hAnsi="Times New Roman" w:eastAsia="Times New Roman"/>
                <w:sz w:val="20"/>
              </w:rPr>
              <w:t>-2.875*</w:t>
            </w:r>
          </w:p>
        </w:tc>
        <w:tc>
          <w:tcPr>
            <w:tcW w:w="1152" w:type="dxa"/>
            <w:vAlign w:val="center"/>
          </w:tcPr>
          <w:p w14:paraId="4BF00AAD" w14:textId="77777777" w:rsidR="00461277" w:rsidRDefault="00000000">
            <w:pPr>
              <w:spacing w:line="240" w:lineRule="auto" w:after="40"/>
            </w:pPr>
            <w:r>
              <w:rPr>
                <w:rFonts w:ascii="Times New Roman" w:hAnsi="Times New Roman" w:eastAsia="Times New Roman"/>
                <w:sz w:val="20"/>
              </w:rPr>
              <w:t>-2.662</w:t>
            </w:r>
          </w:p>
        </w:tc>
        <w:tc>
          <w:tcPr>
            <w:tcW w:w="1152" w:type="dxa"/>
            <w:vAlign w:val="center"/>
          </w:tcPr>
          <w:p w14:paraId="52D67D37" w14:textId="77777777" w:rsidR="00461277" w:rsidRDefault="00000000">
            <w:pPr>
              <w:spacing w:line="240" w:lineRule="auto" w:after="40"/>
            </w:pPr>
            <w:r>
              <w:rPr>
                <w:rFonts w:ascii="Times New Roman" w:hAnsi="Times New Roman" w:eastAsia="Times New Roman"/>
                <w:sz w:val="20"/>
              </w:rPr>
              <w:t>0.3264</w:t>
            </w:r>
          </w:p>
        </w:tc>
        <w:tc>
          <w:tcPr>
            <w:tcW w:w="1584" w:type="dxa"/>
            <w:vAlign w:val="center"/>
          </w:tcPr>
          <w:p w14:paraId="098E962D" w14:textId="77777777" w:rsidR="00461277" w:rsidRDefault="00000000">
            <w:pPr>
              <w:spacing w:line="240" w:lineRule="auto" w:after="40"/>
            </w:pPr>
            <w:r>
              <w:rPr>
                <w:rFonts w:ascii="Times New Roman" w:hAnsi="Times New Roman" w:eastAsia="Times New Roman"/>
                <w:sz w:val="20"/>
              </w:rPr>
              <w:t>-4.647</w:t>
            </w:r>
          </w:p>
        </w:tc>
        <w:tc>
          <w:tcPr>
            <w:tcW w:w="1440" w:type="dxa"/>
            <w:vAlign w:val="center"/>
          </w:tcPr>
          <w:p w14:paraId="3E24051A" w14:textId="77777777" w:rsidR="00461277" w:rsidRDefault="00000000">
            <w:pPr>
              <w:spacing w:line="240" w:lineRule="auto" w:after="40"/>
            </w:pPr>
            <w:r>
              <w:rPr>
                <w:rFonts w:ascii="Times New Roman" w:hAnsi="Times New Roman" w:eastAsia="Times New Roman"/>
                <w:sz w:val="20"/>
              </w:rPr>
              <w:t>87</w:t>
            </w:r>
          </w:p>
        </w:tc>
        <w:tc>
          <w:tcPr>
            <w:tcW w:w="1440" w:type="dxa"/>
            <w:vAlign w:val="center"/>
          </w:tcPr>
          <w:p w14:paraId="06E49E99" w14:textId="77777777" w:rsidR="00461277" w:rsidRDefault="00000000">
            <w:pPr>
              <w:spacing w:line="240" w:lineRule="auto" w:after="40"/>
            </w:pPr>
            <w:r>
              <w:rPr>
                <w:rFonts w:ascii="Times New Roman" w:hAnsi="Times New Roman" w:eastAsia="Times New Roman"/>
                <w:sz w:val="20"/>
              </w:rPr>
              <w:t>I(1)</w:t>
            </w:r>
          </w:p>
        </w:tc>
      </w:tr>
      <w:tr w:rsidR="00461277" w14:paraId="2D44AF20" w14:textId="77777777">
        <w:trPr>
          <w:jc w:val="center"/>
        </w:trPr>
        <w:tc>
          <w:tcPr>
            <w:tcW w:w="1872" w:type="dxa"/>
            <w:vAlign w:val="center"/>
          </w:tcPr>
          <w:p w14:paraId="57CFBC4E" w14:textId="77777777" w:rsidR="00461277" w:rsidRDefault="00000000">
            <w:pPr>
              <w:spacing w:line="240" w:lineRule="auto" w:after="40"/>
            </w:pPr>
            <w:r>
              <w:rPr>
                <w:rFonts w:ascii="Times New Roman" w:hAnsi="Times New Roman" w:eastAsia="Times New Roman"/>
                <w:sz w:val="20"/>
              </w:rPr>
              <w:t>LN_GPR</w:t>
            </w:r>
          </w:p>
        </w:tc>
        <w:tc>
          <w:tcPr>
            <w:tcW w:w="1152" w:type="dxa"/>
            <w:vAlign w:val="center"/>
          </w:tcPr>
          <w:p w14:paraId="5777EBC1" w14:textId="77777777" w:rsidR="00461277" w:rsidRDefault="00000000">
            <w:pPr>
              <w:spacing w:line="240" w:lineRule="auto" w:after="40"/>
            </w:pPr>
            <w:r>
              <w:rPr>
                <w:rFonts w:ascii="Times New Roman" w:hAnsi="Times New Roman" w:eastAsia="Times New Roman"/>
                <w:sz w:val="20"/>
              </w:rPr>
              <w:t>-3.760**</w:t>
            </w:r>
          </w:p>
        </w:tc>
        <w:tc>
          <w:tcPr>
            <w:tcW w:w="1152" w:type="dxa"/>
            <w:vAlign w:val="center"/>
          </w:tcPr>
          <w:p w14:paraId="2E9C28C6" w14:textId="77777777" w:rsidR="00461277" w:rsidRDefault="00000000">
            <w:pPr>
              <w:spacing w:line="240" w:lineRule="auto" w:after="40"/>
            </w:pPr>
            <w:r>
              <w:rPr>
                <w:rFonts w:ascii="Times New Roman" w:hAnsi="Times New Roman" w:eastAsia="Times New Roman"/>
                <w:sz w:val="20"/>
              </w:rPr>
              <w:t>-5.177***</w:t>
            </w:r>
          </w:p>
        </w:tc>
        <w:tc>
          <w:tcPr>
            <w:tcW w:w="1152" w:type="dxa"/>
            <w:vAlign w:val="center"/>
          </w:tcPr>
          <w:p w14:paraId="37D50FB8" w14:textId="77777777" w:rsidR="00461277" w:rsidRDefault="00000000">
            <w:pPr>
              <w:spacing w:line="240" w:lineRule="auto" w:after="40"/>
            </w:pPr>
            <w:r>
              <w:rPr>
                <w:rFonts w:ascii="Times New Roman" w:hAnsi="Times New Roman" w:eastAsia="Times New Roman"/>
                <w:sz w:val="20"/>
              </w:rPr>
              <w:t>0.6362</w:t>
            </w:r>
          </w:p>
        </w:tc>
        <w:tc>
          <w:tcPr>
            <w:tcW w:w="1584" w:type="dxa"/>
            <w:vAlign w:val="center"/>
          </w:tcPr>
          <w:p w14:paraId="03C8CCE1" w14:textId="77777777" w:rsidR="00461277" w:rsidRDefault="00000000">
            <w:pPr>
              <w:spacing w:line="240" w:lineRule="auto" w:after="40"/>
            </w:pPr>
            <w:r>
              <w:rPr>
                <w:rFonts w:ascii="Times New Roman" w:hAnsi="Times New Roman" w:eastAsia="Times New Roman"/>
                <w:sz w:val="20"/>
              </w:rPr>
              <w:t>-6.476***</w:t>
            </w:r>
          </w:p>
        </w:tc>
        <w:tc>
          <w:tcPr>
            <w:tcW w:w="1440" w:type="dxa"/>
            <w:vAlign w:val="center"/>
          </w:tcPr>
          <w:p w14:paraId="49688EB5" w14:textId="77777777" w:rsidR="00461277" w:rsidRDefault="00000000">
            <w:pPr>
              <w:spacing w:line="240" w:lineRule="auto" w:after="40"/>
            </w:pPr>
            <w:r>
              <w:rPr>
                <w:rFonts w:ascii="Times New Roman" w:hAnsi="Times New Roman" w:eastAsia="Times New Roman"/>
                <w:sz w:val="20"/>
              </w:rPr>
              <w:t>174</w:t>
            </w:r>
          </w:p>
        </w:tc>
        <w:tc>
          <w:tcPr>
            <w:tcW w:w="1440" w:type="dxa"/>
            <w:vAlign w:val="center"/>
          </w:tcPr>
          <w:p w14:paraId="4B378DB8" w14:textId="77777777" w:rsidR="00461277" w:rsidRDefault="00000000">
            <w:pPr>
              <w:spacing w:line="240" w:lineRule="auto" w:after="40"/>
            </w:pPr>
            <w:r>
              <w:rPr>
                <w:rFonts w:ascii="Times New Roman" w:hAnsi="Times New Roman" w:eastAsia="Times New Roman"/>
                <w:sz w:val="20"/>
              </w:rPr>
              <w:t>I(0), with break</w:t>
            </w:r>
          </w:p>
        </w:tc>
      </w:tr>
      <w:tr w:rsidR="00461277" w14:paraId="1A92BA03" w14:textId="77777777">
        <w:trPr>
          <w:jc w:val="center"/>
        </w:trPr>
        <w:tc>
          <w:tcPr>
            <w:tcW w:w="1872" w:type="dxa"/>
            <w:vAlign w:val="center"/>
          </w:tcPr>
          <w:p w14:paraId="3EFF2BF4" w14:textId="77777777" w:rsidR="00461277" w:rsidRDefault="00000000">
            <w:pPr>
              <w:spacing w:line="240" w:lineRule="auto" w:after="40"/>
            </w:pPr>
            <w:r>
              <w:rPr>
                <w:rFonts w:ascii="Times New Roman" w:hAnsi="Times New Roman" w:eastAsia="Times New Roman"/>
                <w:sz w:val="20"/>
              </w:rPr>
              <w:t>LN_EPUTRADE</w:t>
            </w:r>
          </w:p>
        </w:tc>
        <w:tc>
          <w:tcPr>
            <w:tcW w:w="1152" w:type="dxa"/>
            <w:vAlign w:val="center"/>
          </w:tcPr>
          <w:p w14:paraId="5E45F480" w14:textId="77777777" w:rsidR="00461277" w:rsidRDefault="00000000">
            <w:pPr>
              <w:spacing w:line="240" w:lineRule="auto" w:after="40"/>
            </w:pPr>
            <w:r>
              <w:rPr>
                <w:rFonts w:ascii="Times New Roman" w:hAnsi="Times New Roman" w:eastAsia="Times New Roman"/>
                <w:sz w:val="20"/>
              </w:rPr>
              <w:t>-1.649</w:t>
            </w:r>
          </w:p>
        </w:tc>
        <w:tc>
          <w:tcPr>
            <w:tcW w:w="1152" w:type="dxa"/>
            <w:vAlign w:val="center"/>
          </w:tcPr>
          <w:p w14:paraId="3CC1A991" w14:textId="77777777" w:rsidR="00461277" w:rsidRDefault="00000000">
            <w:pPr>
              <w:spacing w:line="240" w:lineRule="auto" w:after="40"/>
            </w:pPr>
            <w:r>
              <w:rPr>
                <w:rFonts w:ascii="Times New Roman" w:hAnsi="Times New Roman" w:eastAsia="Times New Roman"/>
                <w:sz w:val="20"/>
              </w:rPr>
              <w:t>-3.139*</w:t>
            </w:r>
          </w:p>
        </w:tc>
        <w:tc>
          <w:tcPr>
            <w:tcW w:w="1152" w:type="dxa"/>
            <w:vAlign w:val="center"/>
          </w:tcPr>
          <w:p w14:paraId="6C92FC0F" w14:textId="77777777" w:rsidR="00461277" w:rsidRDefault="00000000">
            <w:pPr>
              <w:spacing w:line="240" w:lineRule="auto" w:after="40"/>
            </w:pPr>
            <w:r>
              <w:rPr>
                <w:rFonts w:ascii="Times New Roman" w:hAnsi="Times New Roman" w:eastAsia="Times New Roman"/>
                <w:sz w:val="20"/>
              </w:rPr>
              <w:t>0.7150</w:t>
            </w:r>
          </w:p>
        </w:tc>
        <w:tc>
          <w:tcPr>
            <w:tcW w:w="1584" w:type="dxa"/>
            <w:vAlign w:val="center"/>
          </w:tcPr>
          <w:p w14:paraId="5DDCCA3A" w14:textId="77777777" w:rsidR="00461277" w:rsidRDefault="00000000">
            <w:pPr>
              <w:spacing w:line="240" w:lineRule="auto" w:after="40"/>
            </w:pPr>
            <w:r>
              <w:rPr>
                <w:rFonts w:ascii="Times New Roman" w:hAnsi="Times New Roman" w:eastAsia="Times New Roman"/>
                <w:sz w:val="20"/>
              </w:rPr>
              <w:t>-4.560</w:t>
            </w:r>
          </w:p>
        </w:tc>
        <w:tc>
          <w:tcPr>
            <w:tcW w:w="1440" w:type="dxa"/>
            <w:vAlign w:val="center"/>
          </w:tcPr>
          <w:p w14:paraId="7A46F9CB" w14:textId="77777777" w:rsidR="00461277" w:rsidRDefault="00000000">
            <w:pPr>
              <w:spacing w:line="240" w:lineRule="auto" w:after="40"/>
            </w:pPr>
            <w:r>
              <w:rPr>
                <w:rFonts w:ascii="Times New Roman" w:hAnsi="Times New Roman" w:eastAsia="Times New Roman"/>
                <w:sz w:val="20"/>
              </w:rPr>
              <w:t>209</w:t>
            </w:r>
          </w:p>
        </w:tc>
        <w:tc>
          <w:tcPr>
            <w:tcW w:w="1440" w:type="dxa"/>
            <w:vAlign w:val="center"/>
          </w:tcPr>
          <w:p w14:paraId="0FE9E213" w14:textId="77777777" w:rsidR="00461277" w:rsidRDefault="00000000">
            <w:pPr>
              <w:spacing w:line="240" w:lineRule="auto" w:after="40"/>
            </w:pPr>
            <w:r>
              <w:rPr>
                <w:rFonts w:ascii="Times New Roman" w:hAnsi="Times New Roman" w:eastAsia="Times New Roman"/>
                <w:sz w:val="20"/>
              </w:rPr>
              <w:t>I(1)</w:t>
            </w:r>
          </w:p>
        </w:tc>
      </w:tr>
      <w:tr w:rsidR="00461277" w14:paraId="69BFBEA9" w14:textId="77777777">
        <w:trPr>
          <w:jc w:val="center"/>
        </w:trPr>
        <w:tc>
          <w:tcPr>
            <w:tcW w:w="1872" w:type="dxa"/>
            <w:vAlign w:val="center"/>
          </w:tcPr>
          <w:p w14:paraId="09F6C708" w14:textId="77777777" w:rsidR="00461277" w:rsidRDefault="00000000">
            <w:pPr>
              <w:spacing w:line="240" w:lineRule="auto" w:after="40"/>
            </w:pPr>
            <w:r>
              <w:rPr>
                <w:rFonts w:ascii="Times New Roman" w:hAnsi="Times New Roman" w:eastAsia="Times New Roman"/>
                <w:sz w:val="20"/>
              </w:rPr>
              <w:t>LN_OVX</w:t>
            </w:r>
          </w:p>
        </w:tc>
        <w:tc>
          <w:tcPr>
            <w:tcW w:w="1152" w:type="dxa"/>
            <w:vAlign w:val="center"/>
          </w:tcPr>
          <w:p w14:paraId="5B3E2B63" w14:textId="77777777" w:rsidR="00461277" w:rsidRDefault="00000000">
            <w:pPr>
              <w:spacing w:line="240" w:lineRule="auto" w:after="40"/>
            </w:pPr>
            <w:r>
              <w:rPr>
                <w:rFonts w:ascii="Times New Roman" w:hAnsi="Times New Roman" w:eastAsia="Times New Roman"/>
                <w:sz w:val="20"/>
              </w:rPr>
              <w:t>-4.3962***</w:t>
            </w:r>
          </w:p>
        </w:tc>
        <w:tc>
          <w:tcPr>
            <w:tcW w:w="1152" w:type="dxa"/>
            <w:vAlign w:val="center"/>
          </w:tcPr>
          <w:p w14:paraId="7B13589E" w14:textId="77777777" w:rsidR="00461277" w:rsidRDefault="00000000">
            <w:pPr>
              <w:spacing w:line="240" w:lineRule="auto" w:after="40"/>
            </w:pPr>
            <w:r>
              <w:rPr>
                <w:rFonts w:ascii="Times New Roman" w:hAnsi="Times New Roman" w:eastAsia="Times New Roman"/>
                <w:sz w:val="20"/>
              </w:rPr>
              <w:t>-3.6183**</w:t>
            </w:r>
          </w:p>
        </w:tc>
        <w:tc>
          <w:tcPr>
            <w:tcW w:w="1152" w:type="dxa"/>
            <w:vAlign w:val="center"/>
          </w:tcPr>
          <w:p w14:paraId="303B9591" w14:textId="77777777" w:rsidR="00461277" w:rsidRDefault="00000000">
            <w:pPr>
              <w:spacing w:line="240" w:lineRule="auto" w:after="40"/>
            </w:pPr>
            <w:r>
              <w:rPr>
                <w:rFonts w:ascii="Times New Roman" w:hAnsi="Times New Roman" w:eastAsia="Times New Roman"/>
                <w:sz w:val="20"/>
              </w:rPr>
              <w:t>0.1424</w:t>
            </w:r>
          </w:p>
        </w:tc>
        <w:tc>
          <w:tcPr>
            <w:tcW w:w="1584" w:type="dxa"/>
            <w:vAlign w:val="center"/>
          </w:tcPr>
          <w:p w14:paraId="78E5B25D" w14:textId="77777777" w:rsidR="00461277" w:rsidRDefault="00000000">
            <w:pPr>
              <w:spacing w:line="240" w:lineRule="auto" w:after="40"/>
            </w:pPr>
            <w:r>
              <w:rPr>
                <w:rFonts w:ascii="Times New Roman" w:hAnsi="Times New Roman" w:eastAsia="Times New Roman"/>
                <w:sz w:val="20"/>
              </w:rPr>
              <w:t>-5.0074***</w:t>
            </w:r>
          </w:p>
        </w:tc>
        <w:tc>
          <w:tcPr>
            <w:tcW w:w="1440" w:type="dxa"/>
            <w:vAlign w:val="center"/>
          </w:tcPr>
          <w:p w14:paraId="1EF8A00F" w14:textId="77777777" w:rsidR="00461277" w:rsidRDefault="00000000">
            <w:pPr>
              <w:spacing w:line="240" w:lineRule="auto" w:after="40"/>
            </w:pPr>
            <w:r>
              <w:rPr>
                <w:rFonts w:ascii="Times New Roman" w:hAnsi="Times New Roman" w:eastAsia="Times New Roman"/>
                <w:sz w:val="20"/>
              </w:rPr>
              <w:t>31</w:t>
            </w:r>
          </w:p>
        </w:tc>
        <w:tc>
          <w:tcPr>
            <w:tcW w:w="1440" w:type="dxa"/>
            <w:vAlign w:val="center"/>
          </w:tcPr>
          <w:p w14:paraId="4321261B" w14:textId="77777777" w:rsidR="00461277" w:rsidRDefault="00000000">
            <w:pPr>
              <w:spacing w:line="240" w:lineRule="auto" w:after="40"/>
            </w:pPr>
            <w:r>
              <w:rPr>
                <w:rFonts w:ascii="Times New Roman" w:hAnsi="Times New Roman" w:eastAsia="Times New Roman"/>
                <w:sz w:val="20"/>
              </w:rPr>
              <w:t>I(0)</w:t>
            </w:r>
          </w:p>
        </w:tc>
      </w:tr>
    </w:tbl>
    <w:p w14:paraId="7C0245F6" w14:textId="77777777" w:rsidR="00461277" w:rsidRDefault="00000000">
      <w:pPr>
        <w:spacing w:after="120" w:line="360" w:lineRule="auto"/>
        <w:jc w:val="both"/>
      </w:pPr>
      <w:r>
        <w:rPr>
          <w:rFonts w:ascii="Times New Roman" w:hAnsi="Times New Roman" w:eastAsia="Times New Roman"/>
          <w:sz w:val="24"/>
        </w:rPr>
        <w:t>Note: In the ADF and PP tests, *, ** and *** denote rejection of the unit root null at the 10%, 5% and 1% levels, respectively. In the KPSS test, the null hypothesis is stationarity. In the Zivot–Andrews test, the null hypothesis is a unit root without structural break.</w:t>
      </w:r>
    </w:p>
    <w:p w14:paraId="43867053" w14:textId="77777777" w:rsidR="001C32BA" w:rsidRDefault="001C32BA" w:rsidP="003C190B">
      <w:pPr>
        <w:spacing w:after="120" w:line="360" w:lineRule="auto"/>
        <w:jc w:val="both"/>
        <w:rPr>
          <w:sz w:val="18"/>
        </w:rPr>
      </w:pPr>
    </w:p>
    <w:p w14:paraId="69E97BA6" w14:textId="3B298956"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 xml:space="preserve">The results indicate that the variables are integrated at either the </w:t>
      </w:r>
      <w:proofErr w:type="gramStart"/>
      <w:r w:rsidRPr="003C190B">
        <w:rPr>
          <w:rFonts w:ascii="Times New Roman" w:hAnsi="Times New Roman" w:eastAsia="Times New Roman"/>
          <w:sz w:val="24"/>
          <w:szCs w:val="24"/>
        </w:rPr>
        <w:t>I(</w:t>
      </w:r>
      <w:proofErr w:type="gramEnd"/>
      <w:r w:rsidRPr="003C190B">
        <w:rPr>
          <w:rFonts w:ascii="Times New Roman" w:hAnsi="Times New Roman" w:eastAsia="Times New Roman"/>
          <w:sz w:val="24"/>
          <w:szCs w:val="24"/>
        </w:rPr>
        <w:t xml:space="preserve">0) or </w:t>
      </w:r>
      <w:proofErr w:type="gramStart"/>
      <w:r w:rsidRPr="003C190B">
        <w:rPr>
          <w:rFonts w:ascii="Times New Roman" w:hAnsi="Times New Roman" w:eastAsia="Times New Roman"/>
          <w:sz w:val="24"/>
          <w:szCs w:val="24"/>
        </w:rPr>
        <w:t>I(</w:t>
      </w:r>
      <w:proofErr w:type="gramEnd"/>
      <w:r w:rsidRPr="003C190B">
        <w:rPr>
          <w:rFonts w:ascii="Times New Roman" w:hAnsi="Times New Roman" w:eastAsia="Times New Roman"/>
          <w:sz w:val="24"/>
          <w:szCs w:val="24"/>
        </w:rPr>
        <w:t xml:space="preserve">1) level, while none of the series is integrated of order two, </w:t>
      </w:r>
      <w:proofErr w:type="gramStart"/>
      <w:r w:rsidRPr="003C190B">
        <w:rPr>
          <w:rFonts w:ascii="Times New Roman" w:hAnsi="Times New Roman" w:eastAsia="Times New Roman"/>
          <w:sz w:val="24"/>
          <w:szCs w:val="24"/>
        </w:rPr>
        <w:t>I(</w:t>
      </w:r>
      <w:proofErr w:type="gramEnd"/>
      <w:r w:rsidRPr="003C190B">
        <w:rPr>
          <w:rFonts w:ascii="Times New Roman" w:hAnsi="Times New Roman" w:eastAsia="Times New Roman"/>
          <w:sz w:val="24"/>
          <w:szCs w:val="24"/>
        </w:rPr>
        <w:t>2). This supports the use of the ARDL/NARDL bounds testing approach. The Zivot–Andrews results also highlight the importance of accounting for structural breaks in crisis-sensitive series such as geopolitical risk and oil market volatility.</w:t>
      </w:r>
    </w:p>
    <w:p w14:paraId="3D396E8A" w14:textId="77777777" w:rsidR="00461277" w:rsidRPr="003C190B" w:rsidRDefault="00000000">
      <w:pPr>
        <w:pStyle w:val="Balk2"/>
        <w:spacing w:before="240" w:after="120" w:line="360" w:lineRule="auto"/>
        <w:jc w:val="left"/>
        <w:rPr>
          <w:szCs w:val="24"/>
        </w:rPr>
      </w:pPr>
      <w:r w:rsidRPr="003C190B">
        <w:rPr>
          <w:rFonts w:ascii="Times New Roman" w:eastAsia="Times New Roman" w:hAnsi="Times New Roman"/>
          <w:b/>
          <w:sz w:val="24"/>
          <w:szCs w:val="24"/>
        </w:rPr>
        <w:t>4.2. Bounds test and error correction results</w:t>
      </w:r>
    </w:p>
    <w:p w14:paraId="5F5278CD" w14:textId="77777777" w:rsidR="00461277" w:rsidRDefault="00000000">
      <w:pPr>
        <w:spacing w:after="120" w:line="360" w:lineRule="auto"/>
        <w:jc w:val="both"/>
      </w:pPr>
      <w:r>
        <w:rPr>
          <w:rFonts w:ascii="Times New Roman" w:hAnsi="Times New Roman" w:eastAsia="Times New Roman"/>
          <w:b/>
          <w:sz w:val="24"/>
        </w:rPr>
        <w:t>Table 3. Bounds test and error correction results for the comparative NARDL model</w:t>
      </w:r>
    </w:p>
    <w:tbl>
      <w:tblPr>
        <w:tblStyle w:val="TabloKlavuzu"/>
        <w:tblW w:w="0" w:type="auto"/>
        <w:jc w:val="center"/>
        <w:tblLayout w:type="autofit"/>
        <w:tblLook w:val="04A0" w:firstRow="1" w:lastRow="0" w:firstColumn="1" w:lastColumn="0" w:noHBand="0" w:noVBand="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09"/>
        <w:gridCol w:w="1464"/>
        <w:gridCol w:w="1465"/>
        <w:gridCol w:w="874"/>
        <w:gridCol w:w="1218"/>
        <w:gridCol w:w="948"/>
        <w:gridCol w:w="948"/>
        <w:gridCol w:w="805"/>
        <w:gridCol w:w="1439"/>
      </w:tblGrid>
      <w:tr w:rsidR="00461277" w14:paraId="03AE2AEA" w14:textId="77777777">
        <w:trPr>
          <w:jc w:val="center"/>
        </w:trPr>
        <w:tc>
          <w:tcPr>
            <w:tcW w:w="1080" w:type="dxa"/>
            <w:vAlign w:val="center"/>
            <w:shd w:fill="D9EAF7"/>
          </w:tcPr>
          <w:p w14:paraId="79F1340D" w14:textId="77777777" w:rsidR="00461277" w:rsidRDefault="00000000">
            <w:pPr>
              <w:spacing w:line="240" w:lineRule="auto" w:after="40"/>
            </w:pPr>
            <w:r>
              <w:rPr>
                <w:rFonts w:ascii="Times New Roman" w:hAnsi="Times New Roman" w:eastAsia="Times New Roman"/>
                <w:b/>
                <w:sz w:val="20"/>
              </w:rPr>
              <w:t>Panel</w:t>
            </w:r>
          </w:p>
        </w:tc>
        <w:tc>
          <w:tcPr>
            <w:tcW w:w="1800" w:type="dxa"/>
            <w:vAlign w:val="center"/>
            <w:shd w:fill="D9EAF7"/>
          </w:tcPr>
          <w:p w14:paraId="3566BFEC" w14:textId="77777777" w:rsidR="00461277" w:rsidRDefault="00000000">
            <w:pPr>
              <w:spacing w:line="240" w:lineRule="auto" w:after="40"/>
            </w:pPr>
            <w:r>
              <w:rPr>
                <w:rFonts w:ascii="Times New Roman" w:hAnsi="Times New Roman" w:eastAsia="Times New Roman"/>
                <w:b/>
                <w:sz w:val="20"/>
              </w:rPr>
              <w:t>Model / Variable</w:t>
            </w:r>
          </w:p>
        </w:tc>
        <w:tc>
          <w:tcPr>
            <w:tcW w:w="1512" w:type="dxa"/>
            <w:vAlign w:val="center"/>
            <w:shd w:fill="D9EAF7"/>
          </w:tcPr>
          <w:p w14:paraId="41DD9B79" w14:textId="77777777" w:rsidR="00461277" w:rsidRDefault="00000000">
            <w:pPr>
              <w:spacing w:line="240" w:lineRule="auto" w:after="40"/>
            </w:pPr>
            <w:r>
              <w:rPr>
                <w:rFonts w:ascii="Times New Roman" w:hAnsi="Times New Roman" w:eastAsia="Times New Roman"/>
                <w:b/>
                <w:sz w:val="20"/>
              </w:rPr>
              <w:t>Selected model</w:t>
            </w:r>
          </w:p>
        </w:tc>
        <w:tc>
          <w:tcPr>
            <w:tcW w:w="936" w:type="dxa"/>
            <w:vAlign w:val="center"/>
            <w:shd w:fill="D9EAF7"/>
          </w:tcPr>
          <w:p w14:paraId="6DA24985" w14:textId="77777777" w:rsidR="00461277" w:rsidRDefault="00000000">
            <w:pPr>
              <w:spacing w:line="240" w:lineRule="auto" w:after="40"/>
            </w:pPr>
            <w:r>
              <w:rPr>
                <w:rFonts w:ascii="Times New Roman" w:hAnsi="Times New Roman" w:eastAsia="Times New Roman"/>
                <w:b/>
                <w:sz w:val="20"/>
              </w:rPr>
              <w:t>Criterion</w:t>
            </w:r>
          </w:p>
        </w:tc>
        <w:tc>
          <w:tcPr>
            <w:tcW w:w="1440" w:type="dxa"/>
            <w:vAlign w:val="center"/>
            <w:shd w:fill="D9EAF7"/>
          </w:tcPr>
          <w:p w14:paraId="05EB67FC" w14:textId="77777777" w:rsidR="00461277" w:rsidRDefault="00000000">
            <w:pPr>
              <w:spacing w:line="240" w:lineRule="auto" w:after="40"/>
            </w:pPr>
            <w:r>
              <w:rPr>
                <w:rFonts w:ascii="Times New Roman" w:hAnsi="Times New Roman" w:eastAsia="Times New Roman"/>
                <w:b/>
                <w:sz w:val="20"/>
              </w:rPr>
              <w:t>Test statistic / Coefficient</w:t>
            </w:r>
          </w:p>
        </w:tc>
        <w:tc>
          <w:tcPr>
            <w:tcW w:w="1080" w:type="dxa"/>
            <w:vAlign w:val="center"/>
            <w:shd w:fill="D9EAF7"/>
          </w:tcPr>
          <w:p w14:paraId="3300DAFB" w14:textId="77777777" w:rsidR="00461277" w:rsidRDefault="00000000">
            <w:pPr>
              <w:spacing w:line="240" w:lineRule="auto" w:after="40"/>
            </w:pPr>
            <w:r>
              <w:rPr>
                <w:rFonts w:ascii="Times New Roman" w:hAnsi="Times New Roman" w:eastAsia="Times New Roman"/>
                <w:b/>
                <w:sz w:val="20"/>
              </w:rPr>
              <w:t>Std. error</w:t>
            </w:r>
          </w:p>
        </w:tc>
        <w:tc>
          <w:tcPr>
            <w:tcW w:w="1080" w:type="dxa"/>
            <w:vAlign w:val="center"/>
            <w:shd w:fill="D9EAF7"/>
          </w:tcPr>
          <w:p w14:paraId="42DD9E02" w14:textId="77777777" w:rsidR="00461277" w:rsidRDefault="00000000">
            <w:pPr>
              <w:spacing w:line="240" w:lineRule="auto" w:after="40"/>
            </w:pPr>
            <w:r>
              <w:rPr>
                <w:rFonts w:ascii="Times New Roman" w:hAnsi="Times New Roman" w:eastAsia="Times New Roman"/>
                <w:b/>
                <w:sz w:val="20"/>
              </w:rPr>
              <w:t>t-statistic</w:t>
            </w:r>
          </w:p>
        </w:tc>
        <w:tc>
          <w:tcPr>
            <w:tcW w:w="936" w:type="dxa"/>
            <w:vAlign w:val="center"/>
            <w:shd w:fill="D9EAF7"/>
          </w:tcPr>
          <w:p w14:paraId="4B038FDD" w14:textId="77777777" w:rsidR="00461277" w:rsidRDefault="00000000">
            <w:pPr>
              <w:spacing w:line="240" w:lineRule="auto" w:after="40"/>
            </w:pPr>
            <w:r>
              <w:rPr>
                <w:rFonts w:ascii="Times New Roman" w:hAnsi="Times New Roman" w:eastAsia="Times New Roman"/>
                <w:b/>
                <w:sz w:val="20"/>
              </w:rPr>
              <w:t>p-value</w:t>
            </w:r>
          </w:p>
        </w:tc>
        <w:tc>
          <w:tcPr>
            <w:tcW w:w="1728" w:type="dxa"/>
            <w:vAlign w:val="center"/>
            <w:shd w:fill="D9EAF7"/>
          </w:tcPr>
          <w:p w14:paraId="62B2E2A8" w14:textId="77777777" w:rsidR="00461277" w:rsidRDefault="00000000">
            <w:pPr>
              <w:spacing w:line="240" w:lineRule="auto" w:after="40"/>
            </w:pPr>
            <w:r>
              <w:rPr>
                <w:rFonts w:ascii="Times New Roman" w:hAnsi="Times New Roman" w:eastAsia="Times New Roman"/>
                <w:b/>
                <w:sz w:val="20"/>
              </w:rPr>
              <w:t>Decision</w:t>
            </w:r>
          </w:p>
        </w:tc>
      </w:tr>
      <w:tr w:rsidR="00461277" w14:paraId="58FC068F" w14:textId="77777777">
        <w:trPr>
          <w:jc w:val="center"/>
        </w:trPr>
        <w:tc>
          <w:tcPr>
            <w:tcW w:w="1080" w:type="dxa"/>
            <w:vAlign w:val="center"/>
          </w:tcPr>
          <w:p w14:paraId="4BB10B5A" w14:textId="77777777" w:rsidR="00461277" w:rsidRDefault="00000000">
            <w:pPr>
              <w:spacing w:line="240" w:lineRule="auto" w:after="40"/>
            </w:pPr>
            <w:r>
              <w:rPr>
                <w:rFonts w:ascii="Times New Roman" w:hAnsi="Times New Roman" w:eastAsia="Times New Roman"/>
                <w:sz w:val="20"/>
              </w:rPr>
              <w:t>Bounds test</w:t>
            </w:r>
          </w:p>
        </w:tc>
        <w:tc>
          <w:tcPr>
            <w:tcW w:w="1800" w:type="dxa"/>
            <w:vAlign w:val="center"/>
          </w:tcPr>
          <w:p w14:paraId="620D6C50" w14:textId="77777777" w:rsidR="00461277" w:rsidRDefault="00000000">
            <w:pPr>
              <w:spacing w:line="240" w:lineRule="auto" w:after="40"/>
            </w:pPr>
            <w:r>
              <w:rPr>
                <w:rFonts w:ascii="Times New Roman" w:hAnsi="Times New Roman" w:eastAsia="Times New Roman"/>
                <w:sz w:val="20"/>
              </w:rPr>
              <w:t>Comparative NARDL</w:t>
            </w:r>
          </w:p>
        </w:tc>
        <w:tc>
          <w:tcPr>
            <w:tcW w:w="1512" w:type="dxa"/>
            <w:vAlign w:val="center"/>
          </w:tcPr>
          <w:p w14:paraId="38011321" w14:textId="77777777" w:rsidR="00461277" w:rsidRDefault="00000000">
            <w:pPr>
              <w:spacing w:line="240" w:lineRule="auto" w:after="40"/>
            </w:pPr>
            <w:r>
              <w:rPr>
                <w:rFonts w:ascii="Times New Roman" w:hAnsi="Times New Roman" w:eastAsia="Times New Roman"/>
                <w:sz w:val="20"/>
              </w:rPr>
              <w:t>ARDL(2,0,0,0,0,0,0)</w:t>
            </w:r>
          </w:p>
        </w:tc>
        <w:tc>
          <w:tcPr>
            <w:tcW w:w="936" w:type="dxa"/>
            <w:vAlign w:val="center"/>
          </w:tcPr>
          <w:p w14:paraId="1C479934" w14:textId="77777777" w:rsidR="00461277" w:rsidRDefault="00000000">
            <w:pPr>
              <w:spacing w:line="240" w:lineRule="auto" w:after="40"/>
            </w:pPr>
            <w:r>
              <w:rPr>
                <w:rFonts w:ascii="Times New Roman" w:hAnsi="Times New Roman" w:eastAsia="Times New Roman"/>
                <w:sz w:val="20"/>
              </w:rPr>
              <w:t>SIC</w:t>
            </w:r>
          </w:p>
        </w:tc>
        <w:tc>
          <w:tcPr>
            <w:tcW w:w="1440" w:type="dxa"/>
            <w:vAlign w:val="center"/>
          </w:tcPr>
          <w:p w14:paraId="01CD2CEC" w14:textId="77777777" w:rsidR="00461277" w:rsidRDefault="00000000">
            <w:pPr>
              <w:spacing w:line="240" w:lineRule="auto" w:after="40"/>
            </w:pPr>
            <w:r>
              <w:rPr>
                <w:rFonts w:ascii="Times New Roman" w:hAnsi="Times New Roman" w:eastAsia="Times New Roman"/>
                <w:sz w:val="20"/>
              </w:rPr>
              <w:t>5.069598</w:t>
            </w:r>
          </w:p>
        </w:tc>
        <w:tc>
          <w:tcPr>
            <w:tcW w:w="1080" w:type="dxa"/>
            <w:vAlign w:val="center"/>
          </w:tcPr>
          <w:p w14:paraId="374102B9" w14:textId="77777777" w:rsidR="00461277" w:rsidRDefault="00000000">
            <w:pPr>
              <w:spacing w:line="240" w:lineRule="auto" w:after="40"/>
            </w:pPr>
            <w:r>
              <w:rPr>
                <w:rFonts w:ascii="Times New Roman" w:hAnsi="Times New Roman" w:eastAsia="Times New Roman"/>
                <w:sz w:val="20"/>
              </w:rPr>
              <w:t>—</w:t>
            </w:r>
          </w:p>
        </w:tc>
        <w:tc>
          <w:tcPr>
            <w:tcW w:w="1080" w:type="dxa"/>
            <w:vAlign w:val="center"/>
          </w:tcPr>
          <w:p w14:paraId="54123465" w14:textId="77777777" w:rsidR="00461277" w:rsidRDefault="00000000">
            <w:pPr>
              <w:spacing w:line="240" w:lineRule="auto" w:after="40"/>
            </w:pPr>
            <w:r>
              <w:rPr>
                <w:rFonts w:ascii="Times New Roman" w:hAnsi="Times New Roman" w:eastAsia="Times New Roman"/>
                <w:sz w:val="20"/>
              </w:rPr>
              <w:t>—</w:t>
            </w:r>
          </w:p>
        </w:tc>
        <w:tc>
          <w:tcPr>
            <w:tcW w:w="936" w:type="dxa"/>
            <w:vAlign w:val="center"/>
          </w:tcPr>
          <w:p w14:paraId="5970F895" w14:textId="77777777" w:rsidR="00461277" w:rsidRDefault="00000000">
            <w:pPr>
              <w:spacing w:line="240" w:lineRule="auto" w:after="40"/>
            </w:pPr>
            <w:r>
              <w:rPr>
                <w:rFonts w:ascii="Times New Roman" w:hAnsi="Times New Roman" w:eastAsia="Times New Roman"/>
                <w:sz w:val="20"/>
              </w:rPr>
              <w:t>—</w:t>
            </w:r>
          </w:p>
        </w:tc>
        <w:tc>
          <w:tcPr>
            <w:tcW w:w="1728" w:type="dxa"/>
            <w:vAlign w:val="center"/>
          </w:tcPr>
          <w:p w14:paraId="5DFD4990" w14:textId="77777777" w:rsidR="00461277" w:rsidRDefault="00000000">
            <w:pPr>
              <w:spacing w:line="240" w:lineRule="auto" w:after="40"/>
            </w:pPr>
            <w:r>
              <w:rPr>
                <w:rFonts w:ascii="Times New Roman" w:hAnsi="Times New Roman" w:eastAsia="Times New Roman"/>
                <w:sz w:val="20"/>
              </w:rPr>
              <w:t>Cointegration at the 1% level</w:t>
            </w:r>
          </w:p>
        </w:tc>
      </w:tr>
      <w:tr w:rsidR="00461277" w14:paraId="36FEF1DB" w14:textId="77777777">
        <w:trPr>
          <w:jc w:val="center"/>
        </w:trPr>
        <w:tc>
          <w:tcPr>
            <w:tcW w:w="1080" w:type="dxa"/>
            <w:vAlign w:val="center"/>
          </w:tcPr>
          <w:p w14:paraId="57946F58" w14:textId="77777777" w:rsidR="00461277" w:rsidRDefault="00000000">
            <w:pPr>
              <w:spacing w:line="240" w:lineRule="auto" w:after="40"/>
            </w:pPr>
            <w:r>
              <w:rPr>
                <w:rFonts w:ascii="Times New Roman" w:hAnsi="Times New Roman" w:eastAsia="Times New Roman"/>
                <w:sz w:val="20"/>
              </w:rPr>
              <w:t>ECM</w:t>
            </w:r>
          </w:p>
        </w:tc>
        <w:tc>
          <w:tcPr>
            <w:tcW w:w="1800" w:type="dxa"/>
            <w:vAlign w:val="center"/>
          </w:tcPr>
          <w:p w14:paraId="7480632C" w14:textId="77777777" w:rsidR="00461277" w:rsidRDefault="00000000">
            <w:pPr>
              <w:spacing w:line="240" w:lineRule="auto" w:after="40"/>
            </w:pPr>
            <w:r>
              <w:rPr>
                <w:rFonts w:ascii="Times New Roman" w:hAnsi="Times New Roman" w:eastAsia="Times New Roman"/>
                <w:sz w:val="20"/>
              </w:rPr>
              <w:t>COINTEQ</w:t>
            </w:r>
          </w:p>
        </w:tc>
        <w:tc>
          <w:tcPr>
            <w:tcW w:w="1512" w:type="dxa"/>
            <w:vAlign w:val="center"/>
          </w:tcPr>
          <w:p w14:paraId="7C6997E0" w14:textId="77777777" w:rsidR="00461277" w:rsidRDefault="00000000">
            <w:pPr>
              <w:spacing w:line="240" w:lineRule="auto" w:after="40"/>
            </w:pPr>
            <w:r>
              <w:rPr>
                <w:rFonts w:ascii="Times New Roman" w:hAnsi="Times New Roman" w:eastAsia="Times New Roman"/>
                <w:sz w:val="20"/>
              </w:rPr>
              <w:t>—</w:t>
            </w:r>
          </w:p>
        </w:tc>
        <w:tc>
          <w:tcPr>
            <w:tcW w:w="936" w:type="dxa"/>
            <w:vAlign w:val="center"/>
          </w:tcPr>
          <w:p w14:paraId="79F4672E" w14:textId="77777777" w:rsidR="00461277" w:rsidRDefault="00000000">
            <w:pPr>
              <w:spacing w:line="240" w:lineRule="auto" w:after="40"/>
            </w:pPr>
            <w:r>
              <w:rPr>
                <w:rFonts w:ascii="Times New Roman" w:hAnsi="Times New Roman" w:eastAsia="Times New Roman"/>
                <w:sz w:val="20"/>
              </w:rPr>
              <w:t>—</w:t>
            </w:r>
          </w:p>
        </w:tc>
        <w:tc>
          <w:tcPr>
            <w:tcW w:w="1440" w:type="dxa"/>
            <w:vAlign w:val="center"/>
          </w:tcPr>
          <w:p w14:paraId="302744D3" w14:textId="77777777" w:rsidR="00461277" w:rsidRDefault="00000000">
            <w:pPr>
              <w:spacing w:line="240" w:lineRule="auto" w:after="40"/>
            </w:pPr>
            <w:r>
              <w:rPr>
                <w:rFonts w:ascii="Times New Roman" w:hAnsi="Times New Roman" w:eastAsia="Times New Roman"/>
                <w:sz w:val="20"/>
              </w:rPr>
              <w:t>-0.093492</w:t>
            </w:r>
          </w:p>
        </w:tc>
        <w:tc>
          <w:tcPr>
            <w:tcW w:w="1080" w:type="dxa"/>
            <w:vAlign w:val="center"/>
          </w:tcPr>
          <w:p w14:paraId="6D8828E4" w14:textId="77777777" w:rsidR="00461277" w:rsidRDefault="00000000">
            <w:pPr>
              <w:spacing w:line="240" w:lineRule="auto" w:after="40"/>
            </w:pPr>
            <w:r>
              <w:rPr>
                <w:rFonts w:ascii="Times New Roman" w:hAnsi="Times New Roman" w:eastAsia="Times New Roman"/>
                <w:sz w:val="20"/>
              </w:rPr>
              <w:t>0.015467</w:t>
            </w:r>
          </w:p>
        </w:tc>
        <w:tc>
          <w:tcPr>
            <w:tcW w:w="1080" w:type="dxa"/>
            <w:vAlign w:val="center"/>
          </w:tcPr>
          <w:p w14:paraId="1B95B5A8" w14:textId="77777777" w:rsidR="00461277" w:rsidRDefault="00000000">
            <w:pPr>
              <w:spacing w:line="240" w:lineRule="auto" w:after="40"/>
            </w:pPr>
            <w:r>
              <w:rPr>
                <w:rFonts w:ascii="Times New Roman" w:hAnsi="Times New Roman" w:eastAsia="Times New Roman"/>
                <w:sz w:val="20"/>
              </w:rPr>
              <w:t>-6.031657</w:t>
            </w:r>
          </w:p>
        </w:tc>
        <w:tc>
          <w:tcPr>
            <w:tcW w:w="936" w:type="dxa"/>
            <w:vAlign w:val="center"/>
          </w:tcPr>
          <w:p w14:paraId="5966A70D" w14:textId="77777777" w:rsidR="00461277" w:rsidRDefault="00000000">
            <w:pPr>
              <w:spacing w:line="240" w:lineRule="auto" w:after="40"/>
            </w:pPr>
            <w:r>
              <w:rPr>
                <w:rFonts w:ascii="Times New Roman" w:hAnsi="Times New Roman" w:eastAsia="Times New Roman"/>
                <w:sz w:val="20"/>
              </w:rPr>
              <w:t>0.0000</w:t>
            </w:r>
          </w:p>
        </w:tc>
        <w:tc>
          <w:tcPr>
            <w:tcW w:w="1728" w:type="dxa"/>
            <w:vAlign w:val="center"/>
          </w:tcPr>
          <w:p w14:paraId="52238054" w14:textId="77777777" w:rsidR="00461277" w:rsidRDefault="00000000">
            <w:pPr>
              <w:spacing w:line="240" w:lineRule="auto" w:after="40"/>
            </w:pPr>
            <w:r>
              <w:rPr>
                <w:rFonts w:ascii="Times New Roman" w:hAnsi="Times New Roman" w:eastAsia="Times New Roman"/>
                <w:sz w:val="20"/>
              </w:rPr>
              <w:t>Negative and significant</w:t>
            </w:r>
          </w:p>
        </w:tc>
      </w:tr>
    </w:tbl>
    <w:p w14:paraId="6D912224" w14:textId="77777777" w:rsidR="00461277" w:rsidRDefault="00000000">
      <w:pPr>
        <w:spacing w:after="120" w:line="360" w:lineRule="auto"/>
        <w:jc w:val="both"/>
      </w:pPr>
      <w:r>
        <w:rPr>
          <w:rFonts w:ascii="Times New Roman" w:hAnsi="Times New Roman" w:eastAsia="Times New Roman"/>
          <w:sz w:val="24"/>
        </w:rPr>
        <w:t>Note: Critical values: 10% I(0)=2.120, I(1)=3.230; 5% I(0)=2.450, I(1)=3.610; 1% I(0)=3.150, I(1)=4.430. A bounds F-statistic above the upper bound indicates cointegration. A negative and statistically significant ECM coefficient indicates adjustment toward long-run equilibrium.</w:t>
      </w:r>
    </w:p>
    <w:p w14:paraId="65202148" w14:textId="77777777" w:rsidR="001C32BA" w:rsidRPr="003C190B" w:rsidRDefault="001C32BA" w:rsidP="003C190B">
      <w:pPr>
        <w:spacing w:after="120" w:line="360" w:lineRule="auto"/>
        <w:jc w:val="both"/>
        <w:rPr>
          <w:sz w:val="24"/>
          <w:szCs w:val="24"/>
        </w:rPr>
      </w:pPr>
    </w:p>
    <w:p w14:paraId="35E64982" w14:textId="6DC2CC2F"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The bounds test produces an F-statistic of 5.069598, which exceeds the upper-bound critical value of 4.430 at the 1% significance level. Therefore, the null hypothesis of no cointegration is rejected. This indicates a strong long-run relationship between Brent oil prices, the general GPR components, and the event-contextual interaction terms.</w:t>
      </w:r>
    </w:p>
    <w:p w14:paraId="5E9ED951"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The error correction coefficient is -0.093492 and statistically significant at the 1% level. Its negative sign indicates that the long-run equilibrium mechanism operates properly. Given the monthly frequency of the data, approximately 9.35% of short-run disequilibria are corrected in the following month.</w:t>
      </w:r>
    </w:p>
    <w:p w14:paraId="0F03D125" w14:textId="77777777" w:rsidR="00461277" w:rsidRDefault="00000000">
      <w:pPr>
        <w:pStyle w:val="Balk2"/>
        <w:spacing w:before="240" w:after="120" w:line="360" w:lineRule="auto"/>
        <w:jc w:val="left"/>
      </w:pPr>
      <w:r>
        <w:rPr>
          <w:rFonts w:ascii="Times New Roman" w:eastAsia="Times New Roman" w:hAnsi="Times New Roman"/>
          <w:b/>
          <w:sz w:val="24"/>
        </w:rPr>
        <w:t>4.3. Long-run coefficients</w:t>
      </w:r>
    </w:p>
    <w:p w14:paraId="207B2E51" w14:textId="77777777" w:rsidR="00461277" w:rsidRDefault="00000000">
      <w:pPr>
        <w:spacing w:after="120" w:line="360" w:lineRule="auto"/>
        <w:jc w:val="both"/>
      </w:pPr>
      <w:r>
        <w:rPr>
          <w:rFonts w:ascii="Times New Roman" w:hAnsi="Times New Roman" w:eastAsia="Times New Roman"/>
          <w:b/>
          <w:sz w:val="24"/>
        </w:rPr>
        <w:t>Table 4. Long-run coefficients of the comparative NARDL model</w:t>
      </w:r>
    </w:p>
    <w:tbl>
      <w:tblPr>
        <w:tblStyle w:val="TabloKlavuzu"/>
        <w:tblW w:w="0" w:type="auto"/>
        <w:jc w:val="center"/>
        <w:tblLayout w:type="autofit"/>
        <w:tblLook w:val="04A0" w:firstRow="1" w:lastRow="0" w:firstColumn="1" w:lastColumn="0" w:noHBand="0" w:noVBand="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296"/>
        <w:gridCol w:w="1296"/>
        <w:gridCol w:w="1296"/>
        <w:gridCol w:w="1152"/>
        <w:gridCol w:w="2016"/>
      </w:tblGrid>
      <w:tr w:rsidR="00461277" w14:paraId="010E013B" w14:textId="77777777">
        <w:trPr>
          <w:jc w:val="center"/>
        </w:trPr>
        <w:tc>
          <w:tcPr>
            <w:tcW w:w="1728" w:type="dxa"/>
            <w:vAlign w:val="center"/>
            <w:shd w:fill="D9EAF7"/>
          </w:tcPr>
          <w:p w14:paraId="30ACA3E8" w14:textId="77777777" w:rsidR="00461277" w:rsidRDefault="00000000">
            <w:pPr>
              <w:spacing w:line="240" w:lineRule="auto" w:after="40"/>
            </w:pPr>
            <w:r>
              <w:rPr>
                <w:rFonts w:ascii="Times New Roman" w:hAnsi="Times New Roman" w:eastAsia="Times New Roman"/>
                <w:b/>
                <w:sz w:val="20"/>
              </w:rPr>
              <w:t>Variable</w:t>
            </w:r>
          </w:p>
        </w:tc>
        <w:tc>
          <w:tcPr>
            <w:tcW w:w="1296" w:type="dxa"/>
            <w:vAlign w:val="center"/>
            <w:shd w:fill="D9EAF7"/>
          </w:tcPr>
          <w:p w14:paraId="6A18C3E2" w14:textId="77777777" w:rsidR="00461277" w:rsidRDefault="00000000">
            <w:pPr>
              <w:spacing w:line="240" w:lineRule="auto" w:after="40"/>
            </w:pPr>
            <w:r>
              <w:rPr>
                <w:rFonts w:ascii="Times New Roman" w:hAnsi="Times New Roman" w:eastAsia="Times New Roman"/>
                <w:b/>
                <w:sz w:val="20"/>
              </w:rPr>
              <w:t>Coefficient</w:t>
            </w:r>
          </w:p>
        </w:tc>
        <w:tc>
          <w:tcPr>
            <w:tcW w:w="1296" w:type="dxa"/>
            <w:vAlign w:val="center"/>
            <w:shd w:fill="D9EAF7"/>
          </w:tcPr>
          <w:p w14:paraId="531FB5AD" w14:textId="77777777" w:rsidR="00461277" w:rsidRDefault="00000000">
            <w:pPr>
              <w:spacing w:line="240" w:lineRule="auto" w:after="40"/>
            </w:pPr>
            <w:r>
              <w:rPr>
                <w:rFonts w:ascii="Times New Roman" w:hAnsi="Times New Roman" w:eastAsia="Times New Roman"/>
                <w:b/>
                <w:sz w:val="20"/>
              </w:rPr>
              <w:t>Std. error</w:t>
            </w:r>
          </w:p>
        </w:tc>
        <w:tc>
          <w:tcPr>
            <w:tcW w:w="1296" w:type="dxa"/>
            <w:vAlign w:val="center"/>
            <w:shd w:fill="D9EAF7"/>
          </w:tcPr>
          <w:p w14:paraId="0289A25D" w14:textId="77777777" w:rsidR="00461277" w:rsidRDefault="00000000">
            <w:pPr>
              <w:spacing w:line="240" w:lineRule="auto" w:after="40"/>
            </w:pPr>
            <w:r>
              <w:rPr>
                <w:rFonts w:ascii="Times New Roman" w:hAnsi="Times New Roman" w:eastAsia="Times New Roman"/>
                <w:b/>
                <w:sz w:val="20"/>
              </w:rPr>
              <w:t>t-statistic</w:t>
            </w:r>
          </w:p>
        </w:tc>
        <w:tc>
          <w:tcPr>
            <w:tcW w:w="1152" w:type="dxa"/>
            <w:vAlign w:val="center"/>
            <w:shd w:fill="D9EAF7"/>
          </w:tcPr>
          <w:p w14:paraId="75268E91" w14:textId="77777777" w:rsidR="00461277" w:rsidRDefault="00000000">
            <w:pPr>
              <w:spacing w:line="240" w:lineRule="auto" w:after="40"/>
            </w:pPr>
            <w:r>
              <w:rPr>
                <w:rFonts w:ascii="Times New Roman" w:hAnsi="Times New Roman" w:eastAsia="Times New Roman"/>
                <w:b/>
                <w:sz w:val="20"/>
              </w:rPr>
              <w:t>p-value</w:t>
            </w:r>
          </w:p>
        </w:tc>
        <w:tc>
          <w:tcPr>
            <w:tcW w:w="2016" w:type="dxa"/>
            <w:vAlign w:val="center"/>
            <w:shd w:fill="D9EAF7"/>
          </w:tcPr>
          <w:p w14:paraId="63384723" w14:textId="77777777" w:rsidR="00461277" w:rsidRDefault="00000000">
            <w:pPr>
              <w:spacing w:line="240" w:lineRule="auto" w:after="40"/>
            </w:pPr>
            <w:r>
              <w:rPr>
                <w:rFonts w:ascii="Times New Roman" w:hAnsi="Times New Roman" w:eastAsia="Times New Roman"/>
                <w:b/>
                <w:sz w:val="20"/>
              </w:rPr>
              <w:t>Result</w:t>
            </w:r>
          </w:p>
        </w:tc>
      </w:tr>
      <w:tr w:rsidR="00461277" w14:paraId="53FEBAAE" w14:textId="77777777">
        <w:trPr>
          <w:jc w:val="center"/>
        </w:trPr>
        <w:tc>
          <w:tcPr>
            <w:tcW w:w="1728" w:type="dxa"/>
            <w:vAlign w:val="center"/>
          </w:tcPr>
          <w:p w14:paraId="1151DD0C" w14:textId="77777777" w:rsidR="00461277" w:rsidRDefault="00000000">
            <w:pPr>
              <w:spacing w:line="240" w:lineRule="auto" w:after="40"/>
            </w:pPr>
            <w:r>
              <w:rPr>
                <w:rFonts w:ascii="Times New Roman" w:hAnsi="Times New Roman" w:eastAsia="Times New Roman"/>
                <w:sz w:val="20"/>
              </w:rPr>
              <w:t>GPR_POS</w:t>
            </w:r>
          </w:p>
        </w:tc>
        <w:tc>
          <w:tcPr>
            <w:tcW w:w="1296" w:type="dxa"/>
            <w:vAlign w:val="center"/>
          </w:tcPr>
          <w:p w14:paraId="0C99DA13" w14:textId="77777777" w:rsidR="00461277" w:rsidRDefault="00000000">
            <w:pPr>
              <w:spacing w:line="240" w:lineRule="auto" w:after="40"/>
            </w:pPr>
            <w:r>
              <w:rPr>
                <w:rFonts w:ascii="Times New Roman" w:hAnsi="Times New Roman" w:eastAsia="Times New Roman"/>
                <w:sz w:val="20"/>
              </w:rPr>
              <w:t>-0.015172</w:t>
            </w:r>
          </w:p>
        </w:tc>
        <w:tc>
          <w:tcPr>
            <w:tcW w:w="1296" w:type="dxa"/>
            <w:vAlign w:val="center"/>
          </w:tcPr>
          <w:p w14:paraId="054FB92D" w14:textId="77777777" w:rsidR="00461277" w:rsidRDefault="00000000">
            <w:pPr>
              <w:spacing w:line="240" w:lineRule="auto" w:after="40"/>
            </w:pPr>
            <w:r>
              <w:rPr>
                <w:rFonts w:ascii="Times New Roman" w:hAnsi="Times New Roman" w:eastAsia="Times New Roman"/>
                <w:sz w:val="20"/>
              </w:rPr>
              <w:t>0.006482</w:t>
            </w:r>
          </w:p>
        </w:tc>
        <w:tc>
          <w:tcPr>
            <w:tcW w:w="1296" w:type="dxa"/>
            <w:vAlign w:val="center"/>
          </w:tcPr>
          <w:p w14:paraId="5E7F99E6" w14:textId="77777777" w:rsidR="00461277" w:rsidRDefault="00000000">
            <w:pPr>
              <w:spacing w:line="240" w:lineRule="auto" w:after="40"/>
            </w:pPr>
            <w:r>
              <w:rPr>
                <w:rFonts w:ascii="Times New Roman" w:hAnsi="Times New Roman" w:eastAsia="Times New Roman"/>
                <w:sz w:val="20"/>
              </w:rPr>
              <w:t>-2.347805</w:t>
            </w:r>
          </w:p>
        </w:tc>
        <w:tc>
          <w:tcPr>
            <w:tcW w:w="1152" w:type="dxa"/>
            <w:vAlign w:val="center"/>
          </w:tcPr>
          <w:p w14:paraId="603FE4A2" w14:textId="77777777" w:rsidR="00461277" w:rsidRDefault="00000000">
            <w:pPr>
              <w:spacing w:line="240" w:lineRule="auto" w:after="40"/>
            </w:pPr>
            <w:r>
              <w:rPr>
                <w:rFonts w:ascii="Times New Roman" w:hAnsi="Times New Roman" w:eastAsia="Times New Roman"/>
                <w:sz w:val="20"/>
              </w:rPr>
              <w:t>0.0198</w:t>
            </w:r>
          </w:p>
        </w:tc>
        <w:tc>
          <w:tcPr>
            <w:tcW w:w="2016" w:type="dxa"/>
            <w:vAlign w:val="center"/>
          </w:tcPr>
          <w:p w14:paraId="0E32F571" w14:textId="77777777" w:rsidR="00461277" w:rsidRDefault="00000000">
            <w:pPr>
              <w:spacing w:line="240" w:lineRule="auto" w:after="40"/>
            </w:pPr>
            <w:r>
              <w:rPr>
                <w:rFonts w:ascii="Times New Roman" w:hAnsi="Times New Roman" w:eastAsia="Times New Roman"/>
                <w:sz w:val="20"/>
              </w:rPr>
              <w:t>Significant</w:t>
            </w:r>
          </w:p>
        </w:tc>
      </w:tr>
      <w:tr w:rsidR="00461277" w14:paraId="506F35E7" w14:textId="77777777">
        <w:trPr>
          <w:jc w:val="center"/>
        </w:trPr>
        <w:tc>
          <w:tcPr>
            <w:tcW w:w="1728" w:type="dxa"/>
            <w:vAlign w:val="center"/>
          </w:tcPr>
          <w:p w14:paraId="6E4C7BC0" w14:textId="77777777" w:rsidR="00461277" w:rsidRDefault="00000000">
            <w:pPr>
              <w:spacing w:line="240" w:lineRule="auto" w:after="40"/>
            </w:pPr>
            <w:r>
              <w:rPr>
                <w:rFonts w:ascii="Times New Roman" w:hAnsi="Times New Roman" w:eastAsia="Times New Roman"/>
                <w:sz w:val="20"/>
              </w:rPr>
              <w:t>GPR_NEG</w:t>
            </w:r>
          </w:p>
        </w:tc>
        <w:tc>
          <w:tcPr>
            <w:tcW w:w="1296" w:type="dxa"/>
            <w:vAlign w:val="center"/>
          </w:tcPr>
          <w:p w14:paraId="07346D17" w14:textId="77777777" w:rsidR="00461277" w:rsidRDefault="00000000">
            <w:pPr>
              <w:spacing w:line="240" w:lineRule="auto" w:after="40"/>
            </w:pPr>
            <w:r>
              <w:rPr>
                <w:rFonts w:ascii="Times New Roman" w:hAnsi="Times New Roman" w:eastAsia="Times New Roman"/>
                <w:sz w:val="20"/>
              </w:rPr>
              <w:t>-0.014896</w:t>
            </w:r>
          </w:p>
        </w:tc>
        <w:tc>
          <w:tcPr>
            <w:tcW w:w="1296" w:type="dxa"/>
            <w:vAlign w:val="center"/>
          </w:tcPr>
          <w:p w14:paraId="0149B3E5" w14:textId="77777777" w:rsidR="00461277" w:rsidRDefault="00000000">
            <w:pPr>
              <w:spacing w:line="240" w:lineRule="auto" w:after="40"/>
            </w:pPr>
            <w:r>
              <w:rPr>
                <w:rFonts w:ascii="Times New Roman" w:hAnsi="Times New Roman" w:eastAsia="Times New Roman"/>
                <w:sz w:val="20"/>
              </w:rPr>
              <w:t>0.006505</w:t>
            </w:r>
          </w:p>
        </w:tc>
        <w:tc>
          <w:tcPr>
            <w:tcW w:w="1296" w:type="dxa"/>
            <w:vAlign w:val="center"/>
          </w:tcPr>
          <w:p w14:paraId="038715F0" w14:textId="77777777" w:rsidR="00461277" w:rsidRDefault="00000000">
            <w:pPr>
              <w:spacing w:line="240" w:lineRule="auto" w:after="40"/>
            </w:pPr>
            <w:r>
              <w:rPr>
                <w:rFonts w:ascii="Times New Roman" w:hAnsi="Times New Roman" w:eastAsia="Times New Roman"/>
                <w:sz w:val="20"/>
              </w:rPr>
              <w:t>-2.289737</w:t>
            </w:r>
          </w:p>
        </w:tc>
        <w:tc>
          <w:tcPr>
            <w:tcW w:w="1152" w:type="dxa"/>
            <w:vAlign w:val="center"/>
          </w:tcPr>
          <w:p w14:paraId="70613F13" w14:textId="77777777" w:rsidR="00461277" w:rsidRDefault="00000000">
            <w:pPr>
              <w:spacing w:line="240" w:lineRule="auto" w:after="40"/>
            </w:pPr>
            <w:r>
              <w:rPr>
                <w:rFonts w:ascii="Times New Roman" w:hAnsi="Times New Roman" w:eastAsia="Times New Roman"/>
                <w:sz w:val="20"/>
              </w:rPr>
              <w:t>0.0230</w:t>
            </w:r>
          </w:p>
        </w:tc>
        <w:tc>
          <w:tcPr>
            <w:tcW w:w="2016" w:type="dxa"/>
            <w:vAlign w:val="center"/>
          </w:tcPr>
          <w:p w14:paraId="5DBDABA8" w14:textId="77777777" w:rsidR="00461277" w:rsidRDefault="00000000">
            <w:pPr>
              <w:spacing w:line="240" w:lineRule="auto" w:after="40"/>
            </w:pPr>
            <w:r>
              <w:rPr>
                <w:rFonts w:ascii="Times New Roman" w:hAnsi="Times New Roman" w:eastAsia="Times New Roman"/>
                <w:sz w:val="20"/>
              </w:rPr>
              <w:t>Significant</w:t>
            </w:r>
          </w:p>
        </w:tc>
      </w:tr>
      <w:tr w:rsidR="00461277" w14:paraId="2558A73F" w14:textId="77777777">
        <w:trPr>
          <w:jc w:val="center"/>
        </w:trPr>
        <w:tc>
          <w:tcPr>
            <w:tcW w:w="1728" w:type="dxa"/>
            <w:vAlign w:val="center"/>
          </w:tcPr>
          <w:p w14:paraId="5573D202" w14:textId="77777777" w:rsidR="00461277" w:rsidRDefault="00000000">
            <w:pPr>
              <w:spacing w:line="240" w:lineRule="auto" w:after="40"/>
            </w:pPr>
            <w:r>
              <w:rPr>
                <w:rFonts w:ascii="Times New Roman" w:hAnsi="Times New Roman" w:eastAsia="Times New Roman"/>
                <w:sz w:val="20"/>
              </w:rPr>
              <w:t>GPR_POS_RU</w:t>
            </w:r>
          </w:p>
        </w:tc>
        <w:tc>
          <w:tcPr>
            <w:tcW w:w="1296" w:type="dxa"/>
            <w:vAlign w:val="center"/>
          </w:tcPr>
          <w:p w14:paraId="574C7091" w14:textId="77777777" w:rsidR="00461277" w:rsidRDefault="00000000">
            <w:pPr>
              <w:spacing w:line="240" w:lineRule="auto" w:after="40"/>
            </w:pPr>
            <w:r>
              <w:rPr>
                <w:rFonts w:ascii="Times New Roman" w:hAnsi="Times New Roman" w:eastAsia="Times New Roman"/>
                <w:sz w:val="20"/>
              </w:rPr>
              <w:t>0.028413</w:t>
            </w:r>
          </w:p>
        </w:tc>
        <w:tc>
          <w:tcPr>
            <w:tcW w:w="1296" w:type="dxa"/>
            <w:vAlign w:val="center"/>
          </w:tcPr>
          <w:p w14:paraId="2A873C59" w14:textId="77777777" w:rsidR="00461277" w:rsidRDefault="00000000">
            <w:pPr>
              <w:spacing w:line="240" w:lineRule="auto" w:after="40"/>
            </w:pPr>
            <w:r>
              <w:rPr>
                <w:rFonts w:ascii="Times New Roman" w:hAnsi="Times New Roman" w:eastAsia="Times New Roman"/>
                <w:sz w:val="20"/>
              </w:rPr>
              <w:t>0.010579</w:t>
            </w:r>
          </w:p>
        </w:tc>
        <w:tc>
          <w:tcPr>
            <w:tcW w:w="1296" w:type="dxa"/>
            <w:vAlign w:val="center"/>
          </w:tcPr>
          <w:p w14:paraId="2122FBB9" w14:textId="77777777" w:rsidR="00461277" w:rsidRDefault="00000000">
            <w:pPr>
              <w:spacing w:line="240" w:lineRule="auto" w:after="40"/>
            </w:pPr>
            <w:r>
              <w:rPr>
                <w:rFonts w:ascii="Times New Roman" w:hAnsi="Times New Roman" w:eastAsia="Times New Roman"/>
                <w:sz w:val="20"/>
              </w:rPr>
              <w:t>2.685710</w:t>
            </w:r>
          </w:p>
        </w:tc>
        <w:tc>
          <w:tcPr>
            <w:tcW w:w="1152" w:type="dxa"/>
            <w:vAlign w:val="center"/>
          </w:tcPr>
          <w:p w14:paraId="561FB66E" w14:textId="77777777" w:rsidR="00461277" w:rsidRDefault="00000000">
            <w:pPr>
              <w:spacing w:line="240" w:lineRule="auto" w:after="40"/>
            </w:pPr>
            <w:r>
              <w:rPr>
                <w:rFonts w:ascii="Times New Roman" w:hAnsi="Times New Roman" w:eastAsia="Times New Roman"/>
                <w:sz w:val="20"/>
              </w:rPr>
              <w:t>0.0070</w:t>
            </w:r>
          </w:p>
        </w:tc>
        <w:tc>
          <w:tcPr>
            <w:tcW w:w="2016" w:type="dxa"/>
            <w:vAlign w:val="center"/>
          </w:tcPr>
          <w:p w14:paraId="19A68C14" w14:textId="77777777" w:rsidR="00461277" w:rsidRDefault="00000000">
            <w:pPr>
              <w:spacing w:line="240" w:lineRule="auto" w:after="40"/>
            </w:pPr>
            <w:r>
              <w:rPr>
                <w:rFonts w:ascii="Times New Roman" w:hAnsi="Times New Roman" w:eastAsia="Times New Roman"/>
                <w:sz w:val="20"/>
              </w:rPr>
              <w:t>Strongly significant</w:t>
            </w:r>
          </w:p>
        </w:tc>
      </w:tr>
      <w:tr w:rsidR="00461277" w14:paraId="6C4666D8" w14:textId="77777777">
        <w:trPr>
          <w:jc w:val="center"/>
        </w:trPr>
        <w:tc>
          <w:tcPr>
            <w:tcW w:w="1728" w:type="dxa"/>
            <w:vAlign w:val="center"/>
          </w:tcPr>
          <w:p w14:paraId="5514D668" w14:textId="77777777" w:rsidR="00461277" w:rsidRDefault="00000000">
            <w:pPr>
              <w:spacing w:line="240" w:lineRule="auto" w:after="40"/>
            </w:pPr>
            <w:r>
              <w:rPr>
                <w:rFonts w:ascii="Times New Roman" w:hAnsi="Times New Roman" w:eastAsia="Times New Roman"/>
                <w:sz w:val="20"/>
              </w:rPr>
              <w:t>GPR_NEG_RU</w:t>
            </w:r>
          </w:p>
        </w:tc>
        <w:tc>
          <w:tcPr>
            <w:tcW w:w="1296" w:type="dxa"/>
            <w:vAlign w:val="center"/>
          </w:tcPr>
          <w:p w14:paraId="1B72284E" w14:textId="77777777" w:rsidR="00461277" w:rsidRDefault="00000000">
            <w:pPr>
              <w:spacing w:line="240" w:lineRule="auto" w:after="40"/>
            </w:pPr>
            <w:r>
              <w:rPr>
                <w:rFonts w:ascii="Times New Roman" w:hAnsi="Times New Roman" w:eastAsia="Times New Roman"/>
                <w:sz w:val="20"/>
              </w:rPr>
              <w:t>0.028189</w:t>
            </w:r>
          </w:p>
        </w:tc>
        <w:tc>
          <w:tcPr>
            <w:tcW w:w="1296" w:type="dxa"/>
            <w:vAlign w:val="center"/>
          </w:tcPr>
          <w:p w14:paraId="0580E79F" w14:textId="77777777" w:rsidR="00461277" w:rsidRDefault="00000000">
            <w:pPr>
              <w:spacing w:line="240" w:lineRule="auto" w:after="40"/>
            </w:pPr>
            <w:r>
              <w:rPr>
                <w:rFonts w:ascii="Times New Roman" w:hAnsi="Times New Roman" w:eastAsia="Times New Roman"/>
                <w:sz w:val="20"/>
              </w:rPr>
              <w:t>0.010607</w:t>
            </w:r>
          </w:p>
        </w:tc>
        <w:tc>
          <w:tcPr>
            <w:tcW w:w="1296" w:type="dxa"/>
            <w:vAlign w:val="center"/>
          </w:tcPr>
          <w:p w14:paraId="3D42637A" w14:textId="77777777" w:rsidR="00461277" w:rsidRDefault="00000000">
            <w:pPr>
              <w:spacing w:line="240" w:lineRule="auto" w:after="40"/>
            </w:pPr>
            <w:r>
              <w:rPr>
                <w:rFonts w:ascii="Times New Roman" w:hAnsi="Times New Roman" w:eastAsia="Times New Roman"/>
                <w:sz w:val="20"/>
              </w:rPr>
              <w:t>2.657643</w:t>
            </w:r>
          </w:p>
        </w:tc>
        <w:tc>
          <w:tcPr>
            <w:tcW w:w="1152" w:type="dxa"/>
            <w:vAlign w:val="center"/>
          </w:tcPr>
          <w:p w14:paraId="36EF194F" w14:textId="77777777" w:rsidR="00461277" w:rsidRDefault="00000000">
            <w:pPr>
              <w:spacing w:line="240" w:lineRule="auto" w:after="40"/>
            </w:pPr>
            <w:r>
              <w:rPr>
                <w:rFonts w:ascii="Times New Roman" w:hAnsi="Times New Roman" w:eastAsia="Times New Roman"/>
                <w:sz w:val="20"/>
              </w:rPr>
              <w:t>0.0086</w:t>
            </w:r>
          </w:p>
        </w:tc>
        <w:tc>
          <w:tcPr>
            <w:tcW w:w="2016" w:type="dxa"/>
            <w:vAlign w:val="center"/>
          </w:tcPr>
          <w:p w14:paraId="0DAACB50" w14:textId="77777777" w:rsidR="00461277" w:rsidRDefault="00000000">
            <w:pPr>
              <w:spacing w:line="240" w:lineRule="auto" w:after="40"/>
            </w:pPr>
            <w:r>
              <w:rPr>
                <w:rFonts w:ascii="Times New Roman" w:hAnsi="Times New Roman" w:eastAsia="Times New Roman"/>
                <w:sz w:val="20"/>
              </w:rPr>
              <w:t>Strongly significant</w:t>
            </w:r>
          </w:p>
        </w:tc>
      </w:tr>
      <w:tr w:rsidR="00461277" w14:paraId="5408A5A6" w14:textId="77777777">
        <w:trPr>
          <w:jc w:val="center"/>
        </w:trPr>
        <w:tc>
          <w:tcPr>
            <w:tcW w:w="1728" w:type="dxa"/>
            <w:vAlign w:val="center"/>
          </w:tcPr>
          <w:p w14:paraId="63E461CE" w14:textId="77777777" w:rsidR="00461277" w:rsidRDefault="00000000">
            <w:pPr>
              <w:spacing w:line="240" w:lineRule="auto" w:after="40"/>
            </w:pPr>
            <w:r>
              <w:rPr>
                <w:rFonts w:ascii="Times New Roman" w:hAnsi="Times New Roman" w:eastAsia="Times New Roman"/>
                <w:sz w:val="20"/>
              </w:rPr>
              <w:t>GPR_POS_IR</w:t>
            </w:r>
          </w:p>
        </w:tc>
        <w:tc>
          <w:tcPr>
            <w:tcW w:w="1296" w:type="dxa"/>
            <w:vAlign w:val="center"/>
          </w:tcPr>
          <w:p w14:paraId="4B8906E8" w14:textId="77777777" w:rsidR="00461277" w:rsidRDefault="00000000">
            <w:pPr>
              <w:spacing w:line="240" w:lineRule="auto" w:after="40"/>
            </w:pPr>
            <w:r>
              <w:rPr>
                <w:rFonts w:ascii="Times New Roman" w:hAnsi="Times New Roman" w:eastAsia="Times New Roman"/>
                <w:sz w:val="20"/>
              </w:rPr>
              <w:t>0.011631</w:t>
            </w:r>
          </w:p>
        </w:tc>
        <w:tc>
          <w:tcPr>
            <w:tcW w:w="1296" w:type="dxa"/>
            <w:vAlign w:val="center"/>
          </w:tcPr>
          <w:p w14:paraId="62DAE1C6" w14:textId="77777777" w:rsidR="00461277" w:rsidRDefault="00000000">
            <w:pPr>
              <w:spacing w:line="240" w:lineRule="auto" w:after="40"/>
            </w:pPr>
            <w:r>
              <w:rPr>
                <w:rFonts w:ascii="Times New Roman" w:hAnsi="Times New Roman" w:eastAsia="Times New Roman"/>
                <w:sz w:val="20"/>
              </w:rPr>
              <w:t>0.006961</w:t>
            </w:r>
          </w:p>
        </w:tc>
        <w:tc>
          <w:tcPr>
            <w:tcW w:w="1296" w:type="dxa"/>
            <w:vAlign w:val="center"/>
          </w:tcPr>
          <w:p w14:paraId="02144D90" w14:textId="77777777" w:rsidR="00461277" w:rsidRDefault="00000000">
            <w:pPr>
              <w:spacing w:line="240" w:lineRule="auto" w:after="40"/>
            </w:pPr>
            <w:r>
              <w:rPr>
                <w:rFonts w:ascii="Times New Roman" w:hAnsi="Times New Roman" w:eastAsia="Times New Roman"/>
                <w:sz w:val="20"/>
              </w:rPr>
              <w:t>1.670993</w:t>
            </w:r>
          </w:p>
        </w:tc>
        <w:tc>
          <w:tcPr>
            <w:tcW w:w="1152" w:type="dxa"/>
            <w:vAlign w:val="center"/>
          </w:tcPr>
          <w:p w14:paraId="5FF03E9D" w14:textId="77777777" w:rsidR="00461277" w:rsidRDefault="00000000">
            <w:pPr>
              <w:spacing w:line="240" w:lineRule="auto" w:after="40"/>
            </w:pPr>
            <w:r>
              <w:rPr>
                <w:rFonts w:ascii="Times New Roman" w:hAnsi="Times New Roman" w:eastAsia="Times New Roman"/>
                <w:sz w:val="20"/>
              </w:rPr>
              <w:t>0.0962</w:t>
            </w:r>
          </w:p>
        </w:tc>
        <w:tc>
          <w:tcPr>
            <w:tcW w:w="2016" w:type="dxa"/>
            <w:vAlign w:val="center"/>
          </w:tcPr>
          <w:p w14:paraId="1E9EFACF" w14:textId="77777777" w:rsidR="00461277" w:rsidRDefault="00000000">
            <w:pPr>
              <w:spacing w:line="240" w:lineRule="auto" w:after="40"/>
            </w:pPr>
            <w:r>
              <w:rPr>
                <w:rFonts w:ascii="Times New Roman" w:hAnsi="Times New Roman" w:eastAsia="Times New Roman"/>
                <w:sz w:val="20"/>
              </w:rPr>
              <w:t>Significant at 10%</w:t>
            </w:r>
          </w:p>
        </w:tc>
      </w:tr>
      <w:tr w:rsidR="00461277" w14:paraId="019AF44A" w14:textId="77777777">
        <w:trPr>
          <w:jc w:val="center"/>
        </w:trPr>
        <w:tc>
          <w:tcPr>
            <w:tcW w:w="1728" w:type="dxa"/>
            <w:vAlign w:val="center"/>
          </w:tcPr>
          <w:p w14:paraId="6AC7B1F6" w14:textId="77777777" w:rsidR="00461277" w:rsidRDefault="00000000">
            <w:pPr>
              <w:spacing w:line="240" w:lineRule="auto" w:after="40"/>
            </w:pPr>
            <w:r>
              <w:rPr>
                <w:rFonts w:ascii="Times New Roman" w:hAnsi="Times New Roman" w:eastAsia="Times New Roman"/>
                <w:sz w:val="20"/>
              </w:rPr>
              <w:t>GPR_NEG_IR</w:t>
            </w:r>
          </w:p>
        </w:tc>
        <w:tc>
          <w:tcPr>
            <w:tcW w:w="1296" w:type="dxa"/>
            <w:vAlign w:val="center"/>
          </w:tcPr>
          <w:p w14:paraId="0A031059" w14:textId="77777777" w:rsidR="00461277" w:rsidRDefault="00000000">
            <w:pPr>
              <w:spacing w:line="240" w:lineRule="auto" w:after="40"/>
            </w:pPr>
            <w:r>
              <w:rPr>
                <w:rFonts w:ascii="Times New Roman" w:hAnsi="Times New Roman" w:eastAsia="Times New Roman"/>
                <w:sz w:val="20"/>
              </w:rPr>
              <w:t>0.011844</w:t>
            </w:r>
          </w:p>
        </w:tc>
        <w:tc>
          <w:tcPr>
            <w:tcW w:w="1296" w:type="dxa"/>
            <w:vAlign w:val="center"/>
          </w:tcPr>
          <w:p w14:paraId="3296E20D" w14:textId="77777777" w:rsidR="00461277" w:rsidRDefault="00000000">
            <w:pPr>
              <w:spacing w:line="240" w:lineRule="auto" w:after="40"/>
            </w:pPr>
            <w:r>
              <w:rPr>
                <w:rFonts w:ascii="Times New Roman" w:hAnsi="Times New Roman" w:eastAsia="Times New Roman"/>
                <w:sz w:val="20"/>
              </w:rPr>
              <w:t>0.006958</w:t>
            </w:r>
          </w:p>
        </w:tc>
        <w:tc>
          <w:tcPr>
            <w:tcW w:w="1296" w:type="dxa"/>
            <w:vAlign w:val="center"/>
          </w:tcPr>
          <w:p w14:paraId="616ADDA5" w14:textId="77777777" w:rsidR="00461277" w:rsidRDefault="00000000">
            <w:pPr>
              <w:spacing w:line="240" w:lineRule="auto" w:after="40"/>
            </w:pPr>
            <w:r>
              <w:rPr>
                <w:rFonts w:ascii="Times New Roman" w:hAnsi="Times New Roman" w:eastAsia="Times New Roman"/>
                <w:sz w:val="20"/>
              </w:rPr>
              <w:t>1.702263</w:t>
            </w:r>
          </w:p>
        </w:tc>
        <w:tc>
          <w:tcPr>
            <w:tcW w:w="1152" w:type="dxa"/>
            <w:vAlign w:val="center"/>
          </w:tcPr>
          <w:p w14:paraId="5BC5E35F" w14:textId="77777777" w:rsidR="00461277" w:rsidRDefault="00000000">
            <w:pPr>
              <w:spacing w:line="240" w:lineRule="auto" w:after="40"/>
            </w:pPr>
            <w:r>
              <w:rPr>
                <w:rFonts w:ascii="Times New Roman" w:hAnsi="Times New Roman" w:eastAsia="Times New Roman"/>
                <w:sz w:val="20"/>
              </w:rPr>
              <w:t>0.0901</w:t>
            </w:r>
          </w:p>
        </w:tc>
        <w:tc>
          <w:tcPr>
            <w:tcW w:w="2016" w:type="dxa"/>
            <w:vAlign w:val="center"/>
          </w:tcPr>
          <w:p w14:paraId="51B0AAF2" w14:textId="77777777" w:rsidR="00461277" w:rsidRDefault="00000000">
            <w:pPr>
              <w:spacing w:line="240" w:lineRule="auto" w:after="40"/>
            </w:pPr>
            <w:r>
              <w:rPr>
                <w:rFonts w:ascii="Times New Roman" w:hAnsi="Times New Roman" w:eastAsia="Times New Roman"/>
                <w:sz w:val="20"/>
              </w:rPr>
              <w:t>Significant at 10%</w:t>
            </w:r>
          </w:p>
        </w:tc>
      </w:tr>
    </w:tbl>
    <w:p w14:paraId="309A5D5A" w14:textId="77777777" w:rsidR="00461277" w:rsidRDefault="00000000">
      <w:pPr>
        <w:spacing w:after="120" w:line="360" w:lineRule="auto"/>
        <w:jc w:val="both"/>
      </w:pPr>
      <w:r>
        <w:rPr>
          <w:rFonts w:ascii="Times New Roman" w:hAnsi="Times New Roman" w:eastAsia="Times New Roman"/>
          <w:sz w:val="24"/>
        </w:rPr>
        <w:t>Note: GPR_POS and GPR_NEG represent the general geopolitical risk components. GPR_POS_RU and GPR_NEG_RU represent Russia–Ukraine interactions, while GPR_POS_IR and GPR_NEG_IR represent Iran-related interactions.</w:t>
      </w:r>
    </w:p>
    <w:p w14:paraId="340D973D" w14:textId="77777777" w:rsidR="001C32BA" w:rsidRDefault="001C32BA">
      <w:pPr>
        <w:spacing w:after="120" w:line="360" w:lineRule="auto"/>
        <w:jc w:val="both"/>
        <w:rPr>
          <w:sz w:val="18"/>
        </w:rPr>
      </w:pPr>
    </w:p>
    <w:p w14:paraId="5CC3456D" w14:textId="1CA9AAE3"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lastRenderedPageBreak/>
        <w:t xml:space="preserve">The general GPR components, GPR_POS and GPR_NEG, are negative and statistically significant. This suggests that when event context is not </w:t>
      </w:r>
      <w:proofErr w:type="gramStart"/>
      <w:r w:rsidRPr="003C190B">
        <w:rPr>
          <w:rFonts w:ascii="Times New Roman" w:hAnsi="Times New Roman" w:eastAsia="Times New Roman"/>
          <w:sz w:val="24"/>
          <w:szCs w:val="24"/>
        </w:rPr>
        <w:t>taken into account</w:t>
      </w:r>
      <w:proofErr w:type="gramEnd"/>
      <w:r w:rsidRPr="003C190B">
        <w:rPr>
          <w:rFonts w:ascii="Times New Roman" w:hAnsi="Times New Roman" w:eastAsia="Times New Roman"/>
          <w:sz w:val="24"/>
          <w:szCs w:val="24"/>
        </w:rPr>
        <w:t>, the general effect of geopolitical risk on Brent prices is negative. This is consistent with the view that geopolitical risk may depress oil prices through weaker economic activity and lower demand expectations, in addition to supply disruption channels.</w:t>
      </w:r>
    </w:p>
    <w:p w14:paraId="4A4B6184"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In contrast, the Russia–Ukraine interaction variables are positive and strongly significant. The coefficients of GPR_POS_RU and GPR_NEG_RU are 0.028413 and 0.028189, respectively, and both are significant at the 1% level. These results suggest that geopolitical risk transmission to Brent prices strengthened during the Russia–Ukraine War, likely through sanctions, producer-country risk, market expectations, and European energy security concerns.</w:t>
      </w:r>
    </w:p>
    <w:p w14:paraId="48E8F14D"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Iran-related interaction variables are also positive, but their significance is weaker. GPR_POS_IR and GPR_NEG_IR are significant only at the 10% level. This indicates that Iran-related tensions affect Brent prices, but the effect is less statistically pronounced than the Russia–Ukraine effect and appears to operate mainly through the oil risk premium channel associated with the Strait of Hormuz, transit security, tanker transportation, and expected supply disruptions.</w:t>
      </w:r>
    </w:p>
    <w:p w14:paraId="2B7DE37A" w14:textId="77777777" w:rsidR="00461277" w:rsidRPr="003C190B" w:rsidRDefault="00000000">
      <w:pPr>
        <w:pStyle w:val="Balk2"/>
        <w:spacing w:before="240" w:after="120" w:line="360" w:lineRule="auto"/>
        <w:jc w:val="left"/>
        <w:rPr>
          <w:szCs w:val="24"/>
        </w:rPr>
      </w:pPr>
      <w:r w:rsidRPr="003C190B">
        <w:rPr>
          <w:rFonts w:ascii="Times New Roman" w:eastAsia="Times New Roman" w:hAnsi="Times New Roman"/>
          <w:b/>
          <w:sz w:val="24"/>
          <w:szCs w:val="24"/>
        </w:rPr>
        <w:t>4.4. Event-contextual comparison: Wald tests</w:t>
      </w:r>
    </w:p>
    <w:p w14:paraId="178C8442" w14:textId="77777777" w:rsidR="00461277" w:rsidRDefault="00000000">
      <w:pPr>
        <w:spacing w:after="120" w:line="360" w:lineRule="auto"/>
        <w:jc w:val="both"/>
      </w:pPr>
      <w:r>
        <w:rPr>
          <w:rFonts w:ascii="Times New Roman" w:hAnsi="Times New Roman" w:eastAsia="Times New Roman"/>
          <w:b/>
          <w:sz w:val="24"/>
        </w:rPr>
        <w:t>Table 5. Comparison of Russia–Ukraine and Iran interaction coefficients</w:t>
      </w:r>
    </w:p>
    <w:tbl>
      <w:tblPr>
        <w:tblStyle w:val="TabloKlavuzu"/>
        <w:tblW w:w="0" w:type="auto"/>
        <w:jc w:val="center"/>
        <w:tblLayout w:type="autofit"/>
        <w:tblLook w:val="04A0" w:firstRow="1" w:lastRow="0" w:firstColumn="1" w:lastColumn="0" w:noHBand="0" w:noVBand="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03"/>
        <w:gridCol w:w="3101"/>
        <w:gridCol w:w="1286"/>
        <w:gridCol w:w="1142"/>
        <w:gridCol w:w="995"/>
        <w:gridCol w:w="1843"/>
      </w:tblGrid>
      <w:tr w:rsidR="00461277" w14:paraId="0326EF3A" w14:textId="77777777">
        <w:trPr>
          <w:jc w:val="center"/>
        </w:trPr>
        <w:tc>
          <w:tcPr>
            <w:tcW w:w="1728" w:type="dxa"/>
            <w:vAlign w:val="center"/>
            <w:shd w:fill="D9EAF7"/>
          </w:tcPr>
          <w:p w14:paraId="04BA8FA7" w14:textId="77777777" w:rsidR="00461277" w:rsidRDefault="00000000">
            <w:pPr>
              <w:spacing w:line="240" w:lineRule="auto" w:after="40"/>
            </w:pPr>
            <w:r>
              <w:rPr>
                <w:rFonts w:ascii="Times New Roman" w:hAnsi="Times New Roman" w:eastAsia="Times New Roman"/>
                <w:b/>
                <w:sz w:val="20"/>
              </w:rPr>
              <w:t>Test</w:t>
            </w:r>
          </w:p>
        </w:tc>
        <w:tc>
          <w:tcPr>
            <w:tcW w:w="3168" w:type="dxa"/>
            <w:vAlign w:val="center"/>
            <w:shd w:fill="D9EAF7"/>
          </w:tcPr>
          <w:p w14:paraId="0425AB93" w14:textId="77777777" w:rsidR="00461277" w:rsidRDefault="00000000">
            <w:pPr>
              <w:spacing w:line="240" w:lineRule="auto" w:after="40"/>
            </w:pPr>
            <w:r>
              <w:rPr>
                <w:rFonts w:ascii="Times New Roman" w:hAnsi="Times New Roman" w:eastAsia="Times New Roman"/>
                <w:b/>
                <w:sz w:val="20"/>
              </w:rPr>
              <w:t>Hypothesis</w:t>
            </w:r>
          </w:p>
        </w:tc>
        <w:tc>
          <w:tcPr>
            <w:tcW w:w="1296" w:type="dxa"/>
            <w:vAlign w:val="center"/>
            <w:shd w:fill="D9EAF7"/>
          </w:tcPr>
          <w:p w14:paraId="3433D8D5" w14:textId="77777777" w:rsidR="00461277" w:rsidRDefault="00000000">
            <w:pPr>
              <w:spacing w:line="240" w:lineRule="auto" w:after="40"/>
            </w:pPr>
            <w:r>
              <w:rPr>
                <w:rFonts w:ascii="Times New Roman" w:hAnsi="Times New Roman" w:eastAsia="Times New Roman"/>
                <w:b/>
                <w:sz w:val="20"/>
              </w:rPr>
              <w:t>Restriction</w:t>
            </w:r>
          </w:p>
        </w:tc>
        <w:tc>
          <w:tcPr>
            <w:tcW w:w="1152" w:type="dxa"/>
            <w:vAlign w:val="center"/>
            <w:shd w:fill="D9EAF7"/>
          </w:tcPr>
          <w:p w14:paraId="44122039" w14:textId="77777777" w:rsidR="00461277" w:rsidRDefault="00000000">
            <w:pPr>
              <w:spacing w:line="240" w:lineRule="auto" w:after="40"/>
            </w:pPr>
            <w:r>
              <w:rPr>
                <w:rFonts w:ascii="Times New Roman" w:hAnsi="Times New Roman" w:eastAsia="Times New Roman"/>
                <w:b/>
                <w:sz w:val="20"/>
              </w:rPr>
              <w:t>F-statistic</w:t>
            </w:r>
          </w:p>
        </w:tc>
        <w:tc>
          <w:tcPr>
            <w:tcW w:w="1008" w:type="dxa"/>
            <w:vAlign w:val="center"/>
            <w:shd w:fill="D9EAF7"/>
          </w:tcPr>
          <w:p w14:paraId="066AF112" w14:textId="77777777" w:rsidR="00461277" w:rsidRDefault="00000000">
            <w:pPr>
              <w:spacing w:line="240" w:lineRule="auto" w:after="40"/>
            </w:pPr>
            <w:r>
              <w:rPr>
                <w:rFonts w:ascii="Times New Roman" w:hAnsi="Times New Roman" w:eastAsia="Times New Roman"/>
                <w:b/>
                <w:sz w:val="20"/>
              </w:rPr>
              <w:t>p-value</w:t>
            </w:r>
          </w:p>
        </w:tc>
        <w:tc>
          <w:tcPr>
            <w:tcW w:w="1872" w:type="dxa"/>
            <w:vAlign w:val="center"/>
            <w:shd w:fill="D9EAF7"/>
          </w:tcPr>
          <w:p w14:paraId="4FAEE228" w14:textId="77777777" w:rsidR="00461277" w:rsidRDefault="00000000">
            <w:pPr>
              <w:spacing w:line="240" w:lineRule="auto" w:after="40"/>
            </w:pPr>
            <w:r>
              <w:rPr>
                <w:rFonts w:ascii="Times New Roman" w:hAnsi="Times New Roman" w:eastAsia="Times New Roman"/>
                <w:b/>
                <w:sz w:val="20"/>
              </w:rPr>
              <w:t>Decision</w:t>
            </w:r>
          </w:p>
        </w:tc>
      </w:tr>
      <w:tr w:rsidR="00461277" w14:paraId="1B0BF2F7" w14:textId="77777777">
        <w:trPr>
          <w:jc w:val="center"/>
        </w:trPr>
        <w:tc>
          <w:tcPr>
            <w:tcW w:w="1728" w:type="dxa"/>
            <w:vAlign w:val="center"/>
          </w:tcPr>
          <w:p w14:paraId="07B43D9E" w14:textId="77777777" w:rsidR="00461277" w:rsidRDefault="00000000">
            <w:pPr>
              <w:spacing w:line="240" w:lineRule="auto" w:after="40"/>
            </w:pPr>
            <w:r>
              <w:rPr>
                <w:rFonts w:ascii="Times New Roman" w:hAnsi="Times New Roman" w:eastAsia="Times New Roman"/>
                <w:sz w:val="20"/>
              </w:rPr>
              <w:t>Difference in positive GPR effect</w:t>
            </w:r>
          </w:p>
        </w:tc>
        <w:tc>
          <w:tcPr>
            <w:tcW w:w="3168" w:type="dxa"/>
            <w:vAlign w:val="center"/>
          </w:tcPr>
          <w:p w14:paraId="28AC9D0F" w14:textId="77777777" w:rsidR="00461277" w:rsidRDefault="00000000">
            <w:pPr>
              <w:spacing w:line="240" w:lineRule="auto" w:after="40"/>
            </w:pPr>
            <w:r>
              <w:rPr>
                <w:rFonts w:ascii="Times New Roman" w:hAnsi="Times New Roman" w:eastAsia="Times New Roman"/>
                <w:sz w:val="20"/>
              </w:rPr>
              <w:t>Positive GPR effects for Russia–Ukraine and Iran are equal</w:t>
            </w:r>
          </w:p>
        </w:tc>
        <w:tc>
          <w:tcPr>
            <w:tcW w:w="1296" w:type="dxa"/>
            <w:vAlign w:val="center"/>
          </w:tcPr>
          <w:p w14:paraId="01121DF0" w14:textId="77777777" w:rsidR="00461277" w:rsidRDefault="00000000">
            <w:pPr>
              <w:spacing w:line="240" w:lineRule="auto" w:after="40"/>
            </w:pPr>
            <w:r>
              <w:rPr>
                <w:rFonts w:ascii="Times New Roman" w:hAnsi="Times New Roman" w:eastAsia="Times New Roman"/>
                <w:sz w:val="20"/>
              </w:rPr>
              <w:t>C(5)=C(7)</w:t>
            </w:r>
          </w:p>
        </w:tc>
        <w:tc>
          <w:tcPr>
            <w:tcW w:w="1152" w:type="dxa"/>
            <w:vAlign w:val="center"/>
          </w:tcPr>
          <w:p w14:paraId="2F132E15" w14:textId="77777777" w:rsidR="00461277" w:rsidRDefault="00000000">
            <w:pPr>
              <w:spacing w:line="240" w:lineRule="auto" w:after="40"/>
            </w:pPr>
            <w:r>
              <w:rPr>
                <w:rFonts w:ascii="Times New Roman" w:hAnsi="Times New Roman" w:eastAsia="Times New Roman"/>
                <w:sz w:val="20"/>
              </w:rPr>
              <w:t>1.862110</w:t>
            </w:r>
          </w:p>
        </w:tc>
        <w:tc>
          <w:tcPr>
            <w:tcW w:w="1008" w:type="dxa"/>
            <w:vAlign w:val="center"/>
          </w:tcPr>
          <w:p w14:paraId="0DDBAC12" w14:textId="77777777" w:rsidR="00461277" w:rsidRDefault="00000000">
            <w:pPr>
              <w:spacing w:line="240" w:lineRule="auto" w:after="40"/>
            </w:pPr>
            <w:r>
              <w:rPr>
                <w:rFonts w:ascii="Times New Roman" w:hAnsi="Times New Roman" w:eastAsia="Times New Roman"/>
                <w:sz w:val="20"/>
              </w:rPr>
              <w:t>≈ 0.173</w:t>
            </w:r>
          </w:p>
        </w:tc>
        <w:tc>
          <w:tcPr>
            <w:tcW w:w="1872" w:type="dxa"/>
            <w:vAlign w:val="center"/>
          </w:tcPr>
          <w:p w14:paraId="3F64D9FF" w14:textId="77777777" w:rsidR="00461277" w:rsidRDefault="00000000">
            <w:pPr>
              <w:spacing w:line="240" w:lineRule="auto" w:after="40"/>
            </w:pPr>
            <w:r>
              <w:rPr>
                <w:rFonts w:ascii="Times New Roman" w:hAnsi="Times New Roman" w:eastAsia="Times New Roman"/>
                <w:sz w:val="20"/>
              </w:rPr>
              <w:t>Difference is not significant</w:t>
            </w:r>
          </w:p>
        </w:tc>
      </w:tr>
      <w:tr w:rsidR="00461277" w14:paraId="4BC03CA6" w14:textId="77777777">
        <w:trPr>
          <w:jc w:val="center"/>
        </w:trPr>
        <w:tc>
          <w:tcPr>
            <w:tcW w:w="1728" w:type="dxa"/>
            <w:vAlign w:val="center"/>
          </w:tcPr>
          <w:p w14:paraId="3474B3B7" w14:textId="77777777" w:rsidR="00461277" w:rsidRDefault="00000000">
            <w:pPr>
              <w:spacing w:line="240" w:lineRule="auto" w:after="40"/>
            </w:pPr>
            <w:r>
              <w:rPr>
                <w:rFonts w:ascii="Times New Roman" w:hAnsi="Times New Roman" w:eastAsia="Times New Roman"/>
                <w:sz w:val="20"/>
              </w:rPr>
              <w:t>Difference in negative GPR effect</w:t>
            </w:r>
          </w:p>
        </w:tc>
        <w:tc>
          <w:tcPr>
            <w:tcW w:w="3168" w:type="dxa"/>
            <w:vAlign w:val="center"/>
          </w:tcPr>
          <w:p w14:paraId="7C1F3FFB" w14:textId="77777777" w:rsidR="00461277" w:rsidRDefault="00000000">
            <w:pPr>
              <w:spacing w:line="240" w:lineRule="auto" w:after="40"/>
            </w:pPr>
            <w:r>
              <w:rPr>
                <w:rFonts w:ascii="Times New Roman" w:hAnsi="Times New Roman" w:eastAsia="Times New Roman"/>
                <w:sz w:val="20"/>
              </w:rPr>
              <w:t>Negative GPR effects for Russia–Ukraine and Iran are equal</w:t>
            </w:r>
          </w:p>
        </w:tc>
        <w:tc>
          <w:tcPr>
            <w:tcW w:w="1296" w:type="dxa"/>
            <w:vAlign w:val="center"/>
          </w:tcPr>
          <w:p w14:paraId="55E66B7B" w14:textId="77777777" w:rsidR="00461277" w:rsidRDefault="00000000">
            <w:pPr>
              <w:spacing w:line="240" w:lineRule="auto" w:after="40"/>
            </w:pPr>
            <w:r>
              <w:rPr>
                <w:rFonts w:ascii="Times New Roman" w:hAnsi="Times New Roman" w:eastAsia="Times New Roman"/>
                <w:sz w:val="20"/>
              </w:rPr>
              <w:t>C(6)=C(8)</w:t>
            </w:r>
          </w:p>
        </w:tc>
        <w:tc>
          <w:tcPr>
            <w:tcW w:w="1152" w:type="dxa"/>
            <w:vAlign w:val="center"/>
          </w:tcPr>
          <w:p w14:paraId="03B62BB9" w14:textId="77777777" w:rsidR="00461277" w:rsidRDefault="00000000">
            <w:pPr>
              <w:spacing w:line="240" w:lineRule="auto" w:after="40"/>
            </w:pPr>
            <w:r>
              <w:rPr>
                <w:rFonts w:ascii="Times New Roman" w:hAnsi="Times New Roman" w:eastAsia="Times New Roman"/>
                <w:sz w:val="20"/>
              </w:rPr>
              <w:t>1.793035</w:t>
            </w:r>
          </w:p>
        </w:tc>
        <w:tc>
          <w:tcPr>
            <w:tcW w:w="1008" w:type="dxa"/>
            <w:vAlign w:val="center"/>
          </w:tcPr>
          <w:p w14:paraId="7EB80A1B" w14:textId="77777777" w:rsidR="00461277" w:rsidRDefault="00000000">
            <w:pPr>
              <w:spacing w:line="240" w:lineRule="auto" w:after="40"/>
            </w:pPr>
            <w:r>
              <w:rPr>
                <w:rFonts w:ascii="Times New Roman" w:hAnsi="Times New Roman" w:eastAsia="Times New Roman"/>
                <w:sz w:val="20"/>
              </w:rPr>
              <w:t>≈ 0.181</w:t>
            </w:r>
          </w:p>
        </w:tc>
        <w:tc>
          <w:tcPr>
            <w:tcW w:w="1872" w:type="dxa"/>
            <w:vAlign w:val="center"/>
          </w:tcPr>
          <w:p w14:paraId="7568ACF5" w14:textId="77777777" w:rsidR="00461277" w:rsidRDefault="00000000">
            <w:pPr>
              <w:spacing w:line="240" w:lineRule="auto" w:after="40"/>
            </w:pPr>
            <w:r>
              <w:rPr>
                <w:rFonts w:ascii="Times New Roman" w:hAnsi="Times New Roman" w:eastAsia="Times New Roman"/>
                <w:sz w:val="20"/>
              </w:rPr>
              <w:t>Difference is not significant</w:t>
            </w:r>
          </w:p>
        </w:tc>
      </w:tr>
    </w:tbl>
    <w:p w14:paraId="28E379B5" w14:textId="77777777" w:rsidR="00461277" w:rsidRDefault="00000000">
      <w:pPr>
        <w:spacing w:after="120" w:line="360" w:lineRule="auto"/>
        <w:jc w:val="both"/>
      </w:pPr>
      <w:r>
        <w:rPr>
          <w:rFonts w:ascii="Times New Roman" w:hAnsi="Times New Roman" w:eastAsia="Times New Roman"/>
          <w:sz w:val="24"/>
        </w:rPr>
        <w:t>Note: The null hypothesis is that the relevant Russia–Ukraine and Iran interaction coefficients are equal. A p-value above 0.10 indicates that the coefficient difference is not statistically significant.</w:t>
      </w:r>
    </w:p>
    <w:p w14:paraId="44CAF359" w14:textId="77777777" w:rsidR="001C32BA" w:rsidRDefault="001C32BA">
      <w:pPr>
        <w:spacing w:after="120" w:line="360" w:lineRule="auto"/>
        <w:jc w:val="both"/>
        <w:rPr>
          <w:sz w:val="18"/>
        </w:rPr>
      </w:pPr>
    </w:p>
    <w:p w14:paraId="37748713" w14:textId="086FD1A9"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The Wald tests show that the differences between the Russia–Ukraine and Iran interaction coefficients are not statistically significant. Although the Russia–Ukraine coefficients are larger than the Iran-related coefficients, this difference is not statistically confirmed. The results therefore define the interpretive boundary of the study: coefficient magnitudes suggest event-contextual differentiation, but Wald tests do not confirm the difference statistically.</w:t>
      </w:r>
    </w:p>
    <w:p w14:paraId="0C6EC0AB" w14:textId="77777777" w:rsidR="00461277" w:rsidRDefault="00000000">
      <w:pPr>
        <w:pStyle w:val="Balk2"/>
        <w:spacing w:before="240" w:after="120" w:line="360" w:lineRule="auto"/>
        <w:jc w:val="left"/>
      </w:pPr>
      <w:r>
        <w:rPr>
          <w:rFonts w:ascii="Times New Roman" w:eastAsia="Times New Roman" w:hAnsi="Times New Roman"/>
          <w:b/>
          <w:sz w:val="24"/>
        </w:rPr>
        <w:t>4.5. Diagnostic and robustness checks</w:t>
      </w:r>
    </w:p>
    <w:p w14:paraId="0FE20EA8" w14:textId="77777777" w:rsidR="00461277" w:rsidRDefault="00000000">
      <w:pPr>
        <w:spacing w:after="120" w:line="360" w:lineRule="auto"/>
        <w:jc w:val="both"/>
      </w:pPr>
      <w:r>
        <w:rPr>
          <w:rFonts w:ascii="Times New Roman" w:hAnsi="Times New Roman" w:eastAsia="Times New Roman"/>
          <w:b/>
          <w:sz w:val="24"/>
        </w:rPr>
        <w:t>Table 6. Diagnostic test results for the comparative NARDL model</w:t>
      </w:r>
    </w:p>
    <w:tbl>
      <w:tblPr>
        <w:tblStyle w:val="TabloKlavuzu"/>
        <w:tblW w:w="0" w:type="auto"/>
        <w:jc w:val="center"/>
        <w:tblLayout w:type="autofit"/>
        <w:tblLook w:val="04A0" w:firstRow="1" w:lastRow="0" w:firstColumn="1" w:lastColumn="0" w:noHBand="0" w:noVBand="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2"/>
        <w:gridCol w:w="2589"/>
        <w:gridCol w:w="1151"/>
        <w:gridCol w:w="4028"/>
      </w:tblGrid>
      <w:tr w:rsidR="00461277" w14:paraId="06F39FB8" w14:textId="77777777">
        <w:trPr>
          <w:jc w:val="center"/>
        </w:trPr>
        <w:tc>
          <w:tcPr>
            <w:tcW w:w="2304" w:type="dxa"/>
            <w:vAlign w:val="center"/>
            <w:shd w:fill="D9EAF7"/>
          </w:tcPr>
          <w:p w14:paraId="6E58EEC9" w14:textId="77777777" w:rsidR="00461277" w:rsidRDefault="00000000">
            <w:pPr>
              <w:spacing w:line="240" w:lineRule="auto" w:after="40"/>
            </w:pPr>
            <w:r>
              <w:rPr>
                <w:rFonts w:ascii="Times New Roman" w:hAnsi="Times New Roman" w:eastAsia="Times New Roman"/>
                <w:b/>
                <w:sz w:val="20"/>
              </w:rPr>
              <w:t>Test</w:t>
            </w:r>
          </w:p>
        </w:tc>
        <w:tc>
          <w:tcPr>
            <w:tcW w:w="2592" w:type="dxa"/>
            <w:vAlign w:val="center"/>
            <w:shd w:fill="D9EAF7"/>
          </w:tcPr>
          <w:p w14:paraId="64CD9838" w14:textId="77777777" w:rsidR="00461277" w:rsidRDefault="00000000">
            <w:pPr>
              <w:spacing w:line="240" w:lineRule="auto" w:after="40"/>
            </w:pPr>
            <w:r>
              <w:rPr>
                <w:rFonts w:ascii="Times New Roman" w:hAnsi="Times New Roman" w:eastAsia="Times New Roman"/>
                <w:b/>
                <w:sz w:val="20"/>
              </w:rPr>
              <w:t>Test statistic / Finding</w:t>
            </w:r>
          </w:p>
        </w:tc>
        <w:tc>
          <w:tcPr>
            <w:tcW w:w="1152" w:type="dxa"/>
            <w:vAlign w:val="center"/>
            <w:shd w:fill="D9EAF7"/>
          </w:tcPr>
          <w:p w14:paraId="3E557848" w14:textId="77777777" w:rsidR="00461277" w:rsidRDefault="00000000">
            <w:pPr>
              <w:spacing w:line="240" w:lineRule="auto" w:after="40"/>
            </w:pPr>
            <w:r>
              <w:rPr>
                <w:rFonts w:ascii="Times New Roman" w:hAnsi="Times New Roman" w:eastAsia="Times New Roman"/>
                <w:b/>
                <w:sz w:val="20"/>
              </w:rPr>
              <w:t>p-value</w:t>
            </w:r>
          </w:p>
        </w:tc>
        <w:tc>
          <w:tcPr>
            <w:tcW w:w="4032" w:type="dxa"/>
            <w:vAlign w:val="center"/>
            <w:shd w:fill="D9EAF7"/>
          </w:tcPr>
          <w:p w14:paraId="6FF4371F" w14:textId="77777777" w:rsidR="00461277" w:rsidRDefault="00000000">
            <w:pPr>
              <w:spacing w:line="240" w:lineRule="auto" w:after="40"/>
            </w:pPr>
            <w:r>
              <w:rPr>
                <w:rFonts w:ascii="Times New Roman" w:hAnsi="Times New Roman" w:eastAsia="Times New Roman"/>
                <w:b/>
                <w:sz w:val="20"/>
              </w:rPr>
              <w:t>Decision</w:t>
            </w:r>
          </w:p>
        </w:tc>
      </w:tr>
      <w:tr w:rsidR="00461277" w14:paraId="3143217A" w14:textId="77777777">
        <w:trPr>
          <w:jc w:val="center"/>
        </w:trPr>
        <w:tc>
          <w:tcPr>
            <w:tcW w:w="2304" w:type="dxa"/>
            <w:vAlign w:val="center"/>
          </w:tcPr>
          <w:p w14:paraId="4B430845" w14:textId="77777777" w:rsidR="00461277" w:rsidRDefault="00000000">
            <w:pPr>
              <w:spacing w:line="240" w:lineRule="auto" w:after="40"/>
            </w:pPr>
            <w:r>
              <w:rPr>
                <w:rFonts w:ascii="Times New Roman" w:hAnsi="Times New Roman" w:eastAsia="Times New Roman"/>
                <w:sz w:val="20"/>
              </w:rPr>
              <w:t>Breusch–Godfrey LM</w:t>
            </w:r>
          </w:p>
        </w:tc>
        <w:tc>
          <w:tcPr>
            <w:tcW w:w="2592" w:type="dxa"/>
            <w:vAlign w:val="center"/>
          </w:tcPr>
          <w:p w14:paraId="65A12245" w14:textId="77777777" w:rsidR="00461277" w:rsidRDefault="00000000">
            <w:pPr>
              <w:spacing w:line="240" w:lineRule="auto" w:after="40"/>
            </w:pPr>
            <w:r>
              <w:rPr>
                <w:rFonts w:ascii="Times New Roman" w:hAnsi="Times New Roman" w:eastAsia="Times New Roman"/>
                <w:sz w:val="20"/>
              </w:rPr>
              <w:t>F ≈ 0.001183</w:t>
            </w:r>
          </w:p>
        </w:tc>
        <w:tc>
          <w:tcPr>
            <w:tcW w:w="1152" w:type="dxa"/>
            <w:vAlign w:val="center"/>
          </w:tcPr>
          <w:p w14:paraId="71AC9DC9" w14:textId="77777777" w:rsidR="00461277" w:rsidRDefault="00000000">
            <w:pPr>
              <w:spacing w:line="240" w:lineRule="auto" w:after="40"/>
            </w:pPr>
            <w:r>
              <w:rPr>
                <w:rFonts w:ascii="Times New Roman" w:hAnsi="Times New Roman" w:eastAsia="Times New Roman"/>
                <w:sz w:val="20"/>
              </w:rPr>
              <w:t>≈ 0.9988</w:t>
            </w:r>
          </w:p>
        </w:tc>
        <w:tc>
          <w:tcPr>
            <w:tcW w:w="4032" w:type="dxa"/>
            <w:vAlign w:val="center"/>
          </w:tcPr>
          <w:p w14:paraId="062E175E" w14:textId="77777777" w:rsidR="00461277" w:rsidRDefault="00000000">
            <w:pPr>
              <w:spacing w:line="240" w:lineRule="auto" w:after="40"/>
            </w:pPr>
            <w:r>
              <w:rPr>
                <w:rFonts w:ascii="Times New Roman" w:hAnsi="Times New Roman" w:eastAsia="Times New Roman"/>
                <w:sz w:val="20"/>
              </w:rPr>
              <w:t>No serial correlation</w:t>
            </w:r>
          </w:p>
        </w:tc>
      </w:tr>
      <w:tr w:rsidR="00461277" w14:paraId="59ACACD2" w14:textId="77777777">
        <w:trPr>
          <w:jc w:val="center"/>
        </w:trPr>
        <w:tc>
          <w:tcPr>
            <w:tcW w:w="2304" w:type="dxa"/>
            <w:vAlign w:val="center"/>
          </w:tcPr>
          <w:p w14:paraId="7768253A" w14:textId="77777777" w:rsidR="00461277" w:rsidRDefault="00000000">
            <w:pPr>
              <w:spacing w:line="240" w:lineRule="auto" w:after="40"/>
            </w:pPr>
            <w:r>
              <w:rPr>
                <w:rFonts w:ascii="Times New Roman" w:hAnsi="Times New Roman" w:eastAsia="Times New Roman"/>
                <w:sz w:val="20"/>
              </w:rPr>
              <w:t>Breusch–Pagan–Godfrey</w:t>
            </w:r>
          </w:p>
        </w:tc>
        <w:tc>
          <w:tcPr>
            <w:tcW w:w="2592" w:type="dxa"/>
            <w:vAlign w:val="center"/>
          </w:tcPr>
          <w:p w14:paraId="71690F17" w14:textId="77777777" w:rsidR="00461277" w:rsidRDefault="00000000">
            <w:pPr>
              <w:spacing w:line="240" w:lineRule="auto" w:after="40"/>
            </w:pPr>
            <w:r>
              <w:rPr>
                <w:rFonts w:ascii="Times New Roman" w:hAnsi="Times New Roman" w:eastAsia="Times New Roman"/>
                <w:sz w:val="20"/>
              </w:rPr>
              <w:t>F ≈ 1.709704</w:t>
            </w:r>
          </w:p>
        </w:tc>
        <w:tc>
          <w:tcPr>
            <w:tcW w:w="1152" w:type="dxa"/>
            <w:vAlign w:val="center"/>
          </w:tcPr>
          <w:p w14:paraId="6674CA48" w14:textId="77777777" w:rsidR="00461277" w:rsidRDefault="00000000">
            <w:pPr>
              <w:spacing w:line="240" w:lineRule="auto" w:after="40"/>
            </w:pPr>
            <w:r>
              <w:rPr>
                <w:rFonts w:ascii="Times New Roman" w:hAnsi="Times New Roman" w:eastAsia="Times New Roman"/>
                <w:sz w:val="20"/>
              </w:rPr>
              <w:t>≈ 0.0974</w:t>
            </w:r>
          </w:p>
        </w:tc>
        <w:tc>
          <w:tcPr>
            <w:tcW w:w="4032" w:type="dxa"/>
            <w:vAlign w:val="center"/>
          </w:tcPr>
          <w:p w14:paraId="29811FC6" w14:textId="77777777" w:rsidR="00461277" w:rsidRDefault="00000000">
            <w:pPr>
              <w:spacing w:line="240" w:lineRule="auto" w:after="40"/>
            </w:pPr>
            <w:r>
              <w:rPr>
                <w:rFonts w:ascii="Times New Roman" w:hAnsi="Times New Roman" w:eastAsia="Times New Roman"/>
                <w:sz w:val="20"/>
              </w:rPr>
              <w:t>No heteroskedasticity at 5%; borderline at 10%</w:t>
            </w:r>
          </w:p>
        </w:tc>
      </w:tr>
      <w:tr w:rsidR="00461277" w14:paraId="43A90348" w14:textId="77777777">
        <w:trPr>
          <w:jc w:val="center"/>
        </w:trPr>
        <w:tc>
          <w:tcPr>
            <w:tcW w:w="2304" w:type="dxa"/>
            <w:vAlign w:val="center"/>
          </w:tcPr>
          <w:p w14:paraId="506ECF7A" w14:textId="77777777" w:rsidR="00461277" w:rsidRDefault="00000000">
            <w:pPr>
              <w:spacing w:line="240" w:lineRule="auto" w:after="40"/>
            </w:pPr>
            <w:r>
              <w:rPr>
                <w:rFonts w:ascii="Times New Roman" w:hAnsi="Times New Roman" w:eastAsia="Times New Roman"/>
                <w:sz w:val="20"/>
              </w:rPr>
              <w:t>Jarque–Bera</w:t>
            </w:r>
          </w:p>
        </w:tc>
        <w:tc>
          <w:tcPr>
            <w:tcW w:w="2592" w:type="dxa"/>
            <w:vAlign w:val="center"/>
          </w:tcPr>
          <w:p w14:paraId="461A5755" w14:textId="77777777" w:rsidR="00461277" w:rsidRDefault="00000000">
            <w:pPr>
              <w:spacing w:line="240" w:lineRule="auto" w:after="40"/>
            </w:pPr>
            <w:r>
              <w:rPr>
                <w:rFonts w:ascii="Times New Roman" w:hAnsi="Times New Roman" w:eastAsia="Times New Roman"/>
                <w:sz w:val="20"/>
              </w:rPr>
              <w:t>839.1477</w:t>
            </w:r>
          </w:p>
        </w:tc>
        <w:tc>
          <w:tcPr>
            <w:tcW w:w="1152" w:type="dxa"/>
            <w:vAlign w:val="center"/>
          </w:tcPr>
          <w:p w14:paraId="7B9533D0" w14:textId="77777777" w:rsidR="00461277" w:rsidRDefault="00000000">
            <w:pPr>
              <w:spacing w:line="240" w:lineRule="auto" w:after="40"/>
            </w:pPr>
            <w:r>
              <w:rPr>
                <w:rFonts w:ascii="Times New Roman" w:hAnsi="Times New Roman" w:eastAsia="Times New Roman"/>
                <w:sz w:val="20"/>
              </w:rPr>
              <w:t>0.0000</w:t>
            </w:r>
          </w:p>
        </w:tc>
        <w:tc>
          <w:tcPr>
            <w:tcW w:w="4032" w:type="dxa"/>
            <w:vAlign w:val="center"/>
          </w:tcPr>
          <w:p w14:paraId="25F1ADE5" w14:textId="77777777" w:rsidR="00461277" w:rsidRDefault="00000000">
            <w:pPr>
              <w:spacing w:line="240" w:lineRule="auto" w:after="40"/>
            </w:pPr>
            <w:r>
              <w:rPr>
                <w:rFonts w:ascii="Times New Roman" w:hAnsi="Times New Roman" w:eastAsia="Times New Roman"/>
                <w:sz w:val="20"/>
              </w:rPr>
              <w:t>Residuals are not normally distributed</w:t>
            </w:r>
          </w:p>
        </w:tc>
      </w:tr>
      <w:tr w:rsidR="00461277" w14:paraId="113BF35A" w14:textId="77777777">
        <w:trPr>
          <w:jc w:val="center"/>
        </w:trPr>
        <w:tc>
          <w:tcPr>
            <w:tcW w:w="2304" w:type="dxa"/>
            <w:vAlign w:val="center"/>
          </w:tcPr>
          <w:p w14:paraId="45EFB9DF" w14:textId="77777777" w:rsidR="00461277" w:rsidRDefault="00000000">
            <w:pPr>
              <w:spacing w:line="240" w:lineRule="auto" w:after="40"/>
            </w:pPr>
            <w:r>
              <w:rPr>
                <w:rFonts w:ascii="Times New Roman" w:hAnsi="Times New Roman" w:eastAsia="Times New Roman"/>
                <w:sz w:val="20"/>
              </w:rPr>
              <w:t>Ramsey RESET</w:t>
            </w:r>
          </w:p>
        </w:tc>
        <w:tc>
          <w:tcPr>
            <w:tcW w:w="2592" w:type="dxa"/>
            <w:vAlign w:val="center"/>
          </w:tcPr>
          <w:p w14:paraId="18BA7C40" w14:textId="77777777" w:rsidR="00461277" w:rsidRDefault="00000000">
            <w:pPr>
              <w:spacing w:line="240" w:lineRule="auto" w:after="40"/>
            </w:pPr>
            <w:r>
              <w:rPr>
                <w:rFonts w:ascii="Times New Roman" w:hAnsi="Times New Roman" w:eastAsia="Times New Roman"/>
                <w:sz w:val="20"/>
              </w:rPr>
              <w:t>F = 6.353562</w:t>
            </w:r>
          </w:p>
        </w:tc>
        <w:tc>
          <w:tcPr>
            <w:tcW w:w="1152" w:type="dxa"/>
            <w:vAlign w:val="center"/>
          </w:tcPr>
          <w:p w14:paraId="453D6DBB" w14:textId="77777777" w:rsidR="00461277" w:rsidRDefault="00000000">
            <w:pPr>
              <w:spacing w:line="240" w:lineRule="auto" w:after="40"/>
            </w:pPr>
            <w:r>
              <w:rPr>
                <w:rFonts w:ascii="Times New Roman" w:hAnsi="Times New Roman" w:eastAsia="Times New Roman"/>
                <w:sz w:val="20"/>
              </w:rPr>
              <w:t>0.012443</w:t>
            </w:r>
          </w:p>
        </w:tc>
        <w:tc>
          <w:tcPr>
            <w:tcW w:w="4032" w:type="dxa"/>
            <w:vAlign w:val="center"/>
          </w:tcPr>
          <w:p w14:paraId="60A7678A" w14:textId="77777777" w:rsidR="00461277" w:rsidRDefault="00000000">
            <w:pPr>
              <w:spacing w:line="240" w:lineRule="auto" w:after="40"/>
            </w:pPr>
            <w:r>
              <w:rPr>
                <w:rFonts w:ascii="Times New Roman" w:hAnsi="Times New Roman" w:eastAsia="Times New Roman"/>
                <w:sz w:val="20"/>
              </w:rPr>
              <w:t>Functional form/specification concern</w:t>
            </w:r>
          </w:p>
        </w:tc>
      </w:tr>
      <w:tr w:rsidR="00461277" w14:paraId="208AEFEE" w14:textId="77777777">
        <w:trPr>
          <w:jc w:val="center"/>
        </w:trPr>
        <w:tc>
          <w:tcPr>
            <w:tcW w:w="2304" w:type="dxa"/>
            <w:vAlign w:val="center"/>
          </w:tcPr>
          <w:p w14:paraId="43F36B7B" w14:textId="77777777" w:rsidR="00461277" w:rsidRDefault="00000000">
            <w:pPr>
              <w:spacing w:line="240" w:lineRule="auto" w:after="40"/>
            </w:pPr>
            <w:r>
              <w:rPr>
                <w:rFonts w:ascii="Times New Roman" w:hAnsi="Times New Roman" w:eastAsia="Times New Roman"/>
                <w:sz w:val="20"/>
              </w:rPr>
              <w:t>CUSUM</w:t>
            </w:r>
          </w:p>
        </w:tc>
        <w:tc>
          <w:tcPr>
            <w:tcW w:w="2592" w:type="dxa"/>
            <w:vAlign w:val="center"/>
          </w:tcPr>
          <w:p w14:paraId="6C6F38D4" w14:textId="77777777" w:rsidR="00461277" w:rsidRDefault="00000000">
            <w:pPr>
              <w:spacing w:line="240" w:lineRule="auto" w:after="40"/>
            </w:pPr>
            <w:r>
              <w:rPr>
                <w:rFonts w:ascii="Times New Roman" w:hAnsi="Times New Roman" w:eastAsia="Times New Roman"/>
                <w:sz w:val="20"/>
              </w:rPr>
              <w:t>Within the critical bounds</w:t>
            </w:r>
          </w:p>
        </w:tc>
        <w:tc>
          <w:tcPr>
            <w:tcW w:w="1152" w:type="dxa"/>
            <w:vAlign w:val="center"/>
          </w:tcPr>
          <w:p w14:paraId="01E4137B" w14:textId="77777777" w:rsidR="00461277" w:rsidRDefault="00000000">
            <w:pPr>
              <w:spacing w:line="240" w:lineRule="auto" w:after="40"/>
            </w:pPr>
            <w:r>
              <w:rPr>
                <w:rFonts w:ascii="Times New Roman" w:hAnsi="Times New Roman" w:eastAsia="Times New Roman"/>
                <w:sz w:val="20"/>
              </w:rPr>
              <w:t>—</w:t>
            </w:r>
          </w:p>
        </w:tc>
        <w:tc>
          <w:tcPr>
            <w:tcW w:w="4032" w:type="dxa"/>
            <w:vAlign w:val="center"/>
          </w:tcPr>
          <w:p w14:paraId="25CC0FE8" w14:textId="77777777" w:rsidR="00461277" w:rsidRDefault="00000000">
            <w:pPr>
              <w:spacing w:line="240" w:lineRule="auto" w:after="40"/>
            </w:pPr>
            <w:r>
              <w:rPr>
                <w:rFonts w:ascii="Times New Roman" w:hAnsi="Times New Roman" w:eastAsia="Times New Roman"/>
                <w:sz w:val="20"/>
              </w:rPr>
              <w:t>Parameter stability supported</w:t>
            </w:r>
          </w:p>
        </w:tc>
      </w:tr>
      <w:tr w:rsidR="00461277" w14:paraId="4AAC116F" w14:textId="77777777">
        <w:trPr>
          <w:jc w:val="center"/>
        </w:trPr>
        <w:tc>
          <w:tcPr>
            <w:tcW w:w="2304" w:type="dxa"/>
            <w:vAlign w:val="center"/>
          </w:tcPr>
          <w:p w14:paraId="0D23543B" w14:textId="77777777" w:rsidR="00461277" w:rsidRDefault="00000000">
            <w:pPr>
              <w:spacing w:line="240" w:lineRule="auto" w:after="40"/>
            </w:pPr>
            <w:r>
              <w:rPr>
                <w:rFonts w:ascii="Times New Roman" w:hAnsi="Times New Roman" w:eastAsia="Times New Roman"/>
                <w:sz w:val="20"/>
              </w:rPr>
              <w:t>CUSUMSQ</w:t>
            </w:r>
          </w:p>
        </w:tc>
        <w:tc>
          <w:tcPr>
            <w:tcW w:w="2592" w:type="dxa"/>
            <w:vAlign w:val="center"/>
          </w:tcPr>
          <w:p w14:paraId="1F631BF3" w14:textId="77777777" w:rsidR="00461277" w:rsidRDefault="00000000">
            <w:pPr>
              <w:spacing w:line="240" w:lineRule="auto" w:after="40"/>
            </w:pPr>
            <w:r>
              <w:rPr>
                <w:rFonts w:ascii="Times New Roman" w:hAnsi="Times New Roman" w:eastAsia="Times New Roman"/>
                <w:sz w:val="20"/>
              </w:rPr>
              <w:t>Generally within the critical bounds</w:t>
            </w:r>
          </w:p>
        </w:tc>
        <w:tc>
          <w:tcPr>
            <w:tcW w:w="1152" w:type="dxa"/>
            <w:vAlign w:val="center"/>
          </w:tcPr>
          <w:p w14:paraId="3833FBD1" w14:textId="77777777" w:rsidR="00461277" w:rsidRDefault="00000000">
            <w:pPr>
              <w:spacing w:line="240" w:lineRule="auto" w:after="40"/>
            </w:pPr>
            <w:r>
              <w:rPr>
                <w:rFonts w:ascii="Times New Roman" w:hAnsi="Times New Roman" w:eastAsia="Times New Roman"/>
                <w:sz w:val="20"/>
              </w:rPr>
              <w:t>—</w:t>
            </w:r>
          </w:p>
        </w:tc>
        <w:tc>
          <w:tcPr>
            <w:tcW w:w="4032" w:type="dxa"/>
            <w:vAlign w:val="center"/>
          </w:tcPr>
          <w:p w14:paraId="3D503FCB" w14:textId="77777777" w:rsidR="00461277" w:rsidRDefault="00000000">
            <w:pPr>
              <w:spacing w:line="240" w:lineRule="auto" w:after="40"/>
            </w:pPr>
            <w:r>
              <w:rPr>
                <w:rFonts w:ascii="Times New Roman" w:hAnsi="Times New Roman" w:eastAsia="Times New Roman"/>
                <w:sz w:val="20"/>
              </w:rPr>
              <w:t>Overall stability supported; final-period movement toward boundary</w:t>
            </w:r>
          </w:p>
        </w:tc>
      </w:tr>
    </w:tbl>
    <w:p w14:paraId="46259C20" w14:textId="77777777" w:rsidR="00461277" w:rsidRDefault="00000000">
      <w:pPr>
        <w:spacing w:after="120" w:line="360" w:lineRule="auto"/>
        <w:jc w:val="both"/>
      </w:pPr>
      <w:r>
        <w:rPr>
          <w:rFonts w:ascii="Times New Roman" w:hAnsi="Times New Roman" w:eastAsia="Times New Roman"/>
          <w:sz w:val="24"/>
        </w:rPr>
        <w:t>Note: The Breusch–Godfrey LM test evaluates serial correlation; Breusch–Pagan–Godfrey evaluates heteroskedasticity; Jarque–Bera evaluates residual normality; Ramsey RESET evaluates functional form; CUSUM and CUSUMSQ evaluate parameter stability.</w:t>
      </w:r>
    </w:p>
    <w:p w14:paraId="730969E6" w14:textId="77777777" w:rsidR="00B90259" w:rsidRDefault="00B90259" w:rsidP="003C190B">
      <w:pPr>
        <w:spacing w:after="120" w:line="360" w:lineRule="auto"/>
        <w:jc w:val="both"/>
        <w:rPr>
          <w:sz w:val="18"/>
        </w:rPr>
      </w:pPr>
    </w:p>
    <w:p w14:paraId="4BC467E0" w14:textId="498449A0"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The diagnostic tests indicate that the model performs well in terms of serial correlation and parameter stability. The Jarque–Bera test rejects normality, which is not unexpected in oil price series affected by geopolitical crises and extreme observations. The Ramsey RESET result signals a possible functional form or specification concern. For this reason, robustness checks are used to assess whether the main findings are preserved across alternative specifications.</w:t>
      </w:r>
    </w:p>
    <w:p w14:paraId="48D1D624" w14:textId="77777777" w:rsidR="00461277" w:rsidRDefault="00000000">
      <w:pPr>
        <w:spacing w:after="120" w:line="360" w:lineRule="auto"/>
        <w:jc w:val="both"/>
      </w:pPr>
      <w:r>
        <w:rPr>
          <w:rFonts w:ascii="Times New Roman" w:hAnsi="Times New Roman" w:eastAsia="Times New Roman"/>
          <w:b/>
          <w:sz w:val="24"/>
        </w:rPr>
        <w:t>Table 7. Summary of robustness checks</w:t>
      </w:r>
    </w:p>
    <w:tbl>
      <w:tblPr>
        <w:tblStyle w:val="TabloKlavuzu"/>
        <w:tblW w:w="0" w:type="auto"/>
        <w:jc w:val="center"/>
        <w:tblLayout w:type="autofit"/>
        <w:tblLook w:val="04A0" w:firstRow="1" w:lastRow="0" w:firstColumn="1" w:lastColumn="0" w:noHBand="0" w:noVBand="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3456"/>
        <w:gridCol w:w="1728"/>
        <w:gridCol w:w="2016"/>
      </w:tblGrid>
      <w:tr w:rsidR="00461277" w14:paraId="28EB6705" w14:textId="77777777">
        <w:trPr>
          <w:jc w:val="center"/>
        </w:trPr>
        <w:tc>
          <w:tcPr>
            <w:tcW w:w="2592" w:type="dxa"/>
            <w:vAlign w:val="center"/>
            <w:shd w:fill="D9EAF7"/>
          </w:tcPr>
          <w:p w14:paraId="3510EDC8" w14:textId="77777777" w:rsidR="00461277" w:rsidRDefault="00000000">
            <w:pPr>
              <w:spacing w:line="240" w:lineRule="auto" w:after="40"/>
            </w:pPr>
            <w:r>
              <w:rPr>
                <w:rFonts w:ascii="Times New Roman" w:hAnsi="Times New Roman" w:eastAsia="Times New Roman"/>
                <w:b/>
                <w:sz w:val="20"/>
              </w:rPr>
              <w:t>Robustness model</w:t>
            </w:r>
          </w:p>
        </w:tc>
        <w:tc>
          <w:tcPr>
            <w:tcW w:w="3456" w:type="dxa"/>
            <w:vAlign w:val="center"/>
            <w:shd w:fill="D9EAF7"/>
          </w:tcPr>
          <w:p w14:paraId="657EEF2A" w14:textId="77777777" w:rsidR="00461277" w:rsidRDefault="00000000">
            <w:pPr>
              <w:spacing w:line="240" w:lineRule="auto" w:after="40"/>
            </w:pPr>
            <w:r>
              <w:rPr>
                <w:rFonts w:ascii="Times New Roman" w:hAnsi="Times New Roman" w:eastAsia="Times New Roman"/>
                <w:b/>
                <w:sz w:val="20"/>
              </w:rPr>
              <w:t>Model modification</w:t>
            </w:r>
          </w:p>
        </w:tc>
        <w:tc>
          <w:tcPr>
            <w:tcW w:w="1728" w:type="dxa"/>
            <w:vAlign w:val="center"/>
            <w:shd w:fill="D9EAF7"/>
          </w:tcPr>
          <w:p w14:paraId="51AA1279" w14:textId="77777777" w:rsidR="00461277" w:rsidRDefault="00000000">
            <w:pPr>
              <w:spacing w:line="240" w:lineRule="auto" w:after="40"/>
            </w:pPr>
            <w:r>
              <w:rPr>
                <w:rFonts w:ascii="Times New Roman" w:hAnsi="Times New Roman" w:eastAsia="Times New Roman"/>
                <w:b/>
                <w:sz w:val="20"/>
              </w:rPr>
              <w:t>Bounds F-statistic</w:t>
            </w:r>
          </w:p>
        </w:tc>
        <w:tc>
          <w:tcPr>
            <w:tcW w:w="2016" w:type="dxa"/>
            <w:vAlign w:val="center"/>
            <w:shd w:fill="D9EAF7"/>
          </w:tcPr>
          <w:p w14:paraId="04937B3C" w14:textId="77777777" w:rsidR="00461277" w:rsidRDefault="00000000">
            <w:pPr>
              <w:spacing w:line="240" w:lineRule="auto" w:after="40"/>
            </w:pPr>
            <w:r>
              <w:rPr>
                <w:rFonts w:ascii="Times New Roman" w:hAnsi="Times New Roman" w:eastAsia="Times New Roman"/>
                <w:b/>
                <w:sz w:val="20"/>
              </w:rPr>
              <w:t>Decision</w:t>
            </w:r>
          </w:p>
        </w:tc>
      </w:tr>
      <w:tr w:rsidR="00461277" w14:paraId="437F0364" w14:textId="77777777">
        <w:trPr>
          <w:jc w:val="center"/>
        </w:trPr>
        <w:tc>
          <w:tcPr>
            <w:tcW w:w="2592" w:type="dxa"/>
            <w:vAlign w:val="center"/>
          </w:tcPr>
          <w:p w14:paraId="69DBE376" w14:textId="77777777" w:rsidR="00461277" w:rsidRDefault="00000000">
            <w:pPr>
              <w:spacing w:line="240" w:lineRule="auto" w:after="40"/>
            </w:pPr>
            <w:r>
              <w:rPr>
                <w:rFonts w:ascii="Times New Roman" w:hAnsi="Times New Roman" w:eastAsia="Times New Roman"/>
                <w:sz w:val="20"/>
              </w:rPr>
              <w:t>Alternative model 1</w:t>
            </w:r>
          </w:p>
        </w:tc>
        <w:tc>
          <w:tcPr>
            <w:tcW w:w="3456" w:type="dxa"/>
            <w:vAlign w:val="center"/>
          </w:tcPr>
          <w:p w14:paraId="33B20BFF" w14:textId="77777777" w:rsidR="00461277" w:rsidRDefault="00000000">
            <w:pPr>
              <w:spacing w:line="240" w:lineRule="auto" w:after="40"/>
            </w:pPr>
            <w:r>
              <w:rPr>
                <w:rFonts w:ascii="Times New Roman" w:hAnsi="Times New Roman" w:eastAsia="Times New Roman"/>
                <w:sz w:val="20"/>
              </w:rPr>
              <w:t>New model specification</w:t>
            </w:r>
          </w:p>
        </w:tc>
        <w:tc>
          <w:tcPr>
            <w:tcW w:w="1728" w:type="dxa"/>
            <w:vAlign w:val="center"/>
          </w:tcPr>
          <w:p w14:paraId="5082FF37" w14:textId="77777777" w:rsidR="00461277" w:rsidRDefault="00000000">
            <w:pPr>
              <w:spacing w:line="240" w:lineRule="auto" w:after="40"/>
            </w:pPr>
            <w:r>
              <w:rPr>
                <w:rFonts w:ascii="Times New Roman" w:hAnsi="Times New Roman" w:eastAsia="Times New Roman"/>
                <w:sz w:val="20"/>
              </w:rPr>
              <w:t>4.303463</w:t>
            </w:r>
          </w:p>
        </w:tc>
        <w:tc>
          <w:tcPr>
            <w:tcW w:w="2016" w:type="dxa"/>
            <w:vAlign w:val="center"/>
          </w:tcPr>
          <w:p w14:paraId="4C85C90E" w14:textId="77777777" w:rsidR="00461277" w:rsidRDefault="00000000">
            <w:pPr>
              <w:spacing w:line="240" w:lineRule="auto" w:after="40"/>
            </w:pPr>
            <w:r>
              <w:rPr>
                <w:rFonts w:ascii="Times New Roman" w:hAnsi="Times New Roman" w:eastAsia="Times New Roman"/>
                <w:sz w:val="20"/>
              </w:rPr>
              <w:t>Cointegration exists</w:t>
            </w:r>
          </w:p>
        </w:tc>
      </w:tr>
      <w:tr w:rsidR="00461277" w14:paraId="0D2D841B" w14:textId="77777777">
        <w:trPr>
          <w:jc w:val="center"/>
        </w:trPr>
        <w:tc>
          <w:tcPr>
            <w:tcW w:w="2592" w:type="dxa"/>
            <w:vAlign w:val="center"/>
          </w:tcPr>
          <w:p w14:paraId="7AB1DCFB" w14:textId="77777777" w:rsidR="00461277" w:rsidRDefault="00000000">
            <w:pPr>
              <w:spacing w:line="240" w:lineRule="auto" w:after="40"/>
            </w:pPr>
            <w:r>
              <w:rPr>
                <w:rFonts w:ascii="Times New Roman" w:hAnsi="Times New Roman" w:eastAsia="Times New Roman"/>
                <w:sz w:val="20"/>
              </w:rPr>
              <w:t>Alternative model 2</w:t>
            </w:r>
          </w:p>
        </w:tc>
        <w:tc>
          <w:tcPr>
            <w:tcW w:w="3456" w:type="dxa"/>
            <w:vAlign w:val="center"/>
          </w:tcPr>
          <w:p w14:paraId="1477783B" w14:textId="77777777" w:rsidR="00461277" w:rsidRDefault="00000000">
            <w:pPr>
              <w:spacing w:line="240" w:lineRule="auto" w:after="40"/>
            </w:pPr>
            <w:r>
              <w:rPr>
                <w:rFonts w:ascii="Times New Roman" w:hAnsi="Times New Roman" w:eastAsia="Times New Roman"/>
                <w:sz w:val="20"/>
              </w:rPr>
              <w:t>Alternative lag / model structure</w:t>
            </w:r>
          </w:p>
        </w:tc>
        <w:tc>
          <w:tcPr>
            <w:tcW w:w="1728" w:type="dxa"/>
            <w:vAlign w:val="center"/>
          </w:tcPr>
          <w:p w14:paraId="464C2A41" w14:textId="77777777" w:rsidR="00461277" w:rsidRDefault="00000000">
            <w:pPr>
              <w:spacing w:line="240" w:lineRule="auto" w:after="40"/>
            </w:pPr>
            <w:r>
              <w:rPr>
                <w:rFonts w:ascii="Times New Roman" w:hAnsi="Times New Roman" w:eastAsia="Times New Roman"/>
                <w:sz w:val="20"/>
              </w:rPr>
              <w:t>5.055999</w:t>
            </w:r>
          </w:p>
        </w:tc>
        <w:tc>
          <w:tcPr>
            <w:tcW w:w="2016" w:type="dxa"/>
            <w:vAlign w:val="center"/>
          </w:tcPr>
          <w:p w14:paraId="72FDC9A4" w14:textId="77777777" w:rsidR="00461277" w:rsidRDefault="00000000">
            <w:pPr>
              <w:spacing w:line="240" w:lineRule="auto" w:after="40"/>
            </w:pPr>
            <w:r>
              <w:rPr>
                <w:rFonts w:ascii="Times New Roman" w:hAnsi="Times New Roman" w:eastAsia="Times New Roman"/>
                <w:sz w:val="20"/>
              </w:rPr>
              <w:t>Cointegration exists</w:t>
            </w:r>
          </w:p>
        </w:tc>
      </w:tr>
      <w:tr w:rsidR="00461277" w14:paraId="2515FB5B" w14:textId="77777777">
        <w:trPr>
          <w:jc w:val="center"/>
        </w:trPr>
        <w:tc>
          <w:tcPr>
            <w:tcW w:w="2592" w:type="dxa"/>
            <w:vAlign w:val="center"/>
          </w:tcPr>
          <w:p w14:paraId="2631A619" w14:textId="77777777" w:rsidR="00461277" w:rsidRDefault="00000000">
            <w:pPr>
              <w:spacing w:line="240" w:lineRule="auto" w:after="40"/>
            </w:pPr>
            <w:r>
              <w:rPr>
                <w:rFonts w:ascii="Times New Roman" w:hAnsi="Times New Roman" w:eastAsia="Times New Roman"/>
                <w:sz w:val="20"/>
              </w:rPr>
              <w:t>OVX-controlled model</w:t>
            </w:r>
          </w:p>
        </w:tc>
        <w:tc>
          <w:tcPr>
            <w:tcW w:w="3456" w:type="dxa"/>
            <w:vAlign w:val="center"/>
          </w:tcPr>
          <w:p w14:paraId="59BDDFF4" w14:textId="77777777" w:rsidR="00461277" w:rsidRDefault="00000000">
            <w:pPr>
              <w:spacing w:line="240" w:lineRule="auto" w:after="40"/>
            </w:pPr>
            <w:r>
              <w:rPr>
                <w:rFonts w:ascii="Times New Roman" w:hAnsi="Times New Roman" w:eastAsia="Times New Roman"/>
                <w:sz w:val="20"/>
              </w:rPr>
              <w:t>Oil market volatility control added</w:t>
            </w:r>
          </w:p>
        </w:tc>
        <w:tc>
          <w:tcPr>
            <w:tcW w:w="1728" w:type="dxa"/>
            <w:vAlign w:val="center"/>
          </w:tcPr>
          <w:p w14:paraId="6445696E" w14:textId="77777777" w:rsidR="00461277" w:rsidRDefault="00000000">
            <w:pPr>
              <w:spacing w:line="240" w:lineRule="auto" w:after="40"/>
            </w:pPr>
            <w:r>
              <w:rPr>
                <w:rFonts w:ascii="Times New Roman" w:hAnsi="Times New Roman" w:eastAsia="Times New Roman"/>
                <w:sz w:val="20"/>
              </w:rPr>
              <w:t>9.214597</w:t>
            </w:r>
          </w:p>
        </w:tc>
        <w:tc>
          <w:tcPr>
            <w:tcW w:w="2016" w:type="dxa"/>
            <w:vAlign w:val="center"/>
          </w:tcPr>
          <w:p w14:paraId="55EAA057" w14:textId="77777777" w:rsidR="00461277" w:rsidRDefault="00000000">
            <w:pPr>
              <w:spacing w:line="240" w:lineRule="auto" w:after="40"/>
            </w:pPr>
            <w:r>
              <w:rPr>
                <w:rFonts w:ascii="Times New Roman" w:hAnsi="Times New Roman" w:eastAsia="Times New Roman"/>
                <w:sz w:val="20"/>
              </w:rPr>
              <w:t>Strong cointegration</w:t>
            </w:r>
          </w:p>
        </w:tc>
      </w:tr>
      <w:tr w:rsidR="00461277" w14:paraId="1B9CA3A7" w14:textId="77777777">
        <w:trPr>
          <w:jc w:val="center"/>
        </w:trPr>
        <w:tc>
          <w:tcPr>
            <w:tcW w:w="2592" w:type="dxa"/>
            <w:vAlign w:val="center"/>
          </w:tcPr>
          <w:p w14:paraId="57588C0D" w14:textId="77777777" w:rsidR="00461277" w:rsidRDefault="00000000">
            <w:pPr>
              <w:spacing w:line="240" w:lineRule="auto" w:after="40"/>
            </w:pPr>
            <w:r>
              <w:rPr>
                <w:rFonts w:ascii="Times New Roman" w:hAnsi="Times New Roman" w:eastAsia="Times New Roman"/>
                <w:sz w:val="20"/>
              </w:rPr>
              <w:t>EPUTRADE-controlled model</w:t>
            </w:r>
          </w:p>
        </w:tc>
        <w:tc>
          <w:tcPr>
            <w:tcW w:w="3456" w:type="dxa"/>
            <w:vAlign w:val="center"/>
          </w:tcPr>
          <w:p w14:paraId="7B01BF30" w14:textId="77777777" w:rsidR="00461277" w:rsidRDefault="00000000">
            <w:pPr>
              <w:spacing w:line="240" w:lineRule="auto" w:after="40"/>
            </w:pPr>
            <w:r>
              <w:rPr>
                <w:rFonts w:ascii="Times New Roman" w:hAnsi="Times New Roman" w:eastAsia="Times New Roman"/>
                <w:sz w:val="20"/>
              </w:rPr>
              <w:t>Trade policy uncertainty control added</w:t>
            </w:r>
          </w:p>
        </w:tc>
        <w:tc>
          <w:tcPr>
            <w:tcW w:w="1728" w:type="dxa"/>
            <w:vAlign w:val="center"/>
          </w:tcPr>
          <w:p w14:paraId="0D1086EE" w14:textId="77777777" w:rsidR="00461277" w:rsidRDefault="00000000">
            <w:pPr>
              <w:spacing w:line="240" w:lineRule="auto" w:after="40"/>
            </w:pPr>
            <w:r>
              <w:rPr>
                <w:rFonts w:ascii="Times New Roman" w:hAnsi="Times New Roman" w:eastAsia="Times New Roman"/>
                <w:sz w:val="20"/>
              </w:rPr>
              <w:t>4.544833</w:t>
            </w:r>
          </w:p>
        </w:tc>
        <w:tc>
          <w:tcPr>
            <w:tcW w:w="2016" w:type="dxa"/>
            <w:vAlign w:val="center"/>
          </w:tcPr>
          <w:p w14:paraId="4E1520EB" w14:textId="77777777" w:rsidR="00461277" w:rsidRDefault="00000000">
            <w:pPr>
              <w:spacing w:line="240" w:lineRule="auto" w:after="40"/>
            </w:pPr>
            <w:r>
              <w:rPr>
                <w:rFonts w:ascii="Times New Roman" w:hAnsi="Times New Roman" w:eastAsia="Times New Roman"/>
                <w:sz w:val="20"/>
              </w:rPr>
              <w:t>Cointegration exists</w:t>
            </w:r>
          </w:p>
        </w:tc>
      </w:tr>
      <w:tr w:rsidR="00461277" w14:paraId="77F66C4E" w14:textId="77777777">
        <w:trPr>
          <w:jc w:val="center"/>
        </w:trPr>
        <w:tc>
          <w:tcPr>
            <w:tcW w:w="2592" w:type="dxa"/>
            <w:vAlign w:val="center"/>
          </w:tcPr>
          <w:p w14:paraId="633EEDB2" w14:textId="77777777" w:rsidR="00461277" w:rsidRDefault="00000000">
            <w:pPr>
              <w:spacing w:line="240" w:lineRule="auto" w:after="40"/>
            </w:pPr>
            <w:r>
              <w:rPr>
                <w:rFonts w:ascii="Times New Roman" w:hAnsi="Times New Roman" w:eastAsia="Times New Roman"/>
                <w:sz w:val="20"/>
              </w:rPr>
              <w:t>Reduced model</w:t>
            </w:r>
          </w:p>
        </w:tc>
        <w:tc>
          <w:tcPr>
            <w:tcW w:w="3456" w:type="dxa"/>
            <w:vAlign w:val="center"/>
          </w:tcPr>
          <w:p w14:paraId="0031B011" w14:textId="77777777" w:rsidR="00461277" w:rsidRDefault="00000000">
            <w:pPr>
              <w:spacing w:line="240" w:lineRule="auto" w:after="40"/>
            </w:pPr>
            <w:r>
              <w:rPr>
                <w:rFonts w:ascii="Times New Roman" w:hAnsi="Times New Roman" w:eastAsia="Times New Roman"/>
                <w:sz w:val="20"/>
              </w:rPr>
              <w:t>Model simplified</w:t>
            </w:r>
          </w:p>
        </w:tc>
        <w:tc>
          <w:tcPr>
            <w:tcW w:w="1728" w:type="dxa"/>
            <w:vAlign w:val="center"/>
          </w:tcPr>
          <w:p w14:paraId="0D3C2CF5" w14:textId="77777777" w:rsidR="00461277" w:rsidRDefault="00000000">
            <w:pPr>
              <w:spacing w:line="240" w:lineRule="auto" w:after="40"/>
            </w:pPr>
            <w:r>
              <w:rPr>
                <w:rFonts w:ascii="Times New Roman" w:hAnsi="Times New Roman" w:eastAsia="Times New Roman"/>
                <w:sz w:val="20"/>
              </w:rPr>
              <w:t>8.409385</w:t>
            </w:r>
          </w:p>
        </w:tc>
        <w:tc>
          <w:tcPr>
            <w:tcW w:w="2016" w:type="dxa"/>
            <w:vAlign w:val="center"/>
          </w:tcPr>
          <w:p w14:paraId="58956FFF" w14:textId="77777777" w:rsidR="00461277" w:rsidRDefault="00000000">
            <w:pPr>
              <w:spacing w:line="240" w:lineRule="auto" w:after="40"/>
            </w:pPr>
            <w:r>
              <w:rPr>
                <w:rFonts w:ascii="Times New Roman" w:hAnsi="Times New Roman" w:eastAsia="Times New Roman"/>
                <w:sz w:val="20"/>
              </w:rPr>
              <w:t>Strong cointegration</w:t>
            </w:r>
          </w:p>
        </w:tc>
      </w:tr>
      <w:tr w:rsidR="00461277" w14:paraId="080962DD" w14:textId="77777777">
        <w:trPr>
          <w:jc w:val="center"/>
        </w:trPr>
        <w:tc>
          <w:tcPr>
            <w:tcW w:w="2592" w:type="dxa"/>
            <w:vAlign w:val="center"/>
          </w:tcPr>
          <w:p w14:paraId="43A5E5B8" w14:textId="77777777" w:rsidR="00461277" w:rsidRDefault="00000000">
            <w:pPr>
              <w:spacing w:line="240" w:lineRule="auto" w:after="40"/>
            </w:pPr>
            <w:r>
              <w:rPr>
                <w:rFonts w:ascii="Times New Roman" w:hAnsi="Times New Roman" w:eastAsia="Times New Roman"/>
                <w:sz w:val="20"/>
              </w:rPr>
              <w:t>Russia–Ukraine sub-model</w:t>
            </w:r>
          </w:p>
        </w:tc>
        <w:tc>
          <w:tcPr>
            <w:tcW w:w="3456" w:type="dxa"/>
            <w:vAlign w:val="center"/>
          </w:tcPr>
          <w:p w14:paraId="4E6AA793" w14:textId="77777777" w:rsidR="00461277" w:rsidRDefault="00000000">
            <w:pPr>
              <w:spacing w:line="240" w:lineRule="auto" w:after="40"/>
            </w:pPr>
            <w:r>
              <w:rPr>
                <w:rFonts w:ascii="Times New Roman" w:hAnsi="Times New Roman" w:eastAsia="Times New Roman"/>
                <w:sz w:val="20"/>
              </w:rPr>
              <w:t>Only Russia–Ukraine interactions included</w:t>
            </w:r>
          </w:p>
        </w:tc>
        <w:tc>
          <w:tcPr>
            <w:tcW w:w="1728" w:type="dxa"/>
            <w:vAlign w:val="center"/>
          </w:tcPr>
          <w:p w14:paraId="6CAB832C" w14:textId="77777777" w:rsidR="00461277" w:rsidRDefault="00000000">
            <w:pPr>
              <w:spacing w:line="240" w:lineRule="auto" w:after="40"/>
            </w:pPr>
            <w:r>
              <w:rPr>
                <w:rFonts w:ascii="Times New Roman" w:hAnsi="Times New Roman" w:eastAsia="Times New Roman"/>
                <w:sz w:val="20"/>
              </w:rPr>
              <w:t>6.066879</w:t>
            </w:r>
          </w:p>
        </w:tc>
        <w:tc>
          <w:tcPr>
            <w:tcW w:w="2016" w:type="dxa"/>
            <w:vAlign w:val="center"/>
          </w:tcPr>
          <w:p w14:paraId="0AD427D9" w14:textId="77777777" w:rsidR="00461277" w:rsidRDefault="00000000">
            <w:pPr>
              <w:spacing w:line="240" w:lineRule="auto" w:after="40"/>
            </w:pPr>
            <w:r>
              <w:rPr>
                <w:rFonts w:ascii="Times New Roman" w:hAnsi="Times New Roman" w:eastAsia="Times New Roman"/>
                <w:sz w:val="20"/>
              </w:rPr>
              <w:t>Cointegration exists</w:t>
            </w:r>
          </w:p>
        </w:tc>
      </w:tr>
      <w:tr w:rsidR="00461277" w14:paraId="7D8DC197" w14:textId="77777777">
        <w:trPr>
          <w:jc w:val="center"/>
        </w:trPr>
        <w:tc>
          <w:tcPr>
            <w:tcW w:w="2592" w:type="dxa"/>
            <w:vAlign w:val="center"/>
          </w:tcPr>
          <w:p w14:paraId="6B226025" w14:textId="77777777" w:rsidR="00461277" w:rsidRDefault="00000000">
            <w:pPr>
              <w:spacing w:line="240" w:lineRule="auto" w:after="40"/>
            </w:pPr>
            <w:r>
              <w:rPr>
                <w:rFonts w:ascii="Times New Roman" w:hAnsi="Times New Roman" w:eastAsia="Times New Roman"/>
                <w:sz w:val="20"/>
              </w:rPr>
              <w:t>Iran sub-model</w:t>
            </w:r>
          </w:p>
        </w:tc>
        <w:tc>
          <w:tcPr>
            <w:tcW w:w="3456" w:type="dxa"/>
            <w:vAlign w:val="center"/>
          </w:tcPr>
          <w:p w14:paraId="20CF5D8F" w14:textId="77777777" w:rsidR="00461277" w:rsidRDefault="00000000">
            <w:pPr>
              <w:spacing w:line="240" w:lineRule="auto" w:after="40"/>
            </w:pPr>
            <w:r>
              <w:rPr>
                <w:rFonts w:ascii="Times New Roman" w:hAnsi="Times New Roman" w:eastAsia="Times New Roman"/>
                <w:sz w:val="20"/>
              </w:rPr>
              <w:t>Only Iran interactions included</w:t>
            </w:r>
          </w:p>
        </w:tc>
        <w:tc>
          <w:tcPr>
            <w:tcW w:w="1728" w:type="dxa"/>
            <w:vAlign w:val="center"/>
          </w:tcPr>
          <w:p w14:paraId="4E450300" w14:textId="77777777" w:rsidR="00461277" w:rsidRDefault="00000000">
            <w:pPr>
              <w:spacing w:line="240" w:lineRule="auto" w:after="40"/>
            </w:pPr>
            <w:r>
              <w:rPr>
                <w:rFonts w:ascii="Times New Roman" w:hAnsi="Times New Roman" w:eastAsia="Times New Roman"/>
                <w:sz w:val="20"/>
              </w:rPr>
              <w:t>4.645979</w:t>
            </w:r>
          </w:p>
        </w:tc>
        <w:tc>
          <w:tcPr>
            <w:tcW w:w="2016" w:type="dxa"/>
            <w:vAlign w:val="center"/>
          </w:tcPr>
          <w:p w14:paraId="4890FEDA" w14:textId="77777777" w:rsidR="00461277" w:rsidRDefault="00000000">
            <w:pPr>
              <w:spacing w:line="240" w:lineRule="auto" w:after="40"/>
            </w:pPr>
            <w:r>
              <w:rPr>
                <w:rFonts w:ascii="Times New Roman" w:hAnsi="Times New Roman" w:eastAsia="Times New Roman"/>
                <w:sz w:val="20"/>
              </w:rPr>
              <w:t>Cointegration exists</w:t>
            </w:r>
          </w:p>
        </w:tc>
      </w:tr>
    </w:tbl>
    <w:p w14:paraId="4248BA3D" w14:textId="77777777" w:rsidR="00461277" w:rsidRDefault="00000000">
      <w:pPr>
        <w:spacing w:after="120" w:line="360" w:lineRule="auto"/>
        <w:jc w:val="both"/>
      </w:pPr>
      <w:r>
        <w:rPr>
          <w:rFonts w:ascii="Times New Roman" w:hAnsi="Times New Roman" w:eastAsia="Times New Roman"/>
          <w:sz w:val="24"/>
        </w:rPr>
        <w:t>Note: The bounds F-statistics indicate whether the long-run relationship is preserved under alternative specifications. A statistic above the relevant upper-bound critical value indicates cointegration.</w:t>
      </w:r>
    </w:p>
    <w:p w14:paraId="79ADC4BA" w14:textId="77777777" w:rsidR="001C32BA" w:rsidRDefault="001C32BA">
      <w:pPr>
        <w:spacing w:after="120" w:line="360" w:lineRule="auto"/>
        <w:jc w:val="both"/>
        <w:rPr>
          <w:sz w:val="18"/>
        </w:rPr>
      </w:pPr>
    </w:p>
    <w:p w14:paraId="356CC13A" w14:textId="38E6649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The robustness checks show that the main findings are generally preserved across alternative model specifications. The OVX-controlled model produces a particularly high F-statistic, indicating that the long-run relationship remains strong even after controlling for oil market volatility. The EPUTRADE-controlled model also preserves the cointegration relationship, suggesting that the findings are not solely explained by trade policy uncertainty. Separate Russia–Ukraine and Iran sub-models further indicate that both event contexts constitute relevant geopolitical risk transmission channels for Brent oil prices.</w:t>
      </w:r>
    </w:p>
    <w:p w14:paraId="283DAF8E" w14:textId="77777777" w:rsidR="00461277" w:rsidRPr="003C190B" w:rsidRDefault="00000000" w:rsidP="003C190B">
      <w:pPr>
        <w:pStyle w:val="Balk1"/>
        <w:spacing w:before="240" w:after="120" w:line="360" w:lineRule="auto"/>
        <w:jc w:val="left"/>
        <w:rPr>
          <w:sz w:val="24"/>
          <w:szCs w:val="24"/>
        </w:rPr>
      </w:pPr>
      <w:r w:rsidRPr="003C190B">
        <w:rPr>
          <w:rFonts w:ascii="Times New Roman" w:eastAsia="Times New Roman" w:hAnsi="Times New Roman"/>
          <w:b/>
          <w:sz w:val="24"/>
          <w:szCs w:val="24"/>
        </w:rPr>
        <w:t>5. Conclusion and Policy Implications</w:t>
      </w:r>
    </w:p>
    <w:p w14:paraId="61849A20"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This study shows that the impact of geopolitical risk on Brent oil prices cannot be explained solely by the general level of risk; rather, the event context in which risk emerges plays a decisive role in the pricing process. The empirical findings indicate that the event-contextual model, which incorporates Russia–Ukraine War and Iran-related tension interactions, reveals a strong long-run relationship. Geopolitical risk in oil markets should therefore not be treated as a homogeneous source of uncertainty, but as a pricing mechanism that varies according to the nature of the event, its geography, and the position of risk-generating actors within the energy supply chain.</w:t>
      </w:r>
    </w:p>
    <w:p w14:paraId="371998AA"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 xml:space="preserve">The findings suggest that geopolitical risk transmission to Brent prices is stronger and positive during the Russia–Ukraine War period. This reflects the role of sanctions, producer-country risk, European energy security concerns, and expectations of supply disruptions. Iran-related tensions also generate a positive but weaker effect, mainly through the Strait of Hormuz, tanker transportation, transit security, and the oil risk premium channel. However, the Wald tests show that the coefficient difference between the two event </w:t>
      </w:r>
      <w:r w:rsidRPr="003C190B">
        <w:rPr>
          <w:rFonts w:ascii="Times New Roman" w:hAnsi="Times New Roman" w:eastAsia="Times New Roman"/>
          <w:sz w:val="24"/>
          <w:szCs w:val="24"/>
        </w:rPr>
        <w:lastRenderedPageBreak/>
        <w:t>contexts is not statistically conclusive. The Russia–Ukraine effect therefore appears stronger, but this difference should be interpreted cautiously.</w:t>
      </w:r>
    </w:p>
    <w:p w14:paraId="6C027FD5" w14:textId="77777777" w:rsidR="00461277" w:rsidRPr="003C190B" w:rsidRDefault="00000000" w:rsidP="003C190B">
      <w:pPr>
        <w:spacing w:after="120" w:line="360" w:lineRule="auto"/>
        <w:jc w:val="both"/>
        <w:rPr>
          <w:sz w:val="24"/>
          <w:szCs w:val="24"/>
        </w:rPr>
      </w:pPr>
      <w:r w:rsidRPr="003C190B">
        <w:rPr>
          <w:rFonts w:ascii="Times New Roman" w:hAnsi="Times New Roman" w:eastAsia="Times New Roman"/>
          <w:sz w:val="24"/>
          <w:szCs w:val="24"/>
        </w:rPr>
        <w:t>These findings have direct implications for energy security policy. Geopolitical risk monitoring should not rely only on aggregate risk indicators; it should also track production geographies, sanctions regimes, energy corridors, chokepoints, and maritime transport routes. Producer-country crises and transit-security crises require different policy responses, including differentiated early-warning systems, flexible strategic reserve management, supply diversification, and coordinated monitoring of chokepoint vulnerability. In this sense, geopolitical risk is not only an economic uncertainty shock in Brent oil markets, but also a spatially embedded and context-specific pricing mechanism.</w:t>
      </w:r>
    </w:p>
    <w:p>
      <w:pPr>
        <w:pStyle w:val="Balk1"/>
        <w:spacing w:before="240" w:after="120" w:line="360" w:lineRule="auto"/>
      </w:pPr>
      <w:r>
        <w:rPr>
          <w:rFonts w:ascii="Times New Roman" w:hAnsi="Times New Roman" w:eastAsia="Times New Roman"/>
          <w:b/>
          <w:sz w:val="24"/>
        </w:rPr>
        <w:t>Data and code availability</w:t>
      </w:r>
    </w:p>
    <w:p>
      <w:pPr>
        <w:spacing w:line="360" w:lineRule="auto" w:after="120"/>
      </w:pPr>
      <w:r>
        <w:rPr>
          <w:rFonts w:ascii="Times New Roman" w:hAnsi="Times New Roman" w:eastAsia="Times New Roman"/>
          <w:sz w:val="24"/>
        </w:rPr>
        <w:t>AI-assisted tools were used for language editing, formatting support, and manuscript preparation checks. The author reviewed and edited the content and takes full responsibility for the content of the manuscript.</w:t>
      </w:r>
    </w:p>
    <w:p/>
    <w:p/>
    <w:p/>
    <w:p/>
    <w:p/>
    <w:p/>
    <w:p/>
    <w:p>
      <w:r>
        <w:rPr>
          <w:rFonts w:ascii="Times New Roman" w:hAnsi="Times New Roman" w:eastAsia="Times New Roman"/>
          <w:sz w:val="24"/>
        </w:rPr>
        <w:t>AI-based assistance was used in a limited and moderate manner for language editing, formatting support, and clarity checks. The econometric analysis, interpretation of results, scholarly argument, and final manuscript decisions were conducted and verified by the author, who remains fully responsible for the content.</w:t>
      </w:r>
    </w:p>
    <w:p>
      <w:pPr>
        <w:pStyle w:val="Balk2"/>
      </w:pPr>
      <w:r>
        <w:rPr>
          <w:rFonts w:ascii="Times New Roman" w:hAnsi="Times New Roman" w:eastAsia="Times New Roman"/>
          <w:sz w:val="24"/>
        </w:rPr>
        <w:t>AI use statement</w:t>
      </w:r>
    </w:p>
    <w:p>
      <w:r>
        <w:rPr>
          <w:rFonts w:ascii="Times New Roman" w:hAnsi="Times New Roman" w:eastAsia="Times New Roman"/>
          <w:sz w:val="24"/>
        </w:rPr>
        <w:t>The data, variable-construction files, and analysis code used in this study will be made available in a public GitHub repository. The repository URL will be inserted in the submission system and in the final manuscript record once the repository link is finalized.</w:t>
      </w:r>
    </w:p>
    <w:p>
      <w:pPr>
        <w:pStyle w:val="Balk2"/>
      </w:pPr>
      <w:r>
        <w:rPr>
          <w:rFonts w:ascii="Times New Roman" w:hAnsi="Times New Roman" w:eastAsia="Times New Roman"/>
          <w:sz w:val="24"/>
        </w:rPr>
        <w:t>Data and code availability</w:t>
      </w:r>
    </w:p>
    <w:p>
      <w:r>
        <w:rPr>
          <w:rFonts w:ascii="Times New Roman" w:hAnsi="Times New Roman" w:eastAsia="Times New Roman"/>
          <w:sz w:val="24"/>
        </w:rPr>
        <w:t>The author declares no known competing financial interests or personal relationships that could have appeared to influence the work reported in this paper.</w:t>
      </w:r>
    </w:p>
    <w:p>
      <w:pPr>
        <w:pStyle w:val="Balk2"/>
      </w:pPr>
      <w:r>
        <w:rPr>
          <w:rFonts w:ascii="Times New Roman" w:hAnsi="Times New Roman" w:eastAsia="Times New Roman"/>
          <w:sz w:val="24"/>
        </w:rPr>
        <w:t>Declaration of competing interest</w:t>
      </w:r>
    </w:p>
    <w:p>
      <w:r>
        <w:rPr>
          <w:rFonts w:ascii="Times New Roman" w:hAnsi="Times New Roman" w:eastAsia="Times New Roman"/>
          <w:sz w:val="24"/>
        </w:rPr>
        <w:t>This research received no specific grant from any funding agency in the public, commercial, or not-for-profit sectors.</w:t>
      </w:r>
    </w:p>
    <w:p>
      <w:pPr>
        <w:pStyle w:val="Balk2"/>
      </w:pPr>
      <w:r>
        <w:rPr>
          <w:rFonts w:ascii="Times New Roman" w:hAnsi="Times New Roman" w:eastAsia="Times New Roman"/>
          <w:sz w:val="24"/>
        </w:rPr>
        <w:t>Funding</w:t>
      </w:r>
    </w:p>
    <w:p>
      <w:pPr>
        <w:pStyle w:val="Balk1"/>
      </w:pPr>
      <w:r>
        <w:rPr>
          <w:rFonts w:ascii="Times New Roman" w:hAnsi="Times New Roman" w:eastAsia="Times New Roman"/>
          <w:sz w:val="24"/>
        </w:rPr>
        <w:t>Statements and Declarations</w:t>
      </w:r>
    </w:p>
    <w:p w14:paraId="36EEF28F" w14:textId="77777777" w:rsidR="00461277" w:rsidRDefault="00000000" w:rsidP="003C190B">
      <w:pPr>
        <w:pStyle w:val="Balk1"/>
        <w:spacing w:before="240" w:after="120" w:line="360" w:lineRule="auto"/>
        <w:jc w:val="left"/>
      </w:pPr>
      <w:r>
        <w:rPr>
          <w:rFonts w:ascii="Times New Roman" w:eastAsia="Times New Roman" w:hAnsi="Times New Roman"/>
          <w:b/>
          <w:sz w:val="24"/>
        </w:rPr>
        <w:t>References</w:t>
      </w:r>
    </w:p>
    <w:p w14:paraId="07DC2C3F"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t>Antonakakis, N., Gupta, R., Kollias, C., Papadamou, S., 2017. Geopolitical risks and the oil-stock nexus over 1899–2016. Finance Research Letters 23, 165–173.</w:t>
      </w:r>
    </w:p>
    <w:p w14:paraId="249A2DA0"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t>Caldara, D., Iacoviello, M., 2022. Measuring geopolitical risk. American Economic Review 112(4), 1194–1225. https://doi.org/10.1257/aer.20191823.</w:t>
      </w:r>
    </w:p>
    <w:p w14:paraId="49D52A91"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t>Chen, H., Liao, H., Tang, B.J., Wei, Y.M., 2016. Impacts of OPEC’s political risk on the international crude oil prices: An empirical analysis based on the SVAR models. Energy Economics 57, 42–49.</w:t>
      </w:r>
    </w:p>
    <w:p w14:paraId="11CED58B"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t>European Central Bank, 2024. Geopolitical risk and oil prices. ECB Economic Bulletin, Issue 8/2023.</w:t>
      </w:r>
    </w:p>
    <w:p w14:paraId="46E2F94E"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t>Fang, Y., Shao, Z., 2022. The Russia–Ukraine conflict and volatility risk of commodity markets. Finance Research Letters 50, 103264. https://doi.org/10.1016/j.frl.2022.103264.</w:t>
      </w:r>
    </w:p>
    <w:p w14:paraId="0C830DF0"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t>Goldenberg, I., Schwed, A., Thomas, K., 2019. In dire straits? Implications of U.S.–Iran tensions for the global oil market. Columbia University, Center on Global Energy Policy.</w:t>
      </w:r>
    </w:p>
    <w:p w14:paraId="1ABA798B"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t>Hinz, J., Mahlkow, H., Sogalla, R., Willmann, G., 2026. The cost of closing the Strait of Hormuz: Energy bottlenecks and global food security. Kiel Policy Brief No. 206. Kiel Institute for the World Economy.</w:t>
      </w:r>
    </w:p>
    <w:p w14:paraId="7ED59CAA"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t>Huang, J., Ding, Q., Zhang, H., Guo, Y., Suleman, M.T., 2021. Nonlinear dynamic correlation between geopolitical risk and oil prices: A study based on high-frequency data. Research in International Business and Finance 56, 101370. https://doi.org/10.1016/j.ribaf.2020.101370.</w:t>
      </w:r>
    </w:p>
    <w:p w14:paraId="63E8176C"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t>Ivanovski, K., Hailemariam, A., 2022. Time-varying geopolitical risk and oil prices. International Review of Economics &amp; Finance 77, 206–221. https://doi.org/10.1016/j.iref.2021.10.001.</w:t>
      </w:r>
    </w:p>
    <w:p w14:paraId="59D77934"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t>Kilian, L., Plante, M.D., Richter, A.W., 2024. Geopolitical oil price risk and economic fluctuations. Federal Reserve Bank of Dallas Working Paper No. 2403. https://doi.org/10.24149/wp2403r2.</w:t>
      </w:r>
    </w:p>
    <w:p w14:paraId="3A519A1B"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lastRenderedPageBreak/>
        <w:t>Minesso, M.F., Lappe, M.-S., Rößler, D., 2023. Geopolitical risk and oil prices. ECB Economic Bulletin 8.</w:t>
      </w:r>
    </w:p>
    <w:p w14:paraId="6791CBF5"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t>Ohikhuare, O.M., 2023. How geopolitical risk drives spillover interconnectedness between crude oil and exchange rate markets: Evidence from the Russia–Ukraine war. Resources Policy 86, 104282. https://doi.org/10.1016/j.resourpol.2023.104282.</w:t>
      </w:r>
    </w:p>
    <w:p w14:paraId="5F4A6126"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t>Olanipekun, I.O., Alola, A.A., 2020. Crude oil production in the Persian Gulf amidst geopolitical risk, cost of damage and resources rents: Is there asymmetric inference? Resources Policy 69, 101873. https://doi.org/10.1016/j.resourpol.2020.101873.</w:t>
      </w:r>
    </w:p>
    <w:p w14:paraId="437DE544"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t>Pan, Q., Sun, Y., 2023. Changes in volatility leverage and spillover effects of crude oil futures markets affected by the 2022 Russia–Ukraine conflict. Finance Research Letters 58, 104442. https://doi.org/10.1016/j.frl.2023.104442.</w:t>
      </w:r>
    </w:p>
    <w:p w14:paraId="4FD14236"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t>Pesaran, M.H., Shin, Y., Smith, R.J., 2001. Bounds testing approaches to the analysis of level relationships. Journal of Applied Econometrics 16(3), 289–326. https://doi.org/10.1002/jae.616.</w:t>
      </w:r>
    </w:p>
    <w:p w14:paraId="29E5E9A9"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t>Qin, Y., Hong, K., Chen, J., Zhang, Z., 2020. Asymmetric effects of geopolitical risks on energy returns and volatility under different market conditions. Energy Economics 90, 104851.</w:t>
      </w:r>
    </w:p>
    <w:p w14:paraId="7441BC47"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t>Ren, X., An, Y., Jin, C., 2023. The asymmetric effect of geopolitical risk on China’s crude oil prices: New evidence from a QARDL approach. Finance Research Letters 53, 103637.</w:t>
      </w:r>
    </w:p>
    <w:p w14:paraId="18E0DF5D"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t>Shepard, J.U., Pratson, L.F., 2020. Maritime piracy in the Strait of Hormuz and implications of energy export security. Energy Policy 140, 111379. https://doi.org/10.1016/j.enpol.2020.111379.</w:t>
      </w:r>
    </w:p>
    <w:p w14:paraId="05E5B819"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t>Shin, Y., Yu, B., Greenwood-Nimmo, M., 2014. Modelling asymmetric cointegration and dynamic multipliers in a nonlinear ARDL framework. In: Sickles, R.C., Horrace, W.C. (Eds.), Festschrift in Honor of Peter Schmidt: Econometric Methods and Applications. Springer, New York, pp. 281–314. https://doi.org/10.1007/978-1-4899-8008-3_9.</w:t>
      </w:r>
    </w:p>
    <w:p w14:paraId="58D44B3B"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t>Yang, T., Dong, Q., Du, M., Du, Q., 2023. Geopolitical risks, oil price shocks and inflation: Evidence from a TVP–SV–VAR approach. Energy Economics 127, 107099. https://doi.org/10.1016/j.eneco.2023.107099.</w:t>
      </w:r>
    </w:p>
    <w:p w14:paraId="63570075" w14:textId="77777777" w:rsidR="00461277" w:rsidRPr="003C190B" w:rsidRDefault="00000000" w:rsidP="003C190B">
      <w:pPr>
        <w:spacing w:after="120" w:line="360" w:lineRule="auto"/>
        <w:rPr>
          <w:sz w:val="24"/>
          <w:szCs w:val="24"/>
        </w:rPr>
      </w:pPr>
      <w:r w:rsidRPr="003C190B">
        <w:rPr>
          <w:rFonts w:ascii="Times New Roman" w:hAnsi="Times New Roman" w:eastAsia="Times New Roman"/>
          <w:sz w:val="24"/>
          <w:szCs w:val="24"/>
        </w:rPr>
        <w:t>Zhang, Q., Hu, Y., Jiao, J., Wang, S., 2024. The impact of Russia–Ukraine war on crude oil prices: An EMC framework. Humanities and Social Sciences Communications 11, 8. https://doi.org/10.1057/s41599-023-02526-9.</w:t>
      </w:r>
    </w:p>
    <w:p/>
    <w:p/>
    <w:p/>
    <w:p/>
    <w:p/>
    <w:p/>
    <w:p/>
    <w:p/>
    <w:p/>
    <w:p/>
    <w:sectPr w:rsidR="00461277" w:rsidRPr="003C190B"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A6245" w14:textId="77777777" w:rsidR="00CE3C3F" w:rsidRDefault="00CE3C3F" w:rsidP="00056571">
      <w:pPr>
        <w:spacing w:after="0" w:line="240" w:lineRule="auto"/>
      </w:pPr>
      <w:r>
        <w:separator/>
      </w:r>
    </w:p>
  </w:endnote>
  <w:endnote w:type="continuationSeparator" w:id="0">
    <w:p w14:paraId="626ABFF8" w14:textId="77777777" w:rsidR="00CE3C3F" w:rsidRDefault="00CE3C3F" w:rsidP="00056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EBB4A" w14:textId="77777777" w:rsidR="00CE3C3F" w:rsidRDefault="00CE3C3F" w:rsidP="00056571">
      <w:pPr>
        <w:spacing w:after="0" w:line="240" w:lineRule="auto"/>
      </w:pPr>
      <w:r>
        <w:separator/>
      </w:r>
    </w:p>
  </w:footnote>
  <w:footnote w:type="continuationSeparator" w:id="0">
    <w:p w14:paraId="6013CF3A" w14:textId="77777777" w:rsidR="00CE3C3F" w:rsidRDefault="00CE3C3F" w:rsidP="00056571">
      <w:pPr>
        <w:spacing w:after="0" w:line="240" w:lineRule="auto"/>
      </w:pPr>
      <w:r>
        <w:continuationSeparator/>
      </w:r>
    </w:p>
  </w:footnote>
  <w:footnote w:id="1">
    <w:p w14:paraId="4E57F690" w14:textId="23A63F37" w:rsidR="00056571" w:rsidRPr="00056571" w:rsidRDefault="00056571">
      <w:pPr>
        <w:pStyle w:val="DipnotMetni"/>
        <w:rPr>
          <w:lang w:val="tr-TR"/>
        </w:rPr>
      </w:pPr>
      <w:r>
        <w:rPr>
          <w:rStyle w:val="DipnotBavurusu"/>
        </w:rPr>
        <w:footnoteRef/>
      </w:r>
      <w:r>
        <w:t xml:space="preserve"> Independent Researcher, ORCID: 0000-0001-5362-3541, E-mail: huseyinsaltan@gmail.com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10725891">
    <w:abstractNumId w:val="8"/>
  </w:num>
  <w:num w:numId="2" w16cid:durableId="1702171956">
    <w:abstractNumId w:val="6"/>
  </w:num>
  <w:num w:numId="3" w16cid:durableId="150412299">
    <w:abstractNumId w:val="5"/>
  </w:num>
  <w:num w:numId="4" w16cid:durableId="611983225">
    <w:abstractNumId w:val="4"/>
  </w:num>
  <w:num w:numId="5" w16cid:durableId="1953900651">
    <w:abstractNumId w:val="7"/>
  </w:num>
  <w:num w:numId="6" w16cid:durableId="919943013">
    <w:abstractNumId w:val="3"/>
  </w:num>
  <w:num w:numId="7" w16cid:durableId="225575575">
    <w:abstractNumId w:val="2"/>
  </w:num>
  <w:num w:numId="8" w16cid:durableId="1821925606">
    <w:abstractNumId w:val="1"/>
  </w:num>
  <w:num w:numId="9" w16cid:durableId="1701272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571"/>
    <w:rsid w:val="0006063C"/>
    <w:rsid w:val="0015074B"/>
    <w:rsid w:val="001C32BA"/>
    <w:rsid w:val="0029639D"/>
    <w:rsid w:val="00304AA5"/>
    <w:rsid w:val="00326F90"/>
    <w:rsid w:val="003C190B"/>
    <w:rsid w:val="00461277"/>
    <w:rsid w:val="004A33DA"/>
    <w:rsid w:val="00537C7B"/>
    <w:rsid w:val="005C622F"/>
    <w:rsid w:val="0068702D"/>
    <w:rsid w:val="009F25E0"/>
    <w:rsid w:val="00A15BE4"/>
    <w:rsid w:val="00AA1D8D"/>
    <w:rsid w:val="00B47730"/>
    <w:rsid w:val="00B90259"/>
    <w:rsid w:val="00CB0664"/>
    <w:rsid w:val="00CE3C3F"/>
    <w:rsid w:val="00F255C7"/>
    <w:rsid w:val="00F900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0598E"/>
  <w14:defaultImageDpi w14:val="300"/>
  <w15:docId w15:val="{2344FF2B-A5D2-9047-BAB9-BCD0A3C97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after="120"/>
    </w:pPr>
    <w:rPr>
      <w:rFonts w:ascii="Times New Roman" w:eastAsia="Times New Roman" w:hAnsi="Times New Roman"/>
      <w:sz w:val="24"/>
    </w:rPr>
  </w:style>
  <w:style w:type="paragraph" w:styleId="Balk1">
    <w:name w:val="heading 1"/>
    <w:basedOn w:val="Normal"/>
    <w:next w:val="Normal"/>
    <w:link w:val="Balk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Balk2">
    <w:name w:val="heading 2"/>
    <w:basedOn w:val="Normal"/>
    <w:next w:val="Normal"/>
    <w:link w:val="Balk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Balk3">
    <w:name w:val="heading 3"/>
    <w:basedOn w:val="Normal"/>
    <w:next w:val="Normal"/>
    <w:link w:val="Balk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rPr>
      <w:rFonts w:ascii="Times New Roman" w:hAnsi="Times New Roman" w:eastAsia="Times New Roman"/>
      <w:sz w:val="24"/>
    </w:r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DipnotMetni">
    <w:name w:val="footnote text"/>
    <w:basedOn w:val="Normal"/>
    <w:link w:val="DipnotMetniChar"/>
    <w:uiPriority w:val="99"/>
    <w:semiHidden/>
    <w:unhideWhenUsed/>
    <w:rsid w:val="00056571"/>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056571"/>
    <w:rPr>
      <w:rFonts w:ascii="Times New Roman" w:eastAsia="Times New Roman" w:hAnsi="Times New Roman"/>
      <w:sz w:val="20"/>
      <w:szCs w:val="20"/>
    </w:rPr>
  </w:style>
  <w:style w:type="character" w:styleId="DipnotBavurusu">
    <w:name w:val="footnote reference"/>
    <w:basedOn w:val="VarsaylanParagrafYazTipi"/>
    <w:uiPriority w:val="99"/>
    <w:semiHidden/>
    <w:unhideWhenUsed/>
    <w:rsid w:val="00056571"/>
    <w:rPr>
      <w:vertAlign w:val="superscript"/>
    </w:rPr>
  </w:style>
  <w:style w:type="paragraph" w:customStyle="1" w:styleId="JCMTitle">
    <w:name w:val="JCM Title"/>
    <w:rPr>
      <w:rFonts w:ascii="Times New Roman" w:hAnsi="Times New Roman" w:eastAsia="Times New Roman"/>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4192</Words>
  <Characters>23897</Characters>
  <Application>Microsoft Office Word</Application>
  <DocSecurity>0</DocSecurity>
  <Lines>199</Lines>
  <Paragraphs>56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Event-Contextual Geopolitical Risk and Brent Oil Prices</vt:lpstr>
      <vt:lpstr/>
    </vt:vector>
  </TitlesOfParts>
  <Manager/>
  <Company/>
  <LinksUpToDate>false</LinksUpToDate>
  <CharactersWithSpaces>28033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Event-Contextual Geopolitical Risk and Brent Oil Prices</dc:title>
  <dc:subject/>
  <dc:creator/>
  <cp:keywords/>
  <dc:description/>
  <cp:lastModifiedBy/>
  <cp:revision>4</cp:revision>
  <dcterms:created xsi:type="dcterms:W3CDTF">2026-05-20T17:57:00Z</dcterms:created>
  <dcterms:modified xsi:type="dcterms:W3CDTF">2026-05-20T19:10:00Z</dcterms:modified>
  <cp:category/>
</cp:coreProperties>
</file>