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CE57" w14:textId="77777777" w:rsidR="00461277" w:rsidRPr="00304AA5" w:rsidRDefault="00000000">
      <w:pPr>
        <w:pStyle w:val="KonuBal"/>
        <w:spacing w:after="200" w:line="276" w:lineRule="auto"/>
        <w:jc w:val="center"/>
        <w:rPr>
          <w:rFonts w:ascii="Times New Roman" w:eastAsia="Times New Roman" w:hAnsi="Times New Roman"/>
          <w:b w:val="0"/>
          <w:sz w:val="36"/>
          <w:szCs w:val="36"/>
        </w:rPr>
      </w:pPr>
      <w:r w:rsidRPr="00304AA5">
        <w:rPr>
          <w:rFonts w:ascii="Times New Roman" w:eastAsia="Times New Roman" w:hAnsi="Times New Roman"/>
          <w:b w:val="0"/>
          <w:sz w:val="36"/>
          <w:szCs w:val="36"/>
        </w:rPr>
        <w:t>Event-Contextual Geopolitical Risk and Brent Oil Prices: A Comparison of the Russia–Ukraine War and Iran Tensions Using an Interaction-Augmented NARDL Approach</w:t>
      </w:r>
    </w:p>
    <w:p w14:paraId="27C37039" w14:textId="50F47C78" w:rsidR="00056571" w:rsidRPr="00056571" w:rsidRDefault="00056571" w:rsidP="00056571">
      <w:pPr>
        <w:jc w:val="right"/>
      </w:pPr>
      <w:r>
        <w:t>Huseyin SALTAN</w:t>
      </w:r>
      <w:r>
        <w:rPr>
          <w:rStyle w:val="DipnotBavurusu"/>
        </w:rPr>
        <w:footnoteReference w:id="1"/>
      </w:r>
      <w:r>
        <w:t>, PhD</w:t>
      </w:r>
    </w:p>
    <w:p w14:paraId="6348ADAE" w14:textId="77777777" w:rsidR="00461277" w:rsidRPr="003C190B" w:rsidRDefault="00000000" w:rsidP="003C190B">
      <w:pPr>
        <w:pStyle w:val="Balk1"/>
        <w:spacing w:before="160" w:after="80" w:line="360" w:lineRule="auto"/>
        <w:rPr>
          <w:sz w:val="24"/>
          <w:szCs w:val="24"/>
        </w:rPr>
      </w:pPr>
      <w:r w:rsidRPr="003C190B">
        <w:rPr>
          <w:rFonts w:ascii="Times New Roman" w:eastAsia="Times New Roman" w:hAnsi="Times New Roman"/>
          <w:b w:val="0"/>
          <w:sz w:val="24"/>
          <w:szCs w:val="24"/>
        </w:rPr>
        <w:t>Abstract</w:t>
      </w:r>
    </w:p>
    <w:p w14:paraId="763BD063" w14:textId="77777777" w:rsidR="00461277" w:rsidRPr="003C190B" w:rsidRDefault="00000000" w:rsidP="003C190B">
      <w:pPr>
        <w:spacing w:after="120" w:line="360" w:lineRule="auto"/>
        <w:jc w:val="both"/>
        <w:rPr>
          <w:sz w:val="24"/>
          <w:szCs w:val="24"/>
        </w:rPr>
      </w:pPr>
      <w:r w:rsidRPr="003C190B">
        <w:rPr>
          <w:sz w:val="24"/>
          <w:szCs w:val="24"/>
        </w:rPr>
        <w:t>This study examines whether the impact of geopolitical risk on Brent oil prices varies across event contexts. Using an interaction-augmented NARDL approach, the study shows that geopolitical risk should not be treated merely as a general source of uncertainty, but as a risk factor priced through the geographical position of risk-producing actors and their location within the energy supply chain. Interpreted cautiously, the findings suggest that the Russia–Ukraine War generated a stronger geopolitical risk transmission to Brent oil prices than Iran-related tensions. Overall, the results indicate that geopolitical risk is not a homogeneous shock in oil markets, but a spatially embedded and context-specific pricing mechanism.</w:t>
      </w:r>
    </w:p>
    <w:p w14:paraId="6FB6608C" w14:textId="77777777" w:rsidR="00461277" w:rsidRPr="003C190B" w:rsidRDefault="00000000">
      <w:pPr>
        <w:spacing w:after="120"/>
        <w:jc w:val="both"/>
        <w:rPr>
          <w:sz w:val="24"/>
          <w:szCs w:val="24"/>
        </w:rPr>
      </w:pPr>
      <w:r w:rsidRPr="003C190B">
        <w:rPr>
          <w:b/>
          <w:sz w:val="24"/>
          <w:szCs w:val="24"/>
        </w:rPr>
        <w:t>Keywords: Geopolitical risk; Brent oil prices; Russia–Ukraine War; Iran-related tensions; NARDL; Energy security</w:t>
      </w:r>
    </w:p>
    <w:p w14:paraId="42A2BAFE" w14:textId="77777777" w:rsidR="00461277" w:rsidRPr="003C190B" w:rsidRDefault="00000000" w:rsidP="003C190B">
      <w:pPr>
        <w:pStyle w:val="Balk1"/>
        <w:spacing w:before="160" w:after="80" w:line="360" w:lineRule="auto"/>
        <w:rPr>
          <w:sz w:val="24"/>
          <w:szCs w:val="24"/>
        </w:rPr>
      </w:pPr>
      <w:r w:rsidRPr="003C190B">
        <w:rPr>
          <w:rFonts w:ascii="Times New Roman" w:eastAsia="Times New Roman" w:hAnsi="Times New Roman"/>
          <w:b w:val="0"/>
          <w:sz w:val="24"/>
          <w:szCs w:val="24"/>
        </w:rPr>
        <w:t>1. Introduction</w:t>
      </w:r>
    </w:p>
    <w:p w14:paraId="77EC7DE8" w14:textId="77777777" w:rsidR="00461277" w:rsidRPr="003C190B" w:rsidRDefault="00000000" w:rsidP="003C190B">
      <w:pPr>
        <w:spacing w:after="120" w:line="360" w:lineRule="auto"/>
        <w:jc w:val="both"/>
        <w:rPr>
          <w:sz w:val="24"/>
          <w:szCs w:val="24"/>
        </w:rPr>
      </w:pPr>
      <w:r w:rsidRPr="003C190B">
        <w:rPr>
          <w:sz w:val="24"/>
          <w:szCs w:val="24"/>
        </w:rPr>
        <w:t>Crude oil prices are among the key indicators reflecting the functioning of the global energy system, expectations regarding supply security, and perceptions of geopolitical risk. These prices do not merely respond to current supply–demand conditions; they also price in expectations of future supply disruptions, transportation risks, and the likelihood of conflict (Kilian et al., 2024). Therefore, fluctuations in oil prices have direct implications for energy costs, inflation dynamics, fiscal balances, market expectations, and the policy choices of developing economies, particularly those dependent on energy imports (Yang et al., 2023; Huang et al., 2021).</w:t>
      </w:r>
    </w:p>
    <w:p w14:paraId="46A7331A" w14:textId="77777777" w:rsidR="00461277" w:rsidRPr="003C190B" w:rsidRDefault="00000000" w:rsidP="003C190B">
      <w:pPr>
        <w:spacing w:after="120" w:line="360" w:lineRule="auto"/>
        <w:jc w:val="both"/>
        <w:rPr>
          <w:sz w:val="24"/>
          <w:szCs w:val="24"/>
        </w:rPr>
      </w:pPr>
      <w:r w:rsidRPr="003C190B">
        <w:rPr>
          <w:sz w:val="24"/>
          <w:szCs w:val="24"/>
        </w:rPr>
        <w:t xml:space="preserve">Given that states often regard oil as an important political instrument, oil markets are inevitably exposed to geopolitical events and tensions (Qin et al., 2020). This exposure may operate through two opposing channels. On the one hand, geopolitical tensions can raise the probability of future supply disruptions and generate a risk premium in oil markets. On the other hand, they can increase uncertainty about global economic activity, thereby exerting downward pressure on consumption, investment, and energy demand (Kilian et al., 2024; Minesso et al., 2023). Accordingly, the impact of geopolitical risk on oil prices may </w:t>
      </w:r>
      <w:r w:rsidRPr="003C190B">
        <w:rPr>
          <w:sz w:val="24"/>
          <w:szCs w:val="24"/>
        </w:rPr>
        <w:lastRenderedPageBreak/>
        <w:t>vary not only with the level of risk itself, but also with the geography of the event, the affected supply or transit channel, and the expectations through which the market prices the shock.</w:t>
      </w:r>
    </w:p>
    <w:p w14:paraId="17605606" w14:textId="77777777" w:rsidR="00461277" w:rsidRPr="003C190B" w:rsidRDefault="00000000" w:rsidP="003C190B">
      <w:pPr>
        <w:spacing w:after="120" w:line="360" w:lineRule="auto"/>
        <w:jc w:val="both"/>
        <w:rPr>
          <w:sz w:val="24"/>
          <w:szCs w:val="24"/>
        </w:rPr>
      </w:pPr>
      <w:r w:rsidRPr="003C190B">
        <w:rPr>
          <w:sz w:val="24"/>
          <w:szCs w:val="24"/>
        </w:rPr>
        <w:t>The existing literature shows that the relationship between geopolitical risk and oil prices is neither linear, unidirectional, nor stable over time. Studies based on the GPR index demonstrate that geopolitical risk can affect oil prices, oil returns, volatility, and inflation dynamics (Caldara and Iacoviello, 2022; Yang et al., 2023; Ivanovski and Hailemariam, 2022; Qin et al., 2020). However, much of this literature treats geopolitical risk as a general uncertainty indicator and only partially distinguishes the channels through which different geopolitical events are transmitted to oil prices. Yet the effect of geopolitical risk on oil markets may depend not only on the level of risk, but also on whether the risk emerges as a producer-country crisis, a sanctions regime, a transit-security threat, or a vulnerability at a critical energy chokepoint.</w:t>
      </w:r>
    </w:p>
    <w:p w14:paraId="65D0D508" w14:textId="77777777" w:rsidR="00461277" w:rsidRPr="003C190B" w:rsidRDefault="00000000" w:rsidP="003C190B">
      <w:pPr>
        <w:spacing w:after="120" w:line="360" w:lineRule="auto"/>
        <w:jc w:val="both"/>
        <w:rPr>
          <w:sz w:val="24"/>
          <w:szCs w:val="24"/>
        </w:rPr>
      </w:pPr>
      <w:r w:rsidRPr="003C190B">
        <w:rPr>
          <w:sz w:val="24"/>
          <w:szCs w:val="24"/>
        </w:rPr>
        <w:t>In this context, the Russia–Ukraine War and Iran-related tensions can be considered two distinct types of geopolitical risk transmitted to oil markets through different channels. The Russia–Ukraine War represents a geopolitical shock that directly affects an energy-producing and exporting region, shaping oil prices through sanctions, supply expectations, European energy security concerns, and broader market uncertainty. By contrast, Iran-related tensions are priced less through actual oil supply losses and more through transit security, tanker transportation, insurance costs, and expectations of potential supply disruptions, particularly because of the strategic position of the Strait of Hormuz. Given the central role of the Strait of Hormuz in global oil flows, Iran-related tensions may influence oil markets primarily through the oil risk premium channel (Olanipekun and Alola, 2020; Shepard and Pratson, 2020).</w:t>
      </w:r>
    </w:p>
    <w:p w14:paraId="17897E3B" w14:textId="77777777" w:rsidR="00461277" w:rsidRPr="003C190B" w:rsidRDefault="00000000" w:rsidP="003C190B">
      <w:pPr>
        <w:spacing w:after="120" w:line="360" w:lineRule="auto"/>
        <w:jc w:val="both"/>
        <w:rPr>
          <w:sz w:val="24"/>
          <w:szCs w:val="24"/>
        </w:rPr>
      </w:pPr>
      <w:r w:rsidRPr="003C190B">
        <w:rPr>
          <w:sz w:val="24"/>
          <w:szCs w:val="24"/>
        </w:rPr>
        <w:t>This study builds on this distinction by examining whether the impact of geopolitical risk on Brent oil prices varies across event contexts. To this end, the Global Geopolitical Risk Index is decomposed into positive and negative components, which are then interacted with dummy variables representing the Russia–Ukraine War and Iran-related tensions. This design allows the study to evaluate, within a single empirical framework, both the general effect of geopolitical risk on Brent prices and the extent to which this effect changes across two distinct geopolitical contexts.</w:t>
      </w:r>
    </w:p>
    <w:p w14:paraId="10BC6D9C" w14:textId="77777777" w:rsidR="00461277" w:rsidRPr="003C190B" w:rsidRDefault="00000000" w:rsidP="003C190B">
      <w:pPr>
        <w:pStyle w:val="Balk1"/>
        <w:spacing w:before="160" w:after="80" w:line="360" w:lineRule="auto"/>
        <w:rPr>
          <w:sz w:val="24"/>
          <w:szCs w:val="24"/>
        </w:rPr>
      </w:pPr>
      <w:r w:rsidRPr="003C190B">
        <w:rPr>
          <w:rFonts w:ascii="Times New Roman" w:eastAsia="Times New Roman" w:hAnsi="Times New Roman"/>
          <w:b w:val="0"/>
          <w:sz w:val="24"/>
          <w:szCs w:val="24"/>
        </w:rPr>
        <w:t>2. Literature Review and Conceptual Background</w:t>
      </w:r>
    </w:p>
    <w:p w14:paraId="27C5BAC9" w14:textId="77777777" w:rsidR="00461277" w:rsidRPr="003C190B" w:rsidRDefault="00000000" w:rsidP="003C190B">
      <w:pPr>
        <w:pStyle w:val="Balk2"/>
        <w:spacing w:before="120" w:after="80" w:line="360" w:lineRule="auto"/>
        <w:rPr>
          <w:szCs w:val="24"/>
        </w:rPr>
      </w:pPr>
      <w:r w:rsidRPr="003C190B">
        <w:rPr>
          <w:rFonts w:ascii="Times New Roman" w:eastAsia="Times New Roman" w:hAnsi="Times New Roman"/>
          <w:b w:val="0"/>
          <w:szCs w:val="24"/>
        </w:rPr>
        <w:t>2.1. Geopolitical risk and oil price dynamics</w:t>
      </w:r>
    </w:p>
    <w:p w14:paraId="679B84F0" w14:textId="77777777" w:rsidR="00461277" w:rsidRPr="003C190B" w:rsidRDefault="00000000" w:rsidP="003C190B">
      <w:pPr>
        <w:spacing w:after="120" w:line="360" w:lineRule="auto"/>
        <w:jc w:val="both"/>
        <w:rPr>
          <w:sz w:val="24"/>
          <w:szCs w:val="24"/>
        </w:rPr>
      </w:pPr>
      <w:r w:rsidRPr="003C190B">
        <w:rPr>
          <w:sz w:val="24"/>
          <w:szCs w:val="24"/>
        </w:rPr>
        <w:t xml:space="preserve">The Global Geopolitical Risk Index developed by Caldara and Iacoviello (2022) is one of the most widely used indicators for measuring geopolitical risk. Based on systematic newspaper searches, the index captures not only realized geopolitical events but also threats, tensions, and expectations of conflict. This </w:t>
      </w:r>
      <w:r w:rsidRPr="003C190B">
        <w:rPr>
          <w:sz w:val="24"/>
          <w:szCs w:val="24"/>
        </w:rPr>
        <w:lastRenderedPageBreak/>
        <w:t>makes the GPR index particularly useful for analysing oil markets, where risk is often priced before actual supply disruptions materialize.</w:t>
      </w:r>
    </w:p>
    <w:p w14:paraId="5447D5CF" w14:textId="77777777" w:rsidR="00461277" w:rsidRPr="003C190B" w:rsidRDefault="00000000" w:rsidP="003C190B">
      <w:pPr>
        <w:spacing w:after="120" w:line="360" w:lineRule="auto"/>
        <w:jc w:val="both"/>
        <w:rPr>
          <w:sz w:val="24"/>
          <w:szCs w:val="24"/>
        </w:rPr>
      </w:pPr>
      <w:r w:rsidRPr="003C190B">
        <w:rPr>
          <w:sz w:val="24"/>
          <w:szCs w:val="24"/>
        </w:rPr>
        <w:t>Recent studies show that geopolitical risk affects oil markets through multiple and sometimes opposing channels. Yang et al. (2023) emphasize two mechanisms: an economic activity channel, through which geopolitical uncertainty weakens consumption, investment, and oil demand; and a risk channel, through which expectations of future supply disruptions raise the holding value of oil contracts and increase risk premiums. Similarly, the ECB assessment summarized by Minesso et al. (2023) shows that the oil price response to geopolitical shocks depends on the source of the event and the market’s perception of supply disruption risks.</w:t>
      </w:r>
    </w:p>
    <w:p w14:paraId="62E2523E" w14:textId="77777777" w:rsidR="00461277" w:rsidRPr="003C190B" w:rsidRDefault="00000000" w:rsidP="003C190B">
      <w:pPr>
        <w:spacing w:after="120" w:line="360" w:lineRule="auto"/>
        <w:jc w:val="both"/>
        <w:rPr>
          <w:sz w:val="24"/>
          <w:szCs w:val="24"/>
        </w:rPr>
      </w:pPr>
      <w:r w:rsidRPr="003C190B">
        <w:rPr>
          <w:sz w:val="24"/>
          <w:szCs w:val="24"/>
        </w:rPr>
        <w:t>The literature also indicates that the GPR–oil price nexus is time-varying and conditional on market regimes. Ivanovski and Hailemariam (2022) show that the relationship between geopolitical risk, oil prices, and oil price volatility changes over time, while Huang et al. (2021) find that geopolitical risk is more strongly associated with oil volatility than with oil returns. These findings support the view that geopolitical risk should not be treated as a uniform shock in oil markets.</w:t>
      </w:r>
    </w:p>
    <w:p w14:paraId="1F7A11E1" w14:textId="77777777" w:rsidR="00461277" w:rsidRPr="003C190B" w:rsidRDefault="00000000" w:rsidP="003C190B">
      <w:pPr>
        <w:pStyle w:val="Balk2"/>
        <w:spacing w:before="120" w:after="80" w:line="360" w:lineRule="auto"/>
        <w:rPr>
          <w:szCs w:val="24"/>
        </w:rPr>
      </w:pPr>
      <w:r w:rsidRPr="003C190B">
        <w:rPr>
          <w:rFonts w:ascii="Times New Roman" w:eastAsia="Times New Roman" w:hAnsi="Times New Roman"/>
          <w:b w:val="0"/>
          <w:szCs w:val="24"/>
        </w:rPr>
        <w:t>2.2. Nonlinear and asymmetric effects of geopolitical risk</w:t>
      </w:r>
    </w:p>
    <w:p w14:paraId="290CBA29" w14:textId="77777777" w:rsidR="00461277" w:rsidRPr="003C190B" w:rsidRDefault="00000000" w:rsidP="003C190B">
      <w:pPr>
        <w:spacing w:after="120" w:line="360" w:lineRule="auto"/>
        <w:jc w:val="both"/>
        <w:rPr>
          <w:sz w:val="24"/>
          <w:szCs w:val="24"/>
        </w:rPr>
      </w:pPr>
      <w:r w:rsidRPr="003C190B">
        <w:rPr>
          <w:sz w:val="24"/>
          <w:szCs w:val="24"/>
        </w:rPr>
        <w:t>Because geopolitical risk may affect oil prices differently depending on the direction of the shock and market conditions, nonlinear and asymmetric approaches have become increasingly important. Qin et al. (2020) show that the effects of geopolitical risk on energy returns and volatility vary across market conditions, while Ren et al. (2023), using a QARDL approach, demonstrate that the effect of GPR on crude oil prices differs across quantiles and time horizons. These studies suggest that the oil market response to geopolitical risk is not adequately captured by linear and symmetric specifications.</w:t>
      </w:r>
    </w:p>
    <w:p w14:paraId="684E6D11" w14:textId="77777777" w:rsidR="00461277" w:rsidRPr="003C190B" w:rsidRDefault="00000000" w:rsidP="003C190B">
      <w:pPr>
        <w:spacing w:after="120" w:line="360" w:lineRule="auto"/>
        <w:jc w:val="both"/>
        <w:rPr>
          <w:sz w:val="24"/>
          <w:szCs w:val="24"/>
        </w:rPr>
      </w:pPr>
      <w:r w:rsidRPr="003C190B">
        <w:rPr>
          <w:sz w:val="24"/>
          <w:szCs w:val="24"/>
        </w:rPr>
        <w:t>Asymmetric modelling is particularly relevant for oil markets because increases in geopolitical risk may generate immediate risk premiums, whereas reductions in risk may not lead to proportional price declines. Wars, sanctions, and regional tensions may leave persistent uncertainty in expectations even after the initial shock fades. The NARDL framework is therefore suitable for separating positive and negative changes in geopolitical risk and for evaluating whether their effects differ in the short and long run (Shin et al., 2014; Pesaran et al., 2001).</w:t>
      </w:r>
    </w:p>
    <w:p w14:paraId="23BB0B88" w14:textId="77777777" w:rsidR="00461277" w:rsidRPr="003C190B" w:rsidRDefault="00000000" w:rsidP="003C190B">
      <w:pPr>
        <w:pStyle w:val="Balk2"/>
        <w:spacing w:before="120" w:after="80" w:line="360" w:lineRule="auto"/>
        <w:rPr>
          <w:szCs w:val="24"/>
        </w:rPr>
      </w:pPr>
      <w:r w:rsidRPr="003C190B">
        <w:rPr>
          <w:rFonts w:ascii="Times New Roman" w:eastAsia="Times New Roman" w:hAnsi="Times New Roman"/>
          <w:b w:val="0"/>
          <w:szCs w:val="24"/>
        </w:rPr>
        <w:t>2.3. Event-contextual geopolitical risk: Russia–Ukraine and Iran-related tensions</w:t>
      </w:r>
    </w:p>
    <w:p w14:paraId="59B61887" w14:textId="77777777" w:rsidR="00461277" w:rsidRPr="003C190B" w:rsidRDefault="00000000" w:rsidP="003C190B">
      <w:pPr>
        <w:spacing w:after="120" w:line="360" w:lineRule="auto"/>
        <w:jc w:val="both"/>
        <w:rPr>
          <w:sz w:val="24"/>
          <w:szCs w:val="24"/>
        </w:rPr>
      </w:pPr>
      <w:r w:rsidRPr="003C190B">
        <w:rPr>
          <w:sz w:val="24"/>
          <w:szCs w:val="24"/>
        </w:rPr>
        <w:t xml:space="preserve">The Russia–Ukraine War represents a producer-country and sanctions-related geopolitical shock. Zhang et al. (2024) show that the war and associated sanctions generated sharp increases in WTI and Brent prices and substantially increased market volatility. Fang and Shao (2022), Ohikhuare (2023), and Pan and Sun </w:t>
      </w:r>
      <w:r w:rsidRPr="003C190B">
        <w:rPr>
          <w:sz w:val="24"/>
          <w:szCs w:val="24"/>
        </w:rPr>
        <w:lastRenderedPageBreak/>
        <w:t>(2023) further show that the war affected commodity markets through volatility, financial spillovers, futures market reactions, and broader uncertainty channels. These findings indicate that the Russia–Ukraine War is not merely a general increase in geopolitical risk, but an event context linked to production geography, sanctions, and European energy security.</w:t>
      </w:r>
    </w:p>
    <w:p w14:paraId="39D7CEC2" w14:textId="77777777" w:rsidR="00461277" w:rsidRPr="003C190B" w:rsidRDefault="00000000" w:rsidP="003C190B">
      <w:pPr>
        <w:spacing w:after="120" w:line="360" w:lineRule="auto"/>
        <w:jc w:val="both"/>
        <w:rPr>
          <w:sz w:val="24"/>
          <w:szCs w:val="24"/>
        </w:rPr>
      </w:pPr>
      <w:r w:rsidRPr="003C190B">
        <w:rPr>
          <w:sz w:val="24"/>
          <w:szCs w:val="24"/>
        </w:rPr>
        <w:t>Iran-related tensions represent a different geopolitical pricing mechanism. Rather than directly affecting a major production area in the same way as the Russia–Ukraine War, Iran-related tensions are primarily linked to the Strait of Hormuz, tanker transportation, transit security, insurance costs, and expectations of possible supply disruptions. Shepard and Pratson (2020) identify the Strait of Hormuz as a critical chokepoint for global energy flows, while Goldenberg et al. (2019) emphasize that US–Iran tensions can be priced through low-probability but high-impact scenarios involving shipping traffic and energy infrastructure. Olanipekun and Alola (2020) also show that geopolitical risk in the Persian Gulf can affect oil production asymmetrically.</w:t>
      </w:r>
    </w:p>
    <w:p w14:paraId="2723A88B" w14:textId="77777777" w:rsidR="00461277" w:rsidRPr="003C190B" w:rsidRDefault="00000000" w:rsidP="003C190B">
      <w:pPr>
        <w:spacing w:after="120" w:line="360" w:lineRule="auto"/>
        <w:jc w:val="both"/>
        <w:rPr>
          <w:sz w:val="24"/>
          <w:szCs w:val="24"/>
        </w:rPr>
      </w:pPr>
      <w:r w:rsidRPr="003C190B">
        <w:rPr>
          <w:sz w:val="24"/>
          <w:szCs w:val="24"/>
        </w:rPr>
        <w:t>Overall, the literature reveals three gaps. First, many studies examine the oil price effects of geopolitical risk through the aggregate GPR index without testing whether the effect varies across event contexts. Second, the Russia–Ukraine War and Iran-related tensions are usually discussed in separate literatures, and their effects on Brent prices are rarely compared within the same empirical framework. Third, existing studies focus mostly on direct price, volatility, or spillover effects, whereas fewer studies model GPR components through event-specific interaction terms. This study addresses these gaps by comparing two geopolitical event contexts within an interaction-augmented NARDL framework.</w:t>
      </w:r>
    </w:p>
    <w:p w14:paraId="1E059B97" w14:textId="77777777" w:rsidR="00461277" w:rsidRPr="003C190B" w:rsidRDefault="00000000" w:rsidP="003C190B">
      <w:pPr>
        <w:pStyle w:val="Balk1"/>
        <w:spacing w:before="160" w:after="80" w:line="360" w:lineRule="auto"/>
        <w:rPr>
          <w:sz w:val="24"/>
          <w:szCs w:val="24"/>
        </w:rPr>
      </w:pPr>
      <w:r w:rsidRPr="003C190B">
        <w:rPr>
          <w:rFonts w:ascii="Times New Roman" w:eastAsia="Times New Roman" w:hAnsi="Times New Roman"/>
          <w:b w:val="0"/>
          <w:sz w:val="24"/>
          <w:szCs w:val="24"/>
        </w:rPr>
        <w:t>3. Data and Empirical Strategy</w:t>
      </w:r>
    </w:p>
    <w:p w14:paraId="582EA115" w14:textId="77777777" w:rsidR="00461277" w:rsidRPr="003C190B" w:rsidRDefault="00000000" w:rsidP="003C190B">
      <w:pPr>
        <w:pStyle w:val="Balk2"/>
        <w:spacing w:before="120" w:after="80" w:line="360" w:lineRule="auto"/>
        <w:rPr>
          <w:szCs w:val="24"/>
        </w:rPr>
      </w:pPr>
      <w:r w:rsidRPr="003C190B">
        <w:rPr>
          <w:rFonts w:ascii="Times New Roman" w:eastAsia="Times New Roman" w:hAnsi="Times New Roman"/>
          <w:b w:val="0"/>
          <w:szCs w:val="24"/>
        </w:rPr>
        <w:t>3.1. Data and variables</w:t>
      </w:r>
    </w:p>
    <w:p w14:paraId="0FE6896F" w14:textId="77777777" w:rsidR="00461277" w:rsidRPr="003C190B" w:rsidRDefault="00000000" w:rsidP="003C190B">
      <w:pPr>
        <w:spacing w:after="120" w:line="360" w:lineRule="auto"/>
        <w:jc w:val="both"/>
        <w:rPr>
          <w:sz w:val="24"/>
          <w:szCs w:val="24"/>
        </w:rPr>
      </w:pPr>
      <w:r w:rsidRPr="003C190B">
        <w:rPr>
          <w:sz w:val="24"/>
          <w:szCs w:val="24"/>
        </w:rPr>
        <w:t>This study examines the relationship between Brent oil prices and geopolitical risk using monthly data for the period 2007M06–2026M03. The dataset is designed to test both the general effect of geopolitical risk on Brent oil prices and whether this effect differs across the Russia–Ukraine War and Iran-related tension contexts. The main variables are Brent oil prices, the Global Geopolitical Risk Index, Russia–Ukraine and Iran event dummies, and the OVX and EPUTRADE variables used in robustness checks.</w:t>
      </w:r>
    </w:p>
    <w:p w14:paraId="1A3322E5" w14:textId="77777777" w:rsidR="00461277" w:rsidRDefault="00000000">
      <w:pPr>
        <w:spacing w:after="60"/>
        <w:jc w:val="both"/>
      </w:pPr>
      <w:r>
        <w:rPr>
          <w:b/>
        </w:rPr>
        <w:t>Table 1. Variable definitions and data sources</w:t>
      </w:r>
    </w:p>
    <w:tbl>
      <w:tblPr>
        <w:tblStyle w:val="TabloKlavuzu"/>
        <w:tblW w:w="0" w:type="auto"/>
        <w:jc w:val="center"/>
        <w:tblLook w:val="04A0" w:firstRow="1" w:lastRow="0" w:firstColumn="1" w:lastColumn="0" w:noHBand="0" w:noVBand="1"/>
      </w:tblPr>
      <w:tblGrid>
        <w:gridCol w:w="2016"/>
        <w:gridCol w:w="1296"/>
        <w:gridCol w:w="2880"/>
        <w:gridCol w:w="2160"/>
        <w:gridCol w:w="1152"/>
      </w:tblGrid>
      <w:tr w:rsidR="00461277" w14:paraId="75D946F2" w14:textId="77777777">
        <w:trPr>
          <w:jc w:val="center"/>
        </w:trPr>
        <w:tc>
          <w:tcPr>
            <w:tcW w:w="2016" w:type="dxa"/>
            <w:vAlign w:val="center"/>
          </w:tcPr>
          <w:p w14:paraId="36CE6E2E" w14:textId="77777777" w:rsidR="00461277" w:rsidRDefault="00000000">
            <w:r>
              <w:rPr>
                <w:b/>
                <w:sz w:val="17"/>
              </w:rPr>
              <w:t>Variable</w:t>
            </w:r>
          </w:p>
        </w:tc>
        <w:tc>
          <w:tcPr>
            <w:tcW w:w="1296" w:type="dxa"/>
            <w:vAlign w:val="center"/>
          </w:tcPr>
          <w:p w14:paraId="28659D06" w14:textId="77777777" w:rsidR="00461277" w:rsidRDefault="00000000">
            <w:r>
              <w:rPr>
                <w:b/>
                <w:sz w:val="17"/>
              </w:rPr>
              <w:t>Symbol</w:t>
            </w:r>
          </w:p>
        </w:tc>
        <w:tc>
          <w:tcPr>
            <w:tcW w:w="2880" w:type="dxa"/>
            <w:vAlign w:val="center"/>
          </w:tcPr>
          <w:p w14:paraId="5D45BF80" w14:textId="77777777" w:rsidR="00461277" w:rsidRDefault="00000000">
            <w:r>
              <w:rPr>
                <w:b/>
                <w:sz w:val="17"/>
              </w:rPr>
              <w:t>Description</w:t>
            </w:r>
          </w:p>
        </w:tc>
        <w:tc>
          <w:tcPr>
            <w:tcW w:w="2160" w:type="dxa"/>
            <w:vAlign w:val="center"/>
          </w:tcPr>
          <w:p w14:paraId="57D086E9" w14:textId="77777777" w:rsidR="00461277" w:rsidRDefault="00000000">
            <w:r>
              <w:rPr>
                <w:b/>
                <w:sz w:val="17"/>
              </w:rPr>
              <w:t>Source</w:t>
            </w:r>
          </w:p>
        </w:tc>
        <w:tc>
          <w:tcPr>
            <w:tcW w:w="1152" w:type="dxa"/>
            <w:vAlign w:val="center"/>
          </w:tcPr>
          <w:p w14:paraId="75D48AAF" w14:textId="77777777" w:rsidR="00461277" w:rsidRDefault="00000000">
            <w:r>
              <w:rPr>
                <w:b/>
                <w:sz w:val="17"/>
              </w:rPr>
              <w:t>Frequency</w:t>
            </w:r>
          </w:p>
        </w:tc>
      </w:tr>
      <w:tr w:rsidR="00461277" w14:paraId="31801E04" w14:textId="77777777">
        <w:trPr>
          <w:jc w:val="center"/>
        </w:trPr>
        <w:tc>
          <w:tcPr>
            <w:tcW w:w="2016" w:type="dxa"/>
            <w:vAlign w:val="center"/>
          </w:tcPr>
          <w:p w14:paraId="2B8396FE" w14:textId="77777777" w:rsidR="00461277" w:rsidRDefault="00000000">
            <w:r>
              <w:rPr>
                <w:sz w:val="17"/>
              </w:rPr>
              <w:t>Brent oil price</w:t>
            </w:r>
          </w:p>
        </w:tc>
        <w:tc>
          <w:tcPr>
            <w:tcW w:w="1296" w:type="dxa"/>
            <w:vAlign w:val="center"/>
          </w:tcPr>
          <w:p w14:paraId="72446975" w14:textId="77777777" w:rsidR="00461277" w:rsidRDefault="00000000">
            <w:r>
              <w:rPr>
                <w:sz w:val="17"/>
              </w:rPr>
              <w:t>BRENT</w:t>
            </w:r>
          </w:p>
        </w:tc>
        <w:tc>
          <w:tcPr>
            <w:tcW w:w="2880" w:type="dxa"/>
            <w:vAlign w:val="center"/>
          </w:tcPr>
          <w:p w14:paraId="458EAFE1" w14:textId="77777777" w:rsidR="00461277" w:rsidRDefault="00000000">
            <w:r>
              <w:rPr>
                <w:sz w:val="17"/>
              </w:rPr>
              <w:t>Brent crude oil price</w:t>
            </w:r>
          </w:p>
        </w:tc>
        <w:tc>
          <w:tcPr>
            <w:tcW w:w="2160" w:type="dxa"/>
            <w:vAlign w:val="center"/>
          </w:tcPr>
          <w:p w14:paraId="0DFE26AE" w14:textId="77777777" w:rsidR="00461277" w:rsidRDefault="00000000">
            <w:r>
              <w:rPr>
                <w:sz w:val="17"/>
              </w:rPr>
              <w:t>Investing.com / EIA / FRED</w:t>
            </w:r>
          </w:p>
        </w:tc>
        <w:tc>
          <w:tcPr>
            <w:tcW w:w="1152" w:type="dxa"/>
            <w:vAlign w:val="center"/>
          </w:tcPr>
          <w:p w14:paraId="6A1E8FD0" w14:textId="77777777" w:rsidR="00461277" w:rsidRDefault="00000000">
            <w:r>
              <w:rPr>
                <w:sz w:val="17"/>
              </w:rPr>
              <w:t>Monthly</w:t>
            </w:r>
          </w:p>
        </w:tc>
      </w:tr>
      <w:tr w:rsidR="00461277" w14:paraId="7759C7D7" w14:textId="77777777">
        <w:trPr>
          <w:jc w:val="center"/>
        </w:trPr>
        <w:tc>
          <w:tcPr>
            <w:tcW w:w="2016" w:type="dxa"/>
            <w:vAlign w:val="center"/>
          </w:tcPr>
          <w:p w14:paraId="1B0C582C" w14:textId="77777777" w:rsidR="00461277" w:rsidRDefault="00000000">
            <w:r>
              <w:rPr>
                <w:sz w:val="17"/>
              </w:rPr>
              <w:t>Global Geopolitical Risk Index</w:t>
            </w:r>
          </w:p>
        </w:tc>
        <w:tc>
          <w:tcPr>
            <w:tcW w:w="1296" w:type="dxa"/>
            <w:vAlign w:val="center"/>
          </w:tcPr>
          <w:p w14:paraId="439F45DC" w14:textId="77777777" w:rsidR="00461277" w:rsidRDefault="00000000">
            <w:r>
              <w:rPr>
                <w:sz w:val="17"/>
              </w:rPr>
              <w:t>GPR</w:t>
            </w:r>
          </w:p>
        </w:tc>
        <w:tc>
          <w:tcPr>
            <w:tcW w:w="2880" w:type="dxa"/>
            <w:vAlign w:val="center"/>
          </w:tcPr>
          <w:p w14:paraId="5047D366" w14:textId="77777777" w:rsidR="00461277" w:rsidRDefault="00000000">
            <w:r>
              <w:rPr>
                <w:sz w:val="17"/>
              </w:rPr>
              <w:t>News-based global geopolitical risk index</w:t>
            </w:r>
          </w:p>
        </w:tc>
        <w:tc>
          <w:tcPr>
            <w:tcW w:w="2160" w:type="dxa"/>
            <w:vAlign w:val="center"/>
          </w:tcPr>
          <w:p w14:paraId="6E85DF05" w14:textId="77777777" w:rsidR="00461277" w:rsidRDefault="00000000">
            <w:r>
              <w:rPr>
                <w:sz w:val="17"/>
              </w:rPr>
              <w:t>Caldara and Iacoviello</w:t>
            </w:r>
          </w:p>
        </w:tc>
        <w:tc>
          <w:tcPr>
            <w:tcW w:w="1152" w:type="dxa"/>
            <w:vAlign w:val="center"/>
          </w:tcPr>
          <w:p w14:paraId="20C9C365" w14:textId="77777777" w:rsidR="00461277" w:rsidRDefault="00000000">
            <w:r>
              <w:rPr>
                <w:sz w:val="17"/>
              </w:rPr>
              <w:t>Monthly</w:t>
            </w:r>
          </w:p>
        </w:tc>
      </w:tr>
      <w:tr w:rsidR="00461277" w14:paraId="147A186F" w14:textId="77777777">
        <w:trPr>
          <w:jc w:val="center"/>
        </w:trPr>
        <w:tc>
          <w:tcPr>
            <w:tcW w:w="2016" w:type="dxa"/>
            <w:vAlign w:val="center"/>
          </w:tcPr>
          <w:p w14:paraId="4A546E41" w14:textId="77777777" w:rsidR="00461277" w:rsidRDefault="00000000">
            <w:r>
              <w:rPr>
                <w:sz w:val="17"/>
              </w:rPr>
              <w:t>Russia–Ukraine War dummy</w:t>
            </w:r>
          </w:p>
        </w:tc>
        <w:tc>
          <w:tcPr>
            <w:tcW w:w="1296" w:type="dxa"/>
            <w:vAlign w:val="center"/>
          </w:tcPr>
          <w:p w14:paraId="241683B7" w14:textId="77777777" w:rsidR="00461277" w:rsidRDefault="00000000">
            <w:r>
              <w:rPr>
                <w:sz w:val="17"/>
              </w:rPr>
              <w:t>RU_D</w:t>
            </w:r>
          </w:p>
        </w:tc>
        <w:tc>
          <w:tcPr>
            <w:tcW w:w="2880" w:type="dxa"/>
            <w:vAlign w:val="center"/>
          </w:tcPr>
          <w:p w14:paraId="0EC7BDA1" w14:textId="77777777" w:rsidR="00461277" w:rsidRDefault="00000000">
            <w:r>
              <w:rPr>
                <w:sz w:val="17"/>
              </w:rPr>
              <w:t>Event dummy representing the Russia–Ukraine War period</w:t>
            </w:r>
          </w:p>
        </w:tc>
        <w:tc>
          <w:tcPr>
            <w:tcW w:w="2160" w:type="dxa"/>
            <w:vAlign w:val="center"/>
          </w:tcPr>
          <w:p w14:paraId="1FC27B2B" w14:textId="77777777" w:rsidR="00461277" w:rsidRDefault="00000000">
            <w:r>
              <w:rPr>
                <w:sz w:val="17"/>
              </w:rPr>
              <w:t>Author’s definition</w:t>
            </w:r>
          </w:p>
        </w:tc>
        <w:tc>
          <w:tcPr>
            <w:tcW w:w="1152" w:type="dxa"/>
            <w:vAlign w:val="center"/>
          </w:tcPr>
          <w:p w14:paraId="02FBE483" w14:textId="77777777" w:rsidR="00461277" w:rsidRDefault="00000000">
            <w:r>
              <w:rPr>
                <w:sz w:val="17"/>
              </w:rPr>
              <w:t>Monthly</w:t>
            </w:r>
          </w:p>
        </w:tc>
      </w:tr>
      <w:tr w:rsidR="00461277" w14:paraId="7420C8A8" w14:textId="77777777">
        <w:trPr>
          <w:jc w:val="center"/>
        </w:trPr>
        <w:tc>
          <w:tcPr>
            <w:tcW w:w="2016" w:type="dxa"/>
            <w:vAlign w:val="center"/>
          </w:tcPr>
          <w:p w14:paraId="2B081F90" w14:textId="77777777" w:rsidR="00461277" w:rsidRDefault="00000000">
            <w:r>
              <w:rPr>
                <w:sz w:val="17"/>
              </w:rPr>
              <w:t>Iran-related tension dummy</w:t>
            </w:r>
          </w:p>
        </w:tc>
        <w:tc>
          <w:tcPr>
            <w:tcW w:w="1296" w:type="dxa"/>
            <w:vAlign w:val="center"/>
          </w:tcPr>
          <w:p w14:paraId="71AF9B7F" w14:textId="77777777" w:rsidR="00461277" w:rsidRDefault="00000000">
            <w:r>
              <w:rPr>
                <w:sz w:val="17"/>
              </w:rPr>
              <w:t>IR_D</w:t>
            </w:r>
          </w:p>
        </w:tc>
        <w:tc>
          <w:tcPr>
            <w:tcW w:w="2880" w:type="dxa"/>
            <w:vAlign w:val="center"/>
          </w:tcPr>
          <w:p w14:paraId="78ED3C36" w14:textId="77777777" w:rsidR="00461277" w:rsidRDefault="00000000">
            <w:r>
              <w:rPr>
                <w:sz w:val="17"/>
              </w:rPr>
              <w:t>Event dummy representing the Iran–US–Israel tension period</w:t>
            </w:r>
          </w:p>
        </w:tc>
        <w:tc>
          <w:tcPr>
            <w:tcW w:w="2160" w:type="dxa"/>
            <w:vAlign w:val="center"/>
          </w:tcPr>
          <w:p w14:paraId="402BE52B" w14:textId="77777777" w:rsidR="00461277" w:rsidRDefault="00000000">
            <w:r>
              <w:rPr>
                <w:sz w:val="17"/>
              </w:rPr>
              <w:t>Author’s definition</w:t>
            </w:r>
          </w:p>
        </w:tc>
        <w:tc>
          <w:tcPr>
            <w:tcW w:w="1152" w:type="dxa"/>
            <w:vAlign w:val="center"/>
          </w:tcPr>
          <w:p w14:paraId="6F037EB5" w14:textId="77777777" w:rsidR="00461277" w:rsidRDefault="00000000">
            <w:r>
              <w:rPr>
                <w:sz w:val="17"/>
              </w:rPr>
              <w:t>Monthly</w:t>
            </w:r>
          </w:p>
        </w:tc>
      </w:tr>
      <w:tr w:rsidR="00461277" w14:paraId="7C18E825" w14:textId="77777777">
        <w:trPr>
          <w:jc w:val="center"/>
        </w:trPr>
        <w:tc>
          <w:tcPr>
            <w:tcW w:w="2016" w:type="dxa"/>
            <w:vAlign w:val="center"/>
          </w:tcPr>
          <w:p w14:paraId="28BECC3E" w14:textId="77777777" w:rsidR="00461277" w:rsidRDefault="00000000">
            <w:r>
              <w:rPr>
                <w:sz w:val="17"/>
              </w:rPr>
              <w:lastRenderedPageBreak/>
              <w:t>Crude Oil Volatility Index</w:t>
            </w:r>
          </w:p>
        </w:tc>
        <w:tc>
          <w:tcPr>
            <w:tcW w:w="1296" w:type="dxa"/>
            <w:vAlign w:val="center"/>
          </w:tcPr>
          <w:p w14:paraId="3AAE4010" w14:textId="77777777" w:rsidR="00461277" w:rsidRDefault="00000000">
            <w:r>
              <w:rPr>
                <w:sz w:val="17"/>
              </w:rPr>
              <w:t>OVX</w:t>
            </w:r>
          </w:p>
        </w:tc>
        <w:tc>
          <w:tcPr>
            <w:tcW w:w="2880" w:type="dxa"/>
            <w:vAlign w:val="center"/>
          </w:tcPr>
          <w:p w14:paraId="49DC81F9" w14:textId="77777777" w:rsidR="00461277" w:rsidRDefault="00000000">
            <w:r>
              <w:rPr>
                <w:sz w:val="17"/>
              </w:rPr>
              <w:t>Indicator of oil market volatility and risk perception</w:t>
            </w:r>
          </w:p>
        </w:tc>
        <w:tc>
          <w:tcPr>
            <w:tcW w:w="2160" w:type="dxa"/>
            <w:vAlign w:val="center"/>
          </w:tcPr>
          <w:p w14:paraId="2B731755" w14:textId="77777777" w:rsidR="00461277" w:rsidRDefault="00000000">
            <w:r>
              <w:rPr>
                <w:sz w:val="17"/>
              </w:rPr>
              <w:t>CBOE / FRED</w:t>
            </w:r>
          </w:p>
        </w:tc>
        <w:tc>
          <w:tcPr>
            <w:tcW w:w="1152" w:type="dxa"/>
            <w:vAlign w:val="center"/>
          </w:tcPr>
          <w:p w14:paraId="7952E49A" w14:textId="77777777" w:rsidR="00461277" w:rsidRDefault="00000000">
            <w:r>
              <w:rPr>
                <w:sz w:val="17"/>
              </w:rPr>
              <w:t>Monthly</w:t>
            </w:r>
          </w:p>
        </w:tc>
      </w:tr>
      <w:tr w:rsidR="00461277" w14:paraId="39A5AE3C" w14:textId="77777777">
        <w:trPr>
          <w:jc w:val="center"/>
        </w:trPr>
        <w:tc>
          <w:tcPr>
            <w:tcW w:w="2016" w:type="dxa"/>
            <w:vAlign w:val="center"/>
          </w:tcPr>
          <w:p w14:paraId="628ECB8D" w14:textId="77777777" w:rsidR="00461277" w:rsidRDefault="00000000">
            <w:r>
              <w:rPr>
                <w:sz w:val="17"/>
              </w:rPr>
              <w:t>Trade Policy Uncertainty Index</w:t>
            </w:r>
          </w:p>
        </w:tc>
        <w:tc>
          <w:tcPr>
            <w:tcW w:w="1296" w:type="dxa"/>
            <w:vAlign w:val="center"/>
          </w:tcPr>
          <w:p w14:paraId="1B23C0A8" w14:textId="77777777" w:rsidR="00461277" w:rsidRDefault="00000000">
            <w:r>
              <w:rPr>
                <w:sz w:val="17"/>
              </w:rPr>
              <w:t>EPUTRADE</w:t>
            </w:r>
          </w:p>
        </w:tc>
        <w:tc>
          <w:tcPr>
            <w:tcW w:w="2880" w:type="dxa"/>
            <w:vAlign w:val="center"/>
          </w:tcPr>
          <w:p w14:paraId="45A2BE1B" w14:textId="77777777" w:rsidR="00461277" w:rsidRDefault="00000000">
            <w:r>
              <w:rPr>
                <w:sz w:val="17"/>
              </w:rPr>
              <w:t>Index representing trade policy uncertainty</w:t>
            </w:r>
          </w:p>
        </w:tc>
        <w:tc>
          <w:tcPr>
            <w:tcW w:w="2160" w:type="dxa"/>
            <w:vAlign w:val="center"/>
          </w:tcPr>
          <w:p w14:paraId="0F63D9D1" w14:textId="77777777" w:rsidR="00461277" w:rsidRDefault="00000000">
            <w:r>
              <w:rPr>
                <w:sz w:val="17"/>
              </w:rPr>
              <w:t>FRED</w:t>
            </w:r>
          </w:p>
        </w:tc>
        <w:tc>
          <w:tcPr>
            <w:tcW w:w="1152" w:type="dxa"/>
            <w:vAlign w:val="center"/>
          </w:tcPr>
          <w:p w14:paraId="04A7EFC3" w14:textId="77777777" w:rsidR="00461277" w:rsidRDefault="00000000">
            <w:r>
              <w:rPr>
                <w:sz w:val="17"/>
              </w:rPr>
              <w:t>Monthly</w:t>
            </w:r>
          </w:p>
        </w:tc>
      </w:tr>
    </w:tbl>
    <w:p w14:paraId="12EF4167" w14:textId="77777777" w:rsidR="00461277" w:rsidRPr="003C190B" w:rsidRDefault="00000000">
      <w:pPr>
        <w:pStyle w:val="Balk2"/>
        <w:spacing w:before="120" w:after="80"/>
        <w:rPr>
          <w:szCs w:val="24"/>
        </w:rPr>
      </w:pPr>
      <w:r w:rsidRPr="003C190B">
        <w:rPr>
          <w:rFonts w:ascii="Times New Roman" w:eastAsia="Times New Roman" w:hAnsi="Times New Roman"/>
          <w:b w:val="0"/>
          <w:szCs w:val="24"/>
        </w:rPr>
        <w:t>3.2. Variable construction</w:t>
      </w:r>
    </w:p>
    <w:p w14:paraId="7FACD1F3" w14:textId="77777777" w:rsidR="00461277" w:rsidRPr="003C190B" w:rsidRDefault="00000000" w:rsidP="003C190B">
      <w:pPr>
        <w:spacing w:after="120" w:line="360" w:lineRule="auto"/>
        <w:jc w:val="both"/>
        <w:rPr>
          <w:sz w:val="24"/>
          <w:szCs w:val="24"/>
        </w:rPr>
      </w:pPr>
      <w:r w:rsidRPr="003C190B">
        <w:rPr>
          <w:sz w:val="24"/>
          <w:szCs w:val="24"/>
        </w:rPr>
        <w:t>BRENT, GPR, OVX, and EPUTRADE are used in logarithmic form. Following the NARDL approach, the logarithmic GPR series is decomposed into positive and negative partial sums. The event-specific interaction terms are then constructed by multiplying these GPR components with the Russia–Ukraine and Iran event dummies:</w:t>
      </w:r>
    </w:p>
    <w:p w14:paraId="23FF46B3" w14:textId="77777777" w:rsidR="00461277" w:rsidRDefault="00000000">
      <w:pPr>
        <w:spacing w:after="120"/>
        <w:jc w:val="center"/>
      </w:pPr>
      <w:r>
        <w:rPr>
          <w:sz w:val="21"/>
        </w:rPr>
        <w:t xml:space="preserve">GPR_POS(t) = </w:t>
      </w:r>
      <w:proofErr w:type="gramStart"/>
      <w:r>
        <w:rPr>
          <w:sz w:val="21"/>
        </w:rPr>
        <w:t>sum[</w:t>
      </w:r>
      <w:proofErr w:type="gramEnd"/>
      <w:r>
        <w:rPr>
          <w:sz w:val="21"/>
        </w:rPr>
        <w:t xml:space="preserve">j = </w:t>
      </w:r>
      <w:proofErr w:type="gramStart"/>
      <w:r>
        <w:rPr>
          <w:sz w:val="21"/>
        </w:rPr>
        <w:t>1,...</w:t>
      </w:r>
      <w:proofErr w:type="gramEnd"/>
      <w:r>
        <w:rPr>
          <w:sz w:val="21"/>
        </w:rPr>
        <w:t>,t] max(ΔlnGPR(j), 0)</w:t>
      </w:r>
    </w:p>
    <w:p w14:paraId="1347F867" w14:textId="77777777" w:rsidR="00461277" w:rsidRDefault="00000000">
      <w:pPr>
        <w:spacing w:after="120"/>
        <w:jc w:val="center"/>
      </w:pPr>
      <w:r>
        <w:rPr>
          <w:sz w:val="21"/>
        </w:rPr>
        <w:t>GPR_NEG(t) = sum[j = 1,...,t] min(ΔlnGPR(j), 0)</w:t>
      </w:r>
    </w:p>
    <w:p w14:paraId="4B1143CF" w14:textId="77777777" w:rsidR="00461277" w:rsidRDefault="00000000">
      <w:pPr>
        <w:spacing w:after="120"/>
        <w:jc w:val="center"/>
      </w:pPr>
      <w:r>
        <w:rPr>
          <w:sz w:val="21"/>
        </w:rPr>
        <w:t>GPR_POS_RU(t) = GPR_POS(t) × RU_D(t)</w:t>
      </w:r>
    </w:p>
    <w:p w14:paraId="70634579" w14:textId="77777777" w:rsidR="00461277" w:rsidRDefault="00000000">
      <w:pPr>
        <w:spacing w:after="120"/>
        <w:jc w:val="center"/>
      </w:pPr>
      <w:r>
        <w:rPr>
          <w:sz w:val="21"/>
        </w:rPr>
        <w:t>GPR_NEG_RU(t) = GPR_NEG(t) × RU_D(t)</w:t>
      </w:r>
    </w:p>
    <w:p w14:paraId="2B6D14AA" w14:textId="77777777" w:rsidR="00461277" w:rsidRDefault="00000000">
      <w:pPr>
        <w:spacing w:after="120"/>
        <w:jc w:val="center"/>
      </w:pPr>
      <w:r>
        <w:rPr>
          <w:sz w:val="21"/>
        </w:rPr>
        <w:t>GPR_POS_IR(t) = GPR_POS(t) × IR_D(t)</w:t>
      </w:r>
    </w:p>
    <w:p w14:paraId="12BE9235" w14:textId="77777777" w:rsidR="00461277" w:rsidRDefault="00000000">
      <w:pPr>
        <w:spacing w:after="120"/>
        <w:jc w:val="center"/>
      </w:pPr>
      <w:r>
        <w:rPr>
          <w:sz w:val="21"/>
        </w:rPr>
        <w:t>GPR_NEG_IR(t) = GPR_NEG(t) × IR_D(t)</w:t>
      </w:r>
    </w:p>
    <w:p w14:paraId="33FBA391" w14:textId="77777777" w:rsidR="00461277" w:rsidRPr="003C190B" w:rsidRDefault="00000000" w:rsidP="003C190B">
      <w:pPr>
        <w:spacing w:after="120" w:line="360" w:lineRule="auto"/>
        <w:jc w:val="both"/>
        <w:rPr>
          <w:sz w:val="24"/>
          <w:szCs w:val="24"/>
        </w:rPr>
      </w:pPr>
      <w:r w:rsidRPr="003C190B">
        <w:rPr>
          <w:sz w:val="24"/>
          <w:szCs w:val="24"/>
        </w:rPr>
        <w:t>These interaction terms are included to test whether the effect of geopolitical risk on Brent oil prices changes across event contexts. OVX and EPUTRADE are used in robustness analyses to assess whether the main findings are preserved after controlling for oil market volatility and trade policy uncertainty.</w:t>
      </w:r>
    </w:p>
    <w:p w14:paraId="57BEC0E0" w14:textId="77777777" w:rsidR="00461277" w:rsidRPr="003C190B" w:rsidRDefault="00000000">
      <w:pPr>
        <w:pStyle w:val="Balk2"/>
        <w:spacing w:before="120" w:after="80"/>
        <w:rPr>
          <w:szCs w:val="24"/>
        </w:rPr>
      </w:pPr>
      <w:r w:rsidRPr="003C190B">
        <w:rPr>
          <w:rFonts w:ascii="Times New Roman" w:eastAsia="Times New Roman" w:hAnsi="Times New Roman"/>
          <w:b w:val="0"/>
          <w:szCs w:val="24"/>
        </w:rPr>
        <w:t>3.3. Event-contextual NARDL specification</w:t>
      </w:r>
    </w:p>
    <w:p w14:paraId="4BFA2AFD" w14:textId="77777777" w:rsidR="00461277" w:rsidRPr="003C190B" w:rsidRDefault="00000000">
      <w:pPr>
        <w:spacing w:after="120"/>
        <w:jc w:val="both"/>
        <w:rPr>
          <w:sz w:val="24"/>
          <w:szCs w:val="24"/>
        </w:rPr>
      </w:pPr>
      <w:r w:rsidRPr="003C190B">
        <w:rPr>
          <w:sz w:val="24"/>
          <w:szCs w:val="24"/>
        </w:rPr>
        <w:t>The event-contextual long-run relationship is defined through the following functional form:</w:t>
      </w:r>
    </w:p>
    <w:p w14:paraId="57500F0A" w14:textId="77777777" w:rsidR="00461277" w:rsidRDefault="00000000">
      <w:pPr>
        <w:spacing w:after="120"/>
        <w:jc w:val="center"/>
      </w:pPr>
      <w:r>
        <w:rPr>
          <w:sz w:val="21"/>
        </w:rPr>
        <w:t>lnBRENT(t) = f[GPR_POS(t), GPR_NEG(t), GPR_POS_RU(t), GPR_NEG_RU(t), GPR_POS_IR(t), GPR_NEG_IR(t)]</w:t>
      </w:r>
    </w:p>
    <w:p w14:paraId="355DD863" w14:textId="77777777" w:rsidR="00461277" w:rsidRPr="003C190B" w:rsidRDefault="00000000" w:rsidP="003C190B">
      <w:pPr>
        <w:spacing w:after="120" w:line="360" w:lineRule="auto"/>
        <w:jc w:val="both"/>
        <w:rPr>
          <w:sz w:val="24"/>
          <w:szCs w:val="24"/>
        </w:rPr>
      </w:pPr>
      <w:r w:rsidRPr="003C190B">
        <w:rPr>
          <w:sz w:val="24"/>
          <w:szCs w:val="24"/>
        </w:rPr>
        <w:t>Based on this functional structure, the NARDL model is estimated in an error-correction form that jointly captures short-run adjustment dynamics and the long-run equilibrium relationship:</w:t>
      </w:r>
    </w:p>
    <w:p w14:paraId="6C431B10" w14:textId="77777777" w:rsidR="00461277" w:rsidRDefault="00000000">
      <w:pPr>
        <w:spacing w:after="120"/>
        <w:jc w:val="center"/>
      </w:pPr>
      <w:r>
        <w:rPr>
          <w:sz w:val="21"/>
        </w:rPr>
        <w:t>ΔlnBRENT(t) = α0 + λECM(t−1) + Σβi ΔlnBRENT(t−i) + Σγi ΔGPR_POS(t−i) + Σδi ΔGPR_NEG(t−i)</w:t>
      </w:r>
    </w:p>
    <w:p w14:paraId="6572317E" w14:textId="77777777" w:rsidR="00461277" w:rsidRDefault="00000000">
      <w:pPr>
        <w:spacing w:after="120"/>
        <w:jc w:val="center"/>
      </w:pPr>
      <w:r>
        <w:rPr>
          <w:sz w:val="21"/>
        </w:rPr>
        <w:t>+ Σθi ΔGPR_POS_RU(t−i) + Σφi ΔGPR_NEG_RU(t−i) + Σμi ΔGPR_POS_IR(t−i) + Σηi ΔGPR_NEG_IR(t−i) + ε(t)</w:t>
      </w:r>
    </w:p>
    <w:p w14:paraId="68E19233" w14:textId="5B738BCE" w:rsidR="00461277" w:rsidRPr="003C190B" w:rsidRDefault="00000000" w:rsidP="003C190B">
      <w:pPr>
        <w:spacing w:after="120" w:line="360" w:lineRule="auto"/>
        <w:jc w:val="both"/>
        <w:rPr>
          <w:sz w:val="24"/>
          <w:szCs w:val="24"/>
        </w:rPr>
      </w:pPr>
      <w:r w:rsidRPr="003C190B">
        <w:rPr>
          <w:sz w:val="24"/>
          <w:szCs w:val="24"/>
        </w:rPr>
        <w:t>where ECM_{t−1} denotes the lagged long-run equilibrium error, λ represents the speed of adjustment, and ε_t is the error term. A negative and statistically significant λ indicates that short-run deviations are corrected toward the long-run equilibrium. Differences between the Russia–Ukraine and Iran interaction coefficients are evaluated using Wald tests.</w:t>
      </w:r>
      <w:r w:rsidR="00A15BE4" w:rsidRPr="003C190B">
        <w:rPr>
          <w:sz w:val="24"/>
          <w:szCs w:val="24"/>
        </w:rPr>
        <w:t xml:space="preserve"> </w:t>
      </w:r>
    </w:p>
    <w:p w14:paraId="30B2B028" w14:textId="77777777" w:rsidR="00461277" w:rsidRPr="003C190B" w:rsidRDefault="00000000">
      <w:pPr>
        <w:pStyle w:val="Balk1"/>
        <w:spacing w:before="160" w:after="80"/>
        <w:rPr>
          <w:sz w:val="24"/>
          <w:szCs w:val="24"/>
        </w:rPr>
      </w:pPr>
      <w:r w:rsidRPr="003C190B">
        <w:rPr>
          <w:rFonts w:ascii="Times New Roman" w:eastAsia="Times New Roman" w:hAnsi="Times New Roman"/>
          <w:b w:val="0"/>
          <w:sz w:val="24"/>
          <w:szCs w:val="24"/>
        </w:rPr>
        <w:t>4. Empirical Results</w:t>
      </w:r>
    </w:p>
    <w:p w14:paraId="521CAB26" w14:textId="77777777" w:rsidR="00461277" w:rsidRPr="003C190B" w:rsidRDefault="00000000">
      <w:pPr>
        <w:pStyle w:val="Balk2"/>
        <w:spacing w:before="120" w:after="80"/>
        <w:rPr>
          <w:szCs w:val="24"/>
        </w:rPr>
      </w:pPr>
      <w:r w:rsidRPr="003C190B">
        <w:rPr>
          <w:rFonts w:ascii="Times New Roman" w:eastAsia="Times New Roman" w:hAnsi="Times New Roman"/>
          <w:b w:val="0"/>
          <w:szCs w:val="24"/>
        </w:rPr>
        <w:t>4.1. Unit root tests</w:t>
      </w:r>
    </w:p>
    <w:p w14:paraId="30DEA89F" w14:textId="77777777" w:rsidR="00461277" w:rsidRPr="003C190B" w:rsidRDefault="00000000" w:rsidP="003C190B">
      <w:pPr>
        <w:spacing w:after="120" w:line="360" w:lineRule="auto"/>
        <w:jc w:val="both"/>
        <w:rPr>
          <w:sz w:val="24"/>
          <w:szCs w:val="24"/>
        </w:rPr>
      </w:pPr>
      <w:r w:rsidRPr="003C190B">
        <w:rPr>
          <w:sz w:val="24"/>
          <w:szCs w:val="24"/>
        </w:rPr>
        <w:t>Before model estimation, the stationarity properties of the variables are examined using ADF, Phillips–Perron, KPSS, and Zivot–Andrews unit root tests. The results are reported in Table 2.</w:t>
      </w:r>
    </w:p>
    <w:p w14:paraId="68F7B11A" w14:textId="77777777" w:rsidR="00461277" w:rsidRDefault="00000000">
      <w:pPr>
        <w:spacing w:after="60"/>
        <w:jc w:val="both"/>
      </w:pPr>
      <w:r>
        <w:rPr>
          <w:b/>
        </w:rPr>
        <w:lastRenderedPageBreak/>
        <w:t>Table 2. Results of ADF, PP, KPSS and Zivot–Andrews unit root tests</w:t>
      </w:r>
    </w:p>
    <w:tbl>
      <w:tblPr>
        <w:tblStyle w:val="TabloKlavuzu"/>
        <w:tblW w:w="0" w:type="auto"/>
        <w:jc w:val="center"/>
        <w:tblLook w:val="04A0" w:firstRow="1" w:lastRow="0" w:firstColumn="1" w:lastColumn="0" w:noHBand="0" w:noVBand="1"/>
      </w:tblPr>
      <w:tblGrid>
        <w:gridCol w:w="1872"/>
        <w:gridCol w:w="1152"/>
        <w:gridCol w:w="1152"/>
        <w:gridCol w:w="1152"/>
        <w:gridCol w:w="1584"/>
        <w:gridCol w:w="1440"/>
        <w:gridCol w:w="1440"/>
      </w:tblGrid>
      <w:tr w:rsidR="00461277" w14:paraId="7BF2C5DC" w14:textId="77777777">
        <w:trPr>
          <w:jc w:val="center"/>
        </w:trPr>
        <w:tc>
          <w:tcPr>
            <w:tcW w:w="1872" w:type="dxa"/>
            <w:vAlign w:val="center"/>
          </w:tcPr>
          <w:p w14:paraId="01522E61" w14:textId="77777777" w:rsidR="00461277" w:rsidRDefault="00000000">
            <w:r>
              <w:rPr>
                <w:b/>
                <w:sz w:val="16"/>
              </w:rPr>
              <w:t>Variable</w:t>
            </w:r>
          </w:p>
        </w:tc>
        <w:tc>
          <w:tcPr>
            <w:tcW w:w="1152" w:type="dxa"/>
            <w:vAlign w:val="center"/>
          </w:tcPr>
          <w:p w14:paraId="48CA0359" w14:textId="77777777" w:rsidR="00461277" w:rsidRDefault="00000000">
            <w:r>
              <w:rPr>
                <w:b/>
                <w:sz w:val="16"/>
              </w:rPr>
              <w:t>ADF</w:t>
            </w:r>
          </w:p>
        </w:tc>
        <w:tc>
          <w:tcPr>
            <w:tcW w:w="1152" w:type="dxa"/>
            <w:vAlign w:val="center"/>
          </w:tcPr>
          <w:p w14:paraId="08EF4B72" w14:textId="77777777" w:rsidR="00461277" w:rsidRDefault="00000000">
            <w:r>
              <w:rPr>
                <w:b/>
                <w:sz w:val="16"/>
              </w:rPr>
              <w:t>PP</w:t>
            </w:r>
          </w:p>
        </w:tc>
        <w:tc>
          <w:tcPr>
            <w:tcW w:w="1152" w:type="dxa"/>
            <w:vAlign w:val="center"/>
          </w:tcPr>
          <w:p w14:paraId="5F2E18BF" w14:textId="77777777" w:rsidR="00461277" w:rsidRDefault="00000000">
            <w:r>
              <w:rPr>
                <w:b/>
                <w:sz w:val="16"/>
              </w:rPr>
              <w:t>KPSS</w:t>
            </w:r>
          </w:p>
        </w:tc>
        <w:tc>
          <w:tcPr>
            <w:tcW w:w="1584" w:type="dxa"/>
            <w:vAlign w:val="center"/>
          </w:tcPr>
          <w:p w14:paraId="06784A68" w14:textId="77777777" w:rsidR="00461277" w:rsidRDefault="00000000">
            <w:r>
              <w:rPr>
                <w:b/>
                <w:sz w:val="16"/>
              </w:rPr>
              <w:t>Zivot–Andrews</w:t>
            </w:r>
          </w:p>
        </w:tc>
        <w:tc>
          <w:tcPr>
            <w:tcW w:w="1440" w:type="dxa"/>
            <w:vAlign w:val="center"/>
          </w:tcPr>
          <w:p w14:paraId="4FCB244A" w14:textId="77777777" w:rsidR="00461277" w:rsidRDefault="00000000">
            <w:r>
              <w:rPr>
                <w:b/>
                <w:sz w:val="16"/>
              </w:rPr>
              <w:t>Break observation</w:t>
            </w:r>
          </w:p>
        </w:tc>
        <w:tc>
          <w:tcPr>
            <w:tcW w:w="1440" w:type="dxa"/>
            <w:vAlign w:val="center"/>
          </w:tcPr>
          <w:p w14:paraId="3F3C00AD" w14:textId="77777777" w:rsidR="00461277" w:rsidRDefault="00000000">
            <w:r>
              <w:rPr>
                <w:b/>
                <w:sz w:val="16"/>
              </w:rPr>
              <w:t>Decision</w:t>
            </w:r>
          </w:p>
        </w:tc>
      </w:tr>
      <w:tr w:rsidR="00461277" w14:paraId="0BA5197E" w14:textId="77777777">
        <w:trPr>
          <w:jc w:val="center"/>
        </w:trPr>
        <w:tc>
          <w:tcPr>
            <w:tcW w:w="1872" w:type="dxa"/>
            <w:vAlign w:val="center"/>
          </w:tcPr>
          <w:p w14:paraId="2B9D8109" w14:textId="77777777" w:rsidR="00461277" w:rsidRDefault="00000000">
            <w:r>
              <w:rPr>
                <w:sz w:val="16"/>
              </w:rPr>
              <w:t>LN_BRENT</w:t>
            </w:r>
          </w:p>
        </w:tc>
        <w:tc>
          <w:tcPr>
            <w:tcW w:w="1152" w:type="dxa"/>
            <w:vAlign w:val="center"/>
          </w:tcPr>
          <w:p w14:paraId="546BF057" w14:textId="77777777" w:rsidR="00461277" w:rsidRDefault="00000000">
            <w:r>
              <w:rPr>
                <w:sz w:val="16"/>
              </w:rPr>
              <w:t>-2.875*</w:t>
            </w:r>
          </w:p>
        </w:tc>
        <w:tc>
          <w:tcPr>
            <w:tcW w:w="1152" w:type="dxa"/>
            <w:vAlign w:val="center"/>
          </w:tcPr>
          <w:p w14:paraId="4BF00AAD" w14:textId="77777777" w:rsidR="00461277" w:rsidRDefault="00000000">
            <w:r>
              <w:rPr>
                <w:sz w:val="16"/>
              </w:rPr>
              <w:t>-2.662</w:t>
            </w:r>
          </w:p>
        </w:tc>
        <w:tc>
          <w:tcPr>
            <w:tcW w:w="1152" w:type="dxa"/>
            <w:vAlign w:val="center"/>
          </w:tcPr>
          <w:p w14:paraId="52D67D37" w14:textId="77777777" w:rsidR="00461277" w:rsidRDefault="00000000">
            <w:r>
              <w:rPr>
                <w:sz w:val="16"/>
              </w:rPr>
              <w:t>0.3264</w:t>
            </w:r>
          </w:p>
        </w:tc>
        <w:tc>
          <w:tcPr>
            <w:tcW w:w="1584" w:type="dxa"/>
            <w:vAlign w:val="center"/>
          </w:tcPr>
          <w:p w14:paraId="098E962D" w14:textId="77777777" w:rsidR="00461277" w:rsidRDefault="00000000">
            <w:r>
              <w:rPr>
                <w:sz w:val="16"/>
              </w:rPr>
              <w:t>-4.647</w:t>
            </w:r>
          </w:p>
        </w:tc>
        <w:tc>
          <w:tcPr>
            <w:tcW w:w="1440" w:type="dxa"/>
            <w:vAlign w:val="center"/>
          </w:tcPr>
          <w:p w14:paraId="3E24051A" w14:textId="77777777" w:rsidR="00461277" w:rsidRDefault="00000000">
            <w:r>
              <w:rPr>
                <w:sz w:val="16"/>
              </w:rPr>
              <w:t>87</w:t>
            </w:r>
          </w:p>
        </w:tc>
        <w:tc>
          <w:tcPr>
            <w:tcW w:w="1440" w:type="dxa"/>
            <w:vAlign w:val="center"/>
          </w:tcPr>
          <w:p w14:paraId="06E49E99" w14:textId="77777777" w:rsidR="00461277" w:rsidRDefault="00000000">
            <w:r>
              <w:rPr>
                <w:sz w:val="16"/>
              </w:rPr>
              <w:t>I(1)</w:t>
            </w:r>
          </w:p>
        </w:tc>
      </w:tr>
      <w:tr w:rsidR="00461277" w14:paraId="2D44AF20" w14:textId="77777777">
        <w:trPr>
          <w:jc w:val="center"/>
        </w:trPr>
        <w:tc>
          <w:tcPr>
            <w:tcW w:w="1872" w:type="dxa"/>
            <w:vAlign w:val="center"/>
          </w:tcPr>
          <w:p w14:paraId="57CFBC4E" w14:textId="77777777" w:rsidR="00461277" w:rsidRDefault="00000000">
            <w:r>
              <w:rPr>
                <w:sz w:val="16"/>
              </w:rPr>
              <w:t>LN_GPR</w:t>
            </w:r>
          </w:p>
        </w:tc>
        <w:tc>
          <w:tcPr>
            <w:tcW w:w="1152" w:type="dxa"/>
            <w:vAlign w:val="center"/>
          </w:tcPr>
          <w:p w14:paraId="5777EBC1" w14:textId="77777777" w:rsidR="00461277" w:rsidRDefault="00000000">
            <w:r>
              <w:rPr>
                <w:sz w:val="16"/>
              </w:rPr>
              <w:t>-3.760**</w:t>
            </w:r>
          </w:p>
        </w:tc>
        <w:tc>
          <w:tcPr>
            <w:tcW w:w="1152" w:type="dxa"/>
            <w:vAlign w:val="center"/>
          </w:tcPr>
          <w:p w14:paraId="2E9C28C6" w14:textId="77777777" w:rsidR="00461277" w:rsidRDefault="00000000">
            <w:r>
              <w:rPr>
                <w:sz w:val="16"/>
              </w:rPr>
              <w:t>-5.177***</w:t>
            </w:r>
          </w:p>
        </w:tc>
        <w:tc>
          <w:tcPr>
            <w:tcW w:w="1152" w:type="dxa"/>
            <w:vAlign w:val="center"/>
          </w:tcPr>
          <w:p w14:paraId="37D50FB8" w14:textId="77777777" w:rsidR="00461277" w:rsidRDefault="00000000">
            <w:r>
              <w:rPr>
                <w:sz w:val="16"/>
              </w:rPr>
              <w:t>0.6362</w:t>
            </w:r>
          </w:p>
        </w:tc>
        <w:tc>
          <w:tcPr>
            <w:tcW w:w="1584" w:type="dxa"/>
            <w:vAlign w:val="center"/>
          </w:tcPr>
          <w:p w14:paraId="03C8CCE1" w14:textId="77777777" w:rsidR="00461277" w:rsidRDefault="00000000">
            <w:r>
              <w:rPr>
                <w:sz w:val="16"/>
              </w:rPr>
              <w:t>-6.476***</w:t>
            </w:r>
          </w:p>
        </w:tc>
        <w:tc>
          <w:tcPr>
            <w:tcW w:w="1440" w:type="dxa"/>
            <w:vAlign w:val="center"/>
          </w:tcPr>
          <w:p w14:paraId="49688EB5" w14:textId="77777777" w:rsidR="00461277" w:rsidRDefault="00000000">
            <w:r>
              <w:rPr>
                <w:sz w:val="16"/>
              </w:rPr>
              <w:t>174</w:t>
            </w:r>
          </w:p>
        </w:tc>
        <w:tc>
          <w:tcPr>
            <w:tcW w:w="1440" w:type="dxa"/>
            <w:vAlign w:val="center"/>
          </w:tcPr>
          <w:p w14:paraId="4B378DB8" w14:textId="77777777" w:rsidR="00461277" w:rsidRDefault="00000000">
            <w:r>
              <w:rPr>
                <w:sz w:val="16"/>
              </w:rPr>
              <w:t>I(0), with break</w:t>
            </w:r>
          </w:p>
        </w:tc>
      </w:tr>
      <w:tr w:rsidR="00461277" w14:paraId="1A92BA03" w14:textId="77777777">
        <w:trPr>
          <w:jc w:val="center"/>
        </w:trPr>
        <w:tc>
          <w:tcPr>
            <w:tcW w:w="1872" w:type="dxa"/>
            <w:vAlign w:val="center"/>
          </w:tcPr>
          <w:p w14:paraId="3EFF2BF4" w14:textId="77777777" w:rsidR="00461277" w:rsidRDefault="00000000">
            <w:r>
              <w:rPr>
                <w:sz w:val="16"/>
              </w:rPr>
              <w:t>LN_EPUTRADE</w:t>
            </w:r>
          </w:p>
        </w:tc>
        <w:tc>
          <w:tcPr>
            <w:tcW w:w="1152" w:type="dxa"/>
            <w:vAlign w:val="center"/>
          </w:tcPr>
          <w:p w14:paraId="5E45F480" w14:textId="77777777" w:rsidR="00461277" w:rsidRDefault="00000000">
            <w:r>
              <w:rPr>
                <w:sz w:val="16"/>
              </w:rPr>
              <w:t>-1.649</w:t>
            </w:r>
          </w:p>
        </w:tc>
        <w:tc>
          <w:tcPr>
            <w:tcW w:w="1152" w:type="dxa"/>
            <w:vAlign w:val="center"/>
          </w:tcPr>
          <w:p w14:paraId="3CC1A991" w14:textId="77777777" w:rsidR="00461277" w:rsidRDefault="00000000">
            <w:r>
              <w:rPr>
                <w:sz w:val="16"/>
              </w:rPr>
              <w:t>-3.139*</w:t>
            </w:r>
          </w:p>
        </w:tc>
        <w:tc>
          <w:tcPr>
            <w:tcW w:w="1152" w:type="dxa"/>
            <w:vAlign w:val="center"/>
          </w:tcPr>
          <w:p w14:paraId="6C92FC0F" w14:textId="77777777" w:rsidR="00461277" w:rsidRDefault="00000000">
            <w:r>
              <w:rPr>
                <w:sz w:val="16"/>
              </w:rPr>
              <w:t>0.7150</w:t>
            </w:r>
          </w:p>
        </w:tc>
        <w:tc>
          <w:tcPr>
            <w:tcW w:w="1584" w:type="dxa"/>
            <w:vAlign w:val="center"/>
          </w:tcPr>
          <w:p w14:paraId="5DDCCA3A" w14:textId="77777777" w:rsidR="00461277" w:rsidRDefault="00000000">
            <w:r>
              <w:rPr>
                <w:sz w:val="16"/>
              </w:rPr>
              <w:t>-4.560</w:t>
            </w:r>
          </w:p>
        </w:tc>
        <w:tc>
          <w:tcPr>
            <w:tcW w:w="1440" w:type="dxa"/>
            <w:vAlign w:val="center"/>
          </w:tcPr>
          <w:p w14:paraId="7A46F9CB" w14:textId="77777777" w:rsidR="00461277" w:rsidRDefault="00000000">
            <w:r>
              <w:rPr>
                <w:sz w:val="16"/>
              </w:rPr>
              <w:t>209</w:t>
            </w:r>
          </w:p>
        </w:tc>
        <w:tc>
          <w:tcPr>
            <w:tcW w:w="1440" w:type="dxa"/>
            <w:vAlign w:val="center"/>
          </w:tcPr>
          <w:p w14:paraId="0FE9E213" w14:textId="77777777" w:rsidR="00461277" w:rsidRDefault="00000000">
            <w:r>
              <w:rPr>
                <w:sz w:val="16"/>
              </w:rPr>
              <w:t>I(1)</w:t>
            </w:r>
          </w:p>
        </w:tc>
      </w:tr>
      <w:tr w:rsidR="00461277" w14:paraId="69BFBEA9" w14:textId="77777777">
        <w:trPr>
          <w:jc w:val="center"/>
        </w:trPr>
        <w:tc>
          <w:tcPr>
            <w:tcW w:w="1872" w:type="dxa"/>
            <w:vAlign w:val="center"/>
          </w:tcPr>
          <w:p w14:paraId="09F6C708" w14:textId="77777777" w:rsidR="00461277" w:rsidRDefault="00000000">
            <w:r>
              <w:rPr>
                <w:sz w:val="16"/>
              </w:rPr>
              <w:t>LN_OVX</w:t>
            </w:r>
          </w:p>
        </w:tc>
        <w:tc>
          <w:tcPr>
            <w:tcW w:w="1152" w:type="dxa"/>
            <w:vAlign w:val="center"/>
          </w:tcPr>
          <w:p w14:paraId="5B3E2B63" w14:textId="77777777" w:rsidR="00461277" w:rsidRDefault="00000000">
            <w:r>
              <w:rPr>
                <w:sz w:val="16"/>
              </w:rPr>
              <w:t>-4.3962***</w:t>
            </w:r>
          </w:p>
        </w:tc>
        <w:tc>
          <w:tcPr>
            <w:tcW w:w="1152" w:type="dxa"/>
            <w:vAlign w:val="center"/>
          </w:tcPr>
          <w:p w14:paraId="7B13589E" w14:textId="77777777" w:rsidR="00461277" w:rsidRDefault="00000000">
            <w:r>
              <w:rPr>
                <w:sz w:val="16"/>
              </w:rPr>
              <w:t>-3.6183**</w:t>
            </w:r>
          </w:p>
        </w:tc>
        <w:tc>
          <w:tcPr>
            <w:tcW w:w="1152" w:type="dxa"/>
            <w:vAlign w:val="center"/>
          </w:tcPr>
          <w:p w14:paraId="303B9591" w14:textId="77777777" w:rsidR="00461277" w:rsidRDefault="00000000">
            <w:r>
              <w:rPr>
                <w:sz w:val="16"/>
              </w:rPr>
              <w:t>0.1424</w:t>
            </w:r>
          </w:p>
        </w:tc>
        <w:tc>
          <w:tcPr>
            <w:tcW w:w="1584" w:type="dxa"/>
            <w:vAlign w:val="center"/>
          </w:tcPr>
          <w:p w14:paraId="78E5B25D" w14:textId="77777777" w:rsidR="00461277" w:rsidRDefault="00000000">
            <w:r>
              <w:rPr>
                <w:sz w:val="16"/>
              </w:rPr>
              <w:t>-5.0074***</w:t>
            </w:r>
          </w:p>
        </w:tc>
        <w:tc>
          <w:tcPr>
            <w:tcW w:w="1440" w:type="dxa"/>
            <w:vAlign w:val="center"/>
          </w:tcPr>
          <w:p w14:paraId="1EF8A00F" w14:textId="77777777" w:rsidR="00461277" w:rsidRDefault="00000000">
            <w:r>
              <w:rPr>
                <w:sz w:val="16"/>
              </w:rPr>
              <w:t>31</w:t>
            </w:r>
          </w:p>
        </w:tc>
        <w:tc>
          <w:tcPr>
            <w:tcW w:w="1440" w:type="dxa"/>
            <w:vAlign w:val="center"/>
          </w:tcPr>
          <w:p w14:paraId="4321261B" w14:textId="77777777" w:rsidR="00461277" w:rsidRDefault="00000000">
            <w:r>
              <w:rPr>
                <w:sz w:val="16"/>
              </w:rPr>
              <w:t>I(0)</w:t>
            </w:r>
          </w:p>
        </w:tc>
      </w:tr>
    </w:tbl>
    <w:p w14:paraId="7C0245F6" w14:textId="77777777" w:rsidR="00461277" w:rsidRDefault="00000000">
      <w:pPr>
        <w:spacing w:after="40"/>
        <w:jc w:val="both"/>
      </w:pPr>
      <w:r>
        <w:rPr>
          <w:sz w:val="18"/>
        </w:rPr>
        <w:t>Note: In the ADF and PP tests, *, ** and *** denote rejection of the unit root null at the 10%, 5% and 1% levels, respectively. In the KPSS test, the null hypothesis is stationarity. In the Zivot–Andrews test, the null hypothesis is a unit root without structural break.</w:t>
      </w:r>
    </w:p>
    <w:p w14:paraId="43867053" w14:textId="77777777" w:rsidR="001C32BA" w:rsidRDefault="001C32BA" w:rsidP="003C190B">
      <w:pPr>
        <w:spacing w:after="120" w:line="360" w:lineRule="auto"/>
        <w:jc w:val="both"/>
        <w:rPr>
          <w:sz w:val="18"/>
        </w:rPr>
      </w:pPr>
    </w:p>
    <w:p w14:paraId="69E97BA6" w14:textId="3B298956" w:rsidR="00461277" w:rsidRPr="003C190B" w:rsidRDefault="00000000" w:rsidP="003C190B">
      <w:pPr>
        <w:spacing w:after="120" w:line="360" w:lineRule="auto"/>
        <w:jc w:val="both"/>
        <w:rPr>
          <w:sz w:val="24"/>
          <w:szCs w:val="24"/>
        </w:rPr>
      </w:pPr>
      <w:r w:rsidRPr="003C190B">
        <w:rPr>
          <w:sz w:val="24"/>
          <w:szCs w:val="24"/>
        </w:rPr>
        <w:t xml:space="preserve">The results indicate that the variables are integrated at either the </w:t>
      </w:r>
      <w:proofErr w:type="gramStart"/>
      <w:r w:rsidRPr="003C190B">
        <w:rPr>
          <w:sz w:val="24"/>
          <w:szCs w:val="24"/>
        </w:rPr>
        <w:t>I(</w:t>
      </w:r>
      <w:proofErr w:type="gramEnd"/>
      <w:r w:rsidRPr="003C190B">
        <w:rPr>
          <w:sz w:val="24"/>
          <w:szCs w:val="24"/>
        </w:rPr>
        <w:t xml:space="preserve">0) or </w:t>
      </w:r>
      <w:proofErr w:type="gramStart"/>
      <w:r w:rsidRPr="003C190B">
        <w:rPr>
          <w:sz w:val="24"/>
          <w:szCs w:val="24"/>
        </w:rPr>
        <w:t>I(</w:t>
      </w:r>
      <w:proofErr w:type="gramEnd"/>
      <w:r w:rsidRPr="003C190B">
        <w:rPr>
          <w:sz w:val="24"/>
          <w:szCs w:val="24"/>
        </w:rPr>
        <w:t xml:space="preserve">1) level, while none of the series is integrated of order two, </w:t>
      </w:r>
      <w:proofErr w:type="gramStart"/>
      <w:r w:rsidRPr="003C190B">
        <w:rPr>
          <w:sz w:val="24"/>
          <w:szCs w:val="24"/>
        </w:rPr>
        <w:t>I(</w:t>
      </w:r>
      <w:proofErr w:type="gramEnd"/>
      <w:r w:rsidRPr="003C190B">
        <w:rPr>
          <w:sz w:val="24"/>
          <w:szCs w:val="24"/>
        </w:rPr>
        <w:t>2). This supports the use of the ARDL/NARDL bounds testing approach. The Zivot–Andrews results also highlight the importance of accounting for structural breaks in crisis-sensitive series such as geopolitical risk and oil market volatility.</w:t>
      </w:r>
    </w:p>
    <w:p w14:paraId="3D396E8A" w14:textId="77777777" w:rsidR="00461277" w:rsidRPr="003C190B" w:rsidRDefault="00000000">
      <w:pPr>
        <w:pStyle w:val="Balk2"/>
        <w:spacing w:before="120" w:after="80"/>
        <w:rPr>
          <w:szCs w:val="24"/>
        </w:rPr>
      </w:pPr>
      <w:r w:rsidRPr="003C190B">
        <w:rPr>
          <w:rFonts w:ascii="Times New Roman" w:eastAsia="Times New Roman" w:hAnsi="Times New Roman"/>
          <w:b w:val="0"/>
          <w:szCs w:val="24"/>
        </w:rPr>
        <w:t>4.2. Bounds test and error correction results</w:t>
      </w:r>
    </w:p>
    <w:p w14:paraId="5F5278CD" w14:textId="77777777" w:rsidR="00461277" w:rsidRDefault="00000000">
      <w:pPr>
        <w:spacing w:after="60"/>
        <w:jc w:val="both"/>
      </w:pPr>
      <w:r>
        <w:rPr>
          <w:b/>
        </w:rPr>
        <w:t>Table 3. Bounds test and error correction results for the comparative NARDL model</w:t>
      </w:r>
    </w:p>
    <w:tbl>
      <w:tblPr>
        <w:tblStyle w:val="TabloKlavuzu"/>
        <w:tblW w:w="0" w:type="auto"/>
        <w:jc w:val="center"/>
        <w:tblLook w:val="04A0" w:firstRow="1" w:lastRow="0" w:firstColumn="1" w:lastColumn="0" w:noHBand="0" w:noVBand="1"/>
      </w:tblPr>
      <w:tblGrid>
        <w:gridCol w:w="909"/>
        <w:gridCol w:w="1464"/>
        <w:gridCol w:w="1465"/>
        <w:gridCol w:w="874"/>
        <w:gridCol w:w="1218"/>
        <w:gridCol w:w="948"/>
        <w:gridCol w:w="948"/>
        <w:gridCol w:w="805"/>
        <w:gridCol w:w="1439"/>
      </w:tblGrid>
      <w:tr w:rsidR="00461277" w14:paraId="03AE2AEA" w14:textId="77777777">
        <w:trPr>
          <w:jc w:val="center"/>
        </w:trPr>
        <w:tc>
          <w:tcPr>
            <w:tcW w:w="1080" w:type="dxa"/>
            <w:vAlign w:val="center"/>
          </w:tcPr>
          <w:p w14:paraId="79F1340D" w14:textId="77777777" w:rsidR="00461277" w:rsidRDefault="00000000">
            <w:r>
              <w:rPr>
                <w:b/>
                <w:sz w:val="14"/>
              </w:rPr>
              <w:t>Panel</w:t>
            </w:r>
          </w:p>
        </w:tc>
        <w:tc>
          <w:tcPr>
            <w:tcW w:w="1800" w:type="dxa"/>
            <w:vAlign w:val="center"/>
          </w:tcPr>
          <w:p w14:paraId="3566BFEC" w14:textId="77777777" w:rsidR="00461277" w:rsidRDefault="00000000">
            <w:r>
              <w:rPr>
                <w:b/>
                <w:sz w:val="14"/>
              </w:rPr>
              <w:t>Model / Variable</w:t>
            </w:r>
          </w:p>
        </w:tc>
        <w:tc>
          <w:tcPr>
            <w:tcW w:w="1512" w:type="dxa"/>
            <w:vAlign w:val="center"/>
          </w:tcPr>
          <w:p w14:paraId="41DD9B79" w14:textId="77777777" w:rsidR="00461277" w:rsidRDefault="00000000">
            <w:r>
              <w:rPr>
                <w:b/>
                <w:sz w:val="14"/>
              </w:rPr>
              <w:t>Selected model</w:t>
            </w:r>
          </w:p>
        </w:tc>
        <w:tc>
          <w:tcPr>
            <w:tcW w:w="936" w:type="dxa"/>
            <w:vAlign w:val="center"/>
          </w:tcPr>
          <w:p w14:paraId="6DA24985" w14:textId="77777777" w:rsidR="00461277" w:rsidRDefault="00000000">
            <w:r>
              <w:rPr>
                <w:b/>
                <w:sz w:val="14"/>
              </w:rPr>
              <w:t>Criterion</w:t>
            </w:r>
          </w:p>
        </w:tc>
        <w:tc>
          <w:tcPr>
            <w:tcW w:w="1440" w:type="dxa"/>
            <w:vAlign w:val="center"/>
          </w:tcPr>
          <w:p w14:paraId="05EB67FC" w14:textId="77777777" w:rsidR="00461277" w:rsidRDefault="00000000">
            <w:r>
              <w:rPr>
                <w:b/>
                <w:sz w:val="14"/>
              </w:rPr>
              <w:t>Test statistic / Coefficient</w:t>
            </w:r>
          </w:p>
        </w:tc>
        <w:tc>
          <w:tcPr>
            <w:tcW w:w="1080" w:type="dxa"/>
            <w:vAlign w:val="center"/>
          </w:tcPr>
          <w:p w14:paraId="3300DAFB" w14:textId="77777777" w:rsidR="00461277" w:rsidRDefault="00000000">
            <w:r>
              <w:rPr>
                <w:b/>
                <w:sz w:val="14"/>
              </w:rPr>
              <w:t>Std. error</w:t>
            </w:r>
          </w:p>
        </w:tc>
        <w:tc>
          <w:tcPr>
            <w:tcW w:w="1080" w:type="dxa"/>
            <w:vAlign w:val="center"/>
          </w:tcPr>
          <w:p w14:paraId="42DD9E02" w14:textId="77777777" w:rsidR="00461277" w:rsidRDefault="00000000">
            <w:r>
              <w:rPr>
                <w:b/>
                <w:sz w:val="14"/>
              </w:rPr>
              <w:t>t-statistic</w:t>
            </w:r>
          </w:p>
        </w:tc>
        <w:tc>
          <w:tcPr>
            <w:tcW w:w="936" w:type="dxa"/>
            <w:vAlign w:val="center"/>
          </w:tcPr>
          <w:p w14:paraId="4B038FDD" w14:textId="77777777" w:rsidR="00461277" w:rsidRDefault="00000000">
            <w:r>
              <w:rPr>
                <w:b/>
                <w:sz w:val="14"/>
              </w:rPr>
              <w:t>p-value</w:t>
            </w:r>
          </w:p>
        </w:tc>
        <w:tc>
          <w:tcPr>
            <w:tcW w:w="1728" w:type="dxa"/>
            <w:vAlign w:val="center"/>
          </w:tcPr>
          <w:p w14:paraId="62B2E2A8" w14:textId="77777777" w:rsidR="00461277" w:rsidRDefault="00000000">
            <w:r>
              <w:rPr>
                <w:b/>
                <w:sz w:val="14"/>
              </w:rPr>
              <w:t>Decision</w:t>
            </w:r>
          </w:p>
        </w:tc>
      </w:tr>
      <w:tr w:rsidR="00461277" w14:paraId="58FC068F" w14:textId="77777777">
        <w:trPr>
          <w:jc w:val="center"/>
        </w:trPr>
        <w:tc>
          <w:tcPr>
            <w:tcW w:w="1080" w:type="dxa"/>
            <w:vAlign w:val="center"/>
          </w:tcPr>
          <w:p w14:paraId="4BB10B5A" w14:textId="77777777" w:rsidR="00461277" w:rsidRDefault="00000000">
            <w:r>
              <w:rPr>
                <w:sz w:val="14"/>
              </w:rPr>
              <w:t>Bounds test</w:t>
            </w:r>
          </w:p>
        </w:tc>
        <w:tc>
          <w:tcPr>
            <w:tcW w:w="1800" w:type="dxa"/>
            <w:vAlign w:val="center"/>
          </w:tcPr>
          <w:p w14:paraId="620D6C50" w14:textId="77777777" w:rsidR="00461277" w:rsidRDefault="00000000">
            <w:r>
              <w:rPr>
                <w:sz w:val="14"/>
              </w:rPr>
              <w:t>Comparative NARDL</w:t>
            </w:r>
          </w:p>
        </w:tc>
        <w:tc>
          <w:tcPr>
            <w:tcW w:w="1512" w:type="dxa"/>
            <w:vAlign w:val="center"/>
          </w:tcPr>
          <w:p w14:paraId="38011321" w14:textId="77777777" w:rsidR="00461277" w:rsidRDefault="00000000">
            <w:r>
              <w:rPr>
                <w:sz w:val="14"/>
              </w:rPr>
              <w:t>ARDL(2,0,0,0,0,0,0)</w:t>
            </w:r>
          </w:p>
        </w:tc>
        <w:tc>
          <w:tcPr>
            <w:tcW w:w="936" w:type="dxa"/>
            <w:vAlign w:val="center"/>
          </w:tcPr>
          <w:p w14:paraId="1C479934" w14:textId="77777777" w:rsidR="00461277" w:rsidRDefault="00000000">
            <w:r>
              <w:rPr>
                <w:sz w:val="14"/>
              </w:rPr>
              <w:t>SIC</w:t>
            </w:r>
          </w:p>
        </w:tc>
        <w:tc>
          <w:tcPr>
            <w:tcW w:w="1440" w:type="dxa"/>
            <w:vAlign w:val="center"/>
          </w:tcPr>
          <w:p w14:paraId="01CD2CEC" w14:textId="77777777" w:rsidR="00461277" w:rsidRDefault="00000000">
            <w:r>
              <w:rPr>
                <w:sz w:val="14"/>
              </w:rPr>
              <w:t>5.069598</w:t>
            </w:r>
          </w:p>
        </w:tc>
        <w:tc>
          <w:tcPr>
            <w:tcW w:w="1080" w:type="dxa"/>
            <w:vAlign w:val="center"/>
          </w:tcPr>
          <w:p w14:paraId="374102B9" w14:textId="77777777" w:rsidR="00461277" w:rsidRDefault="00000000">
            <w:r>
              <w:rPr>
                <w:sz w:val="14"/>
              </w:rPr>
              <w:t>—</w:t>
            </w:r>
          </w:p>
        </w:tc>
        <w:tc>
          <w:tcPr>
            <w:tcW w:w="1080" w:type="dxa"/>
            <w:vAlign w:val="center"/>
          </w:tcPr>
          <w:p w14:paraId="54123465" w14:textId="77777777" w:rsidR="00461277" w:rsidRDefault="00000000">
            <w:r>
              <w:rPr>
                <w:sz w:val="14"/>
              </w:rPr>
              <w:t>—</w:t>
            </w:r>
          </w:p>
        </w:tc>
        <w:tc>
          <w:tcPr>
            <w:tcW w:w="936" w:type="dxa"/>
            <w:vAlign w:val="center"/>
          </w:tcPr>
          <w:p w14:paraId="5970F895" w14:textId="77777777" w:rsidR="00461277" w:rsidRDefault="00000000">
            <w:r>
              <w:rPr>
                <w:sz w:val="14"/>
              </w:rPr>
              <w:t>—</w:t>
            </w:r>
          </w:p>
        </w:tc>
        <w:tc>
          <w:tcPr>
            <w:tcW w:w="1728" w:type="dxa"/>
            <w:vAlign w:val="center"/>
          </w:tcPr>
          <w:p w14:paraId="5DFD4990" w14:textId="77777777" w:rsidR="00461277" w:rsidRDefault="00000000">
            <w:r>
              <w:rPr>
                <w:sz w:val="14"/>
              </w:rPr>
              <w:t>Cointegration at the 1% level</w:t>
            </w:r>
          </w:p>
        </w:tc>
      </w:tr>
      <w:tr w:rsidR="00461277" w14:paraId="36FEF1DB" w14:textId="77777777">
        <w:trPr>
          <w:jc w:val="center"/>
        </w:trPr>
        <w:tc>
          <w:tcPr>
            <w:tcW w:w="1080" w:type="dxa"/>
            <w:vAlign w:val="center"/>
          </w:tcPr>
          <w:p w14:paraId="57946F58" w14:textId="77777777" w:rsidR="00461277" w:rsidRDefault="00000000">
            <w:r>
              <w:rPr>
                <w:sz w:val="14"/>
              </w:rPr>
              <w:t>ECM</w:t>
            </w:r>
          </w:p>
        </w:tc>
        <w:tc>
          <w:tcPr>
            <w:tcW w:w="1800" w:type="dxa"/>
            <w:vAlign w:val="center"/>
          </w:tcPr>
          <w:p w14:paraId="7480632C" w14:textId="77777777" w:rsidR="00461277" w:rsidRDefault="00000000">
            <w:r>
              <w:rPr>
                <w:sz w:val="14"/>
              </w:rPr>
              <w:t>COINTEQ</w:t>
            </w:r>
          </w:p>
        </w:tc>
        <w:tc>
          <w:tcPr>
            <w:tcW w:w="1512" w:type="dxa"/>
            <w:vAlign w:val="center"/>
          </w:tcPr>
          <w:p w14:paraId="7C6997E0" w14:textId="77777777" w:rsidR="00461277" w:rsidRDefault="00000000">
            <w:r>
              <w:rPr>
                <w:sz w:val="14"/>
              </w:rPr>
              <w:t>—</w:t>
            </w:r>
          </w:p>
        </w:tc>
        <w:tc>
          <w:tcPr>
            <w:tcW w:w="936" w:type="dxa"/>
            <w:vAlign w:val="center"/>
          </w:tcPr>
          <w:p w14:paraId="79F4672E" w14:textId="77777777" w:rsidR="00461277" w:rsidRDefault="00000000">
            <w:r>
              <w:rPr>
                <w:sz w:val="14"/>
              </w:rPr>
              <w:t>—</w:t>
            </w:r>
          </w:p>
        </w:tc>
        <w:tc>
          <w:tcPr>
            <w:tcW w:w="1440" w:type="dxa"/>
            <w:vAlign w:val="center"/>
          </w:tcPr>
          <w:p w14:paraId="302744D3" w14:textId="77777777" w:rsidR="00461277" w:rsidRDefault="00000000">
            <w:r>
              <w:rPr>
                <w:sz w:val="14"/>
              </w:rPr>
              <w:t>-0.093492</w:t>
            </w:r>
          </w:p>
        </w:tc>
        <w:tc>
          <w:tcPr>
            <w:tcW w:w="1080" w:type="dxa"/>
            <w:vAlign w:val="center"/>
          </w:tcPr>
          <w:p w14:paraId="6D8828E4" w14:textId="77777777" w:rsidR="00461277" w:rsidRDefault="00000000">
            <w:r>
              <w:rPr>
                <w:sz w:val="14"/>
              </w:rPr>
              <w:t>0.015467</w:t>
            </w:r>
          </w:p>
        </w:tc>
        <w:tc>
          <w:tcPr>
            <w:tcW w:w="1080" w:type="dxa"/>
            <w:vAlign w:val="center"/>
          </w:tcPr>
          <w:p w14:paraId="1B95B5A8" w14:textId="77777777" w:rsidR="00461277" w:rsidRDefault="00000000">
            <w:r>
              <w:rPr>
                <w:sz w:val="14"/>
              </w:rPr>
              <w:t>-6.031657</w:t>
            </w:r>
          </w:p>
        </w:tc>
        <w:tc>
          <w:tcPr>
            <w:tcW w:w="936" w:type="dxa"/>
            <w:vAlign w:val="center"/>
          </w:tcPr>
          <w:p w14:paraId="5966A70D" w14:textId="77777777" w:rsidR="00461277" w:rsidRDefault="00000000">
            <w:r>
              <w:rPr>
                <w:sz w:val="14"/>
              </w:rPr>
              <w:t>0.0000</w:t>
            </w:r>
          </w:p>
        </w:tc>
        <w:tc>
          <w:tcPr>
            <w:tcW w:w="1728" w:type="dxa"/>
            <w:vAlign w:val="center"/>
          </w:tcPr>
          <w:p w14:paraId="52238054" w14:textId="77777777" w:rsidR="00461277" w:rsidRDefault="00000000">
            <w:r>
              <w:rPr>
                <w:sz w:val="14"/>
              </w:rPr>
              <w:t>Negative and significant</w:t>
            </w:r>
          </w:p>
        </w:tc>
      </w:tr>
    </w:tbl>
    <w:p w14:paraId="6D912224" w14:textId="77777777" w:rsidR="00461277" w:rsidRDefault="00000000">
      <w:pPr>
        <w:spacing w:after="40"/>
        <w:jc w:val="both"/>
      </w:pPr>
      <w:r>
        <w:rPr>
          <w:sz w:val="18"/>
        </w:rPr>
        <w:t>Note: Critical values: 10% I(0)=2.120, I(1)=3.230; 5% I(0)=2.450, I(1)=3.610; 1% I(0)=3.150, I(1)=4.430. A bounds F-statistic above the upper bound indicates cointegration. A negative and statistically significant ECM coefficient indicates adjustment toward long-run equilibrium.</w:t>
      </w:r>
    </w:p>
    <w:p w14:paraId="65202148" w14:textId="77777777" w:rsidR="001C32BA" w:rsidRPr="003C190B" w:rsidRDefault="001C32BA" w:rsidP="003C190B">
      <w:pPr>
        <w:spacing w:after="120" w:line="360" w:lineRule="auto"/>
        <w:jc w:val="both"/>
        <w:rPr>
          <w:sz w:val="24"/>
          <w:szCs w:val="24"/>
        </w:rPr>
      </w:pPr>
    </w:p>
    <w:p w14:paraId="35E64982" w14:textId="6DC2CC2F" w:rsidR="00461277" w:rsidRPr="003C190B" w:rsidRDefault="00000000" w:rsidP="003C190B">
      <w:pPr>
        <w:spacing w:after="120" w:line="360" w:lineRule="auto"/>
        <w:jc w:val="both"/>
        <w:rPr>
          <w:sz w:val="24"/>
          <w:szCs w:val="24"/>
        </w:rPr>
      </w:pPr>
      <w:r w:rsidRPr="003C190B">
        <w:rPr>
          <w:sz w:val="24"/>
          <w:szCs w:val="24"/>
        </w:rPr>
        <w:t>The bounds test produces an F-statistic of 5.069598, which exceeds the upper-bound critical value of 4.430 at the 1% significance level. Therefore, the null hypothesis of no cointegration is rejected. This indicates a strong long-run relationship between Brent oil prices, the general GPR components, and the event-contextual interaction terms.</w:t>
      </w:r>
    </w:p>
    <w:p w14:paraId="5E9ED951" w14:textId="77777777" w:rsidR="00461277" w:rsidRPr="003C190B" w:rsidRDefault="00000000" w:rsidP="003C190B">
      <w:pPr>
        <w:spacing w:after="120" w:line="360" w:lineRule="auto"/>
        <w:jc w:val="both"/>
        <w:rPr>
          <w:sz w:val="24"/>
          <w:szCs w:val="24"/>
        </w:rPr>
      </w:pPr>
      <w:r w:rsidRPr="003C190B">
        <w:rPr>
          <w:sz w:val="24"/>
          <w:szCs w:val="24"/>
        </w:rPr>
        <w:t>The error correction coefficient is -0.093492 and statistically significant at the 1% level. Its negative sign indicates that the long-run equilibrium mechanism operates properly. Given the monthly frequency of the data, approximately 9.35% of short-run disequilibria are corrected in the following month.</w:t>
      </w:r>
    </w:p>
    <w:p w14:paraId="0F03D125" w14:textId="77777777" w:rsidR="00461277" w:rsidRDefault="00000000">
      <w:pPr>
        <w:pStyle w:val="Balk2"/>
        <w:spacing w:before="120" w:after="80"/>
      </w:pPr>
      <w:r>
        <w:rPr>
          <w:rFonts w:ascii="Times New Roman" w:eastAsia="Times New Roman" w:hAnsi="Times New Roman"/>
          <w:b w:val="0"/>
        </w:rPr>
        <w:t>4.3. Long-run coefficients</w:t>
      </w:r>
    </w:p>
    <w:p w14:paraId="207B2E51" w14:textId="77777777" w:rsidR="00461277" w:rsidRDefault="00000000">
      <w:pPr>
        <w:spacing w:after="60"/>
        <w:jc w:val="both"/>
      </w:pPr>
      <w:r>
        <w:rPr>
          <w:b/>
        </w:rPr>
        <w:t>Table 4. Long-run coefficients of the comparative NARDL model</w:t>
      </w:r>
    </w:p>
    <w:tbl>
      <w:tblPr>
        <w:tblStyle w:val="TabloKlavuzu"/>
        <w:tblW w:w="0" w:type="auto"/>
        <w:jc w:val="center"/>
        <w:tblLook w:val="04A0" w:firstRow="1" w:lastRow="0" w:firstColumn="1" w:lastColumn="0" w:noHBand="0" w:noVBand="1"/>
      </w:tblPr>
      <w:tblGrid>
        <w:gridCol w:w="1728"/>
        <w:gridCol w:w="1296"/>
        <w:gridCol w:w="1296"/>
        <w:gridCol w:w="1296"/>
        <w:gridCol w:w="1152"/>
        <w:gridCol w:w="2016"/>
      </w:tblGrid>
      <w:tr w:rsidR="00461277" w14:paraId="010E013B" w14:textId="77777777">
        <w:trPr>
          <w:jc w:val="center"/>
        </w:trPr>
        <w:tc>
          <w:tcPr>
            <w:tcW w:w="1728" w:type="dxa"/>
            <w:vAlign w:val="center"/>
          </w:tcPr>
          <w:p w14:paraId="30ACA3E8" w14:textId="77777777" w:rsidR="00461277" w:rsidRDefault="00000000">
            <w:r>
              <w:rPr>
                <w:b/>
                <w:sz w:val="16"/>
              </w:rPr>
              <w:t>Variable</w:t>
            </w:r>
          </w:p>
        </w:tc>
        <w:tc>
          <w:tcPr>
            <w:tcW w:w="1296" w:type="dxa"/>
            <w:vAlign w:val="center"/>
          </w:tcPr>
          <w:p w14:paraId="6A18C3E2" w14:textId="77777777" w:rsidR="00461277" w:rsidRDefault="00000000">
            <w:r>
              <w:rPr>
                <w:b/>
                <w:sz w:val="16"/>
              </w:rPr>
              <w:t>Coefficient</w:t>
            </w:r>
          </w:p>
        </w:tc>
        <w:tc>
          <w:tcPr>
            <w:tcW w:w="1296" w:type="dxa"/>
            <w:vAlign w:val="center"/>
          </w:tcPr>
          <w:p w14:paraId="531FB5AD" w14:textId="77777777" w:rsidR="00461277" w:rsidRDefault="00000000">
            <w:r>
              <w:rPr>
                <w:b/>
                <w:sz w:val="16"/>
              </w:rPr>
              <w:t>Std. error</w:t>
            </w:r>
          </w:p>
        </w:tc>
        <w:tc>
          <w:tcPr>
            <w:tcW w:w="1296" w:type="dxa"/>
            <w:vAlign w:val="center"/>
          </w:tcPr>
          <w:p w14:paraId="0289A25D" w14:textId="77777777" w:rsidR="00461277" w:rsidRDefault="00000000">
            <w:r>
              <w:rPr>
                <w:b/>
                <w:sz w:val="16"/>
              </w:rPr>
              <w:t>t-statistic</w:t>
            </w:r>
          </w:p>
        </w:tc>
        <w:tc>
          <w:tcPr>
            <w:tcW w:w="1152" w:type="dxa"/>
            <w:vAlign w:val="center"/>
          </w:tcPr>
          <w:p w14:paraId="75268E91" w14:textId="77777777" w:rsidR="00461277" w:rsidRDefault="00000000">
            <w:r>
              <w:rPr>
                <w:b/>
                <w:sz w:val="16"/>
              </w:rPr>
              <w:t>p-value</w:t>
            </w:r>
          </w:p>
        </w:tc>
        <w:tc>
          <w:tcPr>
            <w:tcW w:w="2016" w:type="dxa"/>
            <w:vAlign w:val="center"/>
          </w:tcPr>
          <w:p w14:paraId="63384723" w14:textId="77777777" w:rsidR="00461277" w:rsidRDefault="00000000">
            <w:r>
              <w:rPr>
                <w:b/>
                <w:sz w:val="16"/>
              </w:rPr>
              <w:t>Result</w:t>
            </w:r>
          </w:p>
        </w:tc>
      </w:tr>
      <w:tr w:rsidR="00461277" w14:paraId="53FEBAAE" w14:textId="77777777">
        <w:trPr>
          <w:jc w:val="center"/>
        </w:trPr>
        <w:tc>
          <w:tcPr>
            <w:tcW w:w="1728" w:type="dxa"/>
            <w:vAlign w:val="center"/>
          </w:tcPr>
          <w:p w14:paraId="1151DD0C" w14:textId="77777777" w:rsidR="00461277" w:rsidRDefault="00000000">
            <w:r>
              <w:rPr>
                <w:sz w:val="16"/>
              </w:rPr>
              <w:t>GPR_POS</w:t>
            </w:r>
          </w:p>
        </w:tc>
        <w:tc>
          <w:tcPr>
            <w:tcW w:w="1296" w:type="dxa"/>
            <w:vAlign w:val="center"/>
          </w:tcPr>
          <w:p w14:paraId="0C99DA13" w14:textId="77777777" w:rsidR="00461277" w:rsidRDefault="00000000">
            <w:r>
              <w:rPr>
                <w:sz w:val="16"/>
              </w:rPr>
              <w:t>-0.015172</w:t>
            </w:r>
          </w:p>
        </w:tc>
        <w:tc>
          <w:tcPr>
            <w:tcW w:w="1296" w:type="dxa"/>
            <w:vAlign w:val="center"/>
          </w:tcPr>
          <w:p w14:paraId="054FB92D" w14:textId="77777777" w:rsidR="00461277" w:rsidRDefault="00000000">
            <w:r>
              <w:rPr>
                <w:sz w:val="16"/>
              </w:rPr>
              <w:t>0.006482</w:t>
            </w:r>
          </w:p>
        </w:tc>
        <w:tc>
          <w:tcPr>
            <w:tcW w:w="1296" w:type="dxa"/>
            <w:vAlign w:val="center"/>
          </w:tcPr>
          <w:p w14:paraId="5E7F99E6" w14:textId="77777777" w:rsidR="00461277" w:rsidRDefault="00000000">
            <w:r>
              <w:rPr>
                <w:sz w:val="16"/>
              </w:rPr>
              <w:t>-2.347805</w:t>
            </w:r>
          </w:p>
        </w:tc>
        <w:tc>
          <w:tcPr>
            <w:tcW w:w="1152" w:type="dxa"/>
            <w:vAlign w:val="center"/>
          </w:tcPr>
          <w:p w14:paraId="603FE4A2" w14:textId="77777777" w:rsidR="00461277" w:rsidRDefault="00000000">
            <w:r>
              <w:rPr>
                <w:sz w:val="16"/>
              </w:rPr>
              <w:t>0.0198</w:t>
            </w:r>
          </w:p>
        </w:tc>
        <w:tc>
          <w:tcPr>
            <w:tcW w:w="2016" w:type="dxa"/>
            <w:vAlign w:val="center"/>
          </w:tcPr>
          <w:p w14:paraId="0E32F571" w14:textId="77777777" w:rsidR="00461277" w:rsidRDefault="00000000">
            <w:r>
              <w:rPr>
                <w:sz w:val="16"/>
              </w:rPr>
              <w:t>Significant</w:t>
            </w:r>
          </w:p>
        </w:tc>
      </w:tr>
      <w:tr w:rsidR="00461277" w14:paraId="506F35E7" w14:textId="77777777">
        <w:trPr>
          <w:jc w:val="center"/>
        </w:trPr>
        <w:tc>
          <w:tcPr>
            <w:tcW w:w="1728" w:type="dxa"/>
            <w:vAlign w:val="center"/>
          </w:tcPr>
          <w:p w14:paraId="6E4C7BC0" w14:textId="77777777" w:rsidR="00461277" w:rsidRDefault="00000000">
            <w:r>
              <w:rPr>
                <w:sz w:val="16"/>
              </w:rPr>
              <w:t>GPR_NEG</w:t>
            </w:r>
          </w:p>
        </w:tc>
        <w:tc>
          <w:tcPr>
            <w:tcW w:w="1296" w:type="dxa"/>
            <w:vAlign w:val="center"/>
          </w:tcPr>
          <w:p w14:paraId="07346D17" w14:textId="77777777" w:rsidR="00461277" w:rsidRDefault="00000000">
            <w:r>
              <w:rPr>
                <w:sz w:val="16"/>
              </w:rPr>
              <w:t>-0.014896</w:t>
            </w:r>
          </w:p>
        </w:tc>
        <w:tc>
          <w:tcPr>
            <w:tcW w:w="1296" w:type="dxa"/>
            <w:vAlign w:val="center"/>
          </w:tcPr>
          <w:p w14:paraId="0149B3E5" w14:textId="77777777" w:rsidR="00461277" w:rsidRDefault="00000000">
            <w:r>
              <w:rPr>
                <w:sz w:val="16"/>
              </w:rPr>
              <w:t>0.006505</w:t>
            </w:r>
          </w:p>
        </w:tc>
        <w:tc>
          <w:tcPr>
            <w:tcW w:w="1296" w:type="dxa"/>
            <w:vAlign w:val="center"/>
          </w:tcPr>
          <w:p w14:paraId="038715F0" w14:textId="77777777" w:rsidR="00461277" w:rsidRDefault="00000000">
            <w:r>
              <w:rPr>
                <w:sz w:val="16"/>
              </w:rPr>
              <w:t>-2.289737</w:t>
            </w:r>
          </w:p>
        </w:tc>
        <w:tc>
          <w:tcPr>
            <w:tcW w:w="1152" w:type="dxa"/>
            <w:vAlign w:val="center"/>
          </w:tcPr>
          <w:p w14:paraId="70613F13" w14:textId="77777777" w:rsidR="00461277" w:rsidRDefault="00000000">
            <w:r>
              <w:rPr>
                <w:sz w:val="16"/>
              </w:rPr>
              <w:t>0.0230</w:t>
            </w:r>
          </w:p>
        </w:tc>
        <w:tc>
          <w:tcPr>
            <w:tcW w:w="2016" w:type="dxa"/>
            <w:vAlign w:val="center"/>
          </w:tcPr>
          <w:p w14:paraId="5DBDABA8" w14:textId="77777777" w:rsidR="00461277" w:rsidRDefault="00000000">
            <w:r>
              <w:rPr>
                <w:sz w:val="16"/>
              </w:rPr>
              <w:t>Significant</w:t>
            </w:r>
          </w:p>
        </w:tc>
      </w:tr>
      <w:tr w:rsidR="00461277" w14:paraId="2558A73F" w14:textId="77777777">
        <w:trPr>
          <w:jc w:val="center"/>
        </w:trPr>
        <w:tc>
          <w:tcPr>
            <w:tcW w:w="1728" w:type="dxa"/>
            <w:vAlign w:val="center"/>
          </w:tcPr>
          <w:p w14:paraId="5573D202" w14:textId="77777777" w:rsidR="00461277" w:rsidRDefault="00000000">
            <w:r>
              <w:rPr>
                <w:sz w:val="16"/>
              </w:rPr>
              <w:t>GPR_POS_RU</w:t>
            </w:r>
          </w:p>
        </w:tc>
        <w:tc>
          <w:tcPr>
            <w:tcW w:w="1296" w:type="dxa"/>
            <w:vAlign w:val="center"/>
          </w:tcPr>
          <w:p w14:paraId="574C7091" w14:textId="77777777" w:rsidR="00461277" w:rsidRDefault="00000000">
            <w:r>
              <w:rPr>
                <w:sz w:val="16"/>
              </w:rPr>
              <w:t>0.028413</w:t>
            </w:r>
          </w:p>
        </w:tc>
        <w:tc>
          <w:tcPr>
            <w:tcW w:w="1296" w:type="dxa"/>
            <w:vAlign w:val="center"/>
          </w:tcPr>
          <w:p w14:paraId="2A873C59" w14:textId="77777777" w:rsidR="00461277" w:rsidRDefault="00000000">
            <w:r>
              <w:rPr>
                <w:sz w:val="16"/>
              </w:rPr>
              <w:t>0.010579</w:t>
            </w:r>
          </w:p>
        </w:tc>
        <w:tc>
          <w:tcPr>
            <w:tcW w:w="1296" w:type="dxa"/>
            <w:vAlign w:val="center"/>
          </w:tcPr>
          <w:p w14:paraId="2122FBB9" w14:textId="77777777" w:rsidR="00461277" w:rsidRDefault="00000000">
            <w:r>
              <w:rPr>
                <w:sz w:val="16"/>
              </w:rPr>
              <w:t>2.685710</w:t>
            </w:r>
          </w:p>
        </w:tc>
        <w:tc>
          <w:tcPr>
            <w:tcW w:w="1152" w:type="dxa"/>
            <w:vAlign w:val="center"/>
          </w:tcPr>
          <w:p w14:paraId="561FB66E" w14:textId="77777777" w:rsidR="00461277" w:rsidRDefault="00000000">
            <w:r>
              <w:rPr>
                <w:sz w:val="16"/>
              </w:rPr>
              <w:t>0.0070</w:t>
            </w:r>
          </w:p>
        </w:tc>
        <w:tc>
          <w:tcPr>
            <w:tcW w:w="2016" w:type="dxa"/>
            <w:vAlign w:val="center"/>
          </w:tcPr>
          <w:p w14:paraId="19A68C14" w14:textId="77777777" w:rsidR="00461277" w:rsidRDefault="00000000">
            <w:r>
              <w:rPr>
                <w:sz w:val="16"/>
              </w:rPr>
              <w:t>Strongly significant</w:t>
            </w:r>
          </w:p>
        </w:tc>
      </w:tr>
      <w:tr w:rsidR="00461277" w14:paraId="6C4666D8" w14:textId="77777777">
        <w:trPr>
          <w:jc w:val="center"/>
        </w:trPr>
        <w:tc>
          <w:tcPr>
            <w:tcW w:w="1728" w:type="dxa"/>
            <w:vAlign w:val="center"/>
          </w:tcPr>
          <w:p w14:paraId="5514D668" w14:textId="77777777" w:rsidR="00461277" w:rsidRDefault="00000000">
            <w:r>
              <w:rPr>
                <w:sz w:val="16"/>
              </w:rPr>
              <w:t>GPR_NEG_RU</w:t>
            </w:r>
          </w:p>
        </w:tc>
        <w:tc>
          <w:tcPr>
            <w:tcW w:w="1296" w:type="dxa"/>
            <w:vAlign w:val="center"/>
          </w:tcPr>
          <w:p w14:paraId="1B72284E" w14:textId="77777777" w:rsidR="00461277" w:rsidRDefault="00000000">
            <w:r>
              <w:rPr>
                <w:sz w:val="16"/>
              </w:rPr>
              <w:t>0.028189</w:t>
            </w:r>
          </w:p>
        </w:tc>
        <w:tc>
          <w:tcPr>
            <w:tcW w:w="1296" w:type="dxa"/>
            <w:vAlign w:val="center"/>
          </w:tcPr>
          <w:p w14:paraId="0580E79F" w14:textId="77777777" w:rsidR="00461277" w:rsidRDefault="00000000">
            <w:r>
              <w:rPr>
                <w:sz w:val="16"/>
              </w:rPr>
              <w:t>0.010607</w:t>
            </w:r>
          </w:p>
        </w:tc>
        <w:tc>
          <w:tcPr>
            <w:tcW w:w="1296" w:type="dxa"/>
            <w:vAlign w:val="center"/>
          </w:tcPr>
          <w:p w14:paraId="3D42637A" w14:textId="77777777" w:rsidR="00461277" w:rsidRDefault="00000000">
            <w:r>
              <w:rPr>
                <w:sz w:val="16"/>
              </w:rPr>
              <w:t>2.657643</w:t>
            </w:r>
          </w:p>
        </w:tc>
        <w:tc>
          <w:tcPr>
            <w:tcW w:w="1152" w:type="dxa"/>
            <w:vAlign w:val="center"/>
          </w:tcPr>
          <w:p w14:paraId="36EF194F" w14:textId="77777777" w:rsidR="00461277" w:rsidRDefault="00000000">
            <w:r>
              <w:rPr>
                <w:sz w:val="16"/>
              </w:rPr>
              <w:t>0.0086</w:t>
            </w:r>
          </w:p>
        </w:tc>
        <w:tc>
          <w:tcPr>
            <w:tcW w:w="2016" w:type="dxa"/>
            <w:vAlign w:val="center"/>
          </w:tcPr>
          <w:p w14:paraId="0DAACB50" w14:textId="77777777" w:rsidR="00461277" w:rsidRDefault="00000000">
            <w:r>
              <w:rPr>
                <w:sz w:val="16"/>
              </w:rPr>
              <w:t>Strongly significant</w:t>
            </w:r>
          </w:p>
        </w:tc>
      </w:tr>
      <w:tr w:rsidR="00461277" w14:paraId="5408A5A6" w14:textId="77777777">
        <w:trPr>
          <w:jc w:val="center"/>
        </w:trPr>
        <w:tc>
          <w:tcPr>
            <w:tcW w:w="1728" w:type="dxa"/>
            <w:vAlign w:val="center"/>
          </w:tcPr>
          <w:p w14:paraId="63E461CE" w14:textId="77777777" w:rsidR="00461277" w:rsidRDefault="00000000">
            <w:r>
              <w:rPr>
                <w:sz w:val="16"/>
              </w:rPr>
              <w:t>GPR_POS_IR</w:t>
            </w:r>
          </w:p>
        </w:tc>
        <w:tc>
          <w:tcPr>
            <w:tcW w:w="1296" w:type="dxa"/>
            <w:vAlign w:val="center"/>
          </w:tcPr>
          <w:p w14:paraId="4B8906E8" w14:textId="77777777" w:rsidR="00461277" w:rsidRDefault="00000000">
            <w:r>
              <w:rPr>
                <w:sz w:val="16"/>
              </w:rPr>
              <w:t>0.011631</w:t>
            </w:r>
          </w:p>
        </w:tc>
        <w:tc>
          <w:tcPr>
            <w:tcW w:w="1296" w:type="dxa"/>
            <w:vAlign w:val="center"/>
          </w:tcPr>
          <w:p w14:paraId="62DAE1C6" w14:textId="77777777" w:rsidR="00461277" w:rsidRDefault="00000000">
            <w:r>
              <w:rPr>
                <w:sz w:val="16"/>
              </w:rPr>
              <w:t>0.006961</w:t>
            </w:r>
          </w:p>
        </w:tc>
        <w:tc>
          <w:tcPr>
            <w:tcW w:w="1296" w:type="dxa"/>
            <w:vAlign w:val="center"/>
          </w:tcPr>
          <w:p w14:paraId="02144D90" w14:textId="77777777" w:rsidR="00461277" w:rsidRDefault="00000000">
            <w:r>
              <w:rPr>
                <w:sz w:val="16"/>
              </w:rPr>
              <w:t>1.670993</w:t>
            </w:r>
          </w:p>
        </w:tc>
        <w:tc>
          <w:tcPr>
            <w:tcW w:w="1152" w:type="dxa"/>
            <w:vAlign w:val="center"/>
          </w:tcPr>
          <w:p w14:paraId="5FF03E9D" w14:textId="77777777" w:rsidR="00461277" w:rsidRDefault="00000000">
            <w:r>
              <w:rPr>
                <w:sz w:val="16"/>
              </w:rPr>
              <w:t>0.0962</w:t>
            </w:r>
          </w:p>
        </w:tc>
        <w:tc>
          <w:tcPr>
            <w:tcW w:w="2016" w:type="dxa"/>
            <w:vAlign w:val="center"/>
          </w:tcPr>
          <w:p w14:paraId="1E9EFACF" w14:textId="77777777" w:rsidR="00461277" w:rsidRDefault="00000000">
            <w:r>
              <w:rPr>
                <w:sz w:val="16"/>
              </w:rPr>
              <w:t>Significant at 10%</w:t>
            </w:r>
          </w:p>
        </w:tc>
      </w:tr>
      <w:tr w:rsidR="00461277" w14:paraId="019AF44A" w14:textId="77777777">
        <w:trPr>
          <w:jc w:val="center"/>
        </w:trPr>
        <w:tc>
          <w:tcPr>
            <w:tcW w:w="1728" w:type="dxa"/>
            <w:vAlign w:val="center"/>
          </w:tcPr>
          <w:p w14:paraId="6AC7B1F6" w14:textId="77777777" w:rsidR="00461277" w:rsidRDefault="00000000">
            <w:r>
              <w:rPr>
                <w:sz w:val="16"/>
              </w:rPr>
              <w:t>GPR_NEG_IR</w:t>
            </w:r>
          </w:p>
        </w:tc>
        <w:tc>
          <w:tcPr>
            <w:tcW w:w="1296" w:type="dxa"/>
            <w:vAlign w:val="center"/>
          </w:tcPr>
          <w:p w14:paraId="0A031059" w14:textId="77777777" w:rsidR="00461277" w:rsidRDefault="00000000">
            <w:r>
              <w:rPr>
                <w:sz w:val="16"/>
              </w:rPr>
              <w:t>0.011844</w:t>
            </w:r>
          </w:p>
        </w:tc>
        <w:tc>
          <w:tcPr>
            <w:tcW w:w="1296" w:type="dxa"/>
            <w:vAlign w:val="center"/>
          </w:tcPr>
          <w:p w14:paraId="3296E20D" w14:textId="77777777" w:rsidR="00461277" w:rsidRDefault="00000000">
            <w:r>
              <w:rPr>
                <w:sz w:val="16"/>
              </w:rPr>
              <w:t>0.006958</w:t>
            </w:r>
          </w:p>
        </w:tc>
        <w:tc>
          <w:tcPr>
            <w:tcW w:w="1296" w:type="dxa"/>
            <w:vAlign w:val="center"/>
          </w:tcPr>
          <w:p w14:paraId="616ADDA5" w14:textId="77777777" w:rsidR="00461277" w:rsidRDefault="00000000">
            <w:r>
              <w:rPr>
                <w:sz w:val="16"/>
              </w:rPr>
              <w:t>1.702263</w:t>
            </w:r>
          </w:p>
        </w:tc>
        <w:tc>
          <w:tcPr>
            <w:tcW w:w="1152" w:type="dxa"/>
            <w:vAlign w:val="center"/>
          </w:tcPr>
          <w:p w14:paraId="5BC5E35F" w14:textId="77777777" w:rsidR="00461277" w:rsidRDefault="00000000">
            <w:r>
              <w:rPr>
                <w:sz w:val="16"/>
              </w:rPr>
              <w:t>0.0901</w:t>
            </w:r>
          </w:p>
        </w:tc>
        <w:tc>
          <w:tcPr>
            <w:tcW w:w="2016" w:type="dxa"/>
            <w:vAlign w:val="center"/>
          </w:tcPr>
          <w:p w14:paraId="51B0AAF2" w14:textId="77777777" w:rsidR="00461277" w:rsidRDefault="00000000">
            <w:r>
              <w:rPr>
                <w:sz w:val="16"/>
              </w:rPr>
              <w:t>Significant at 10%</w:t>
            </w:r>
          </w:p>
        </w:tc>
      </w:tr>
    </w:tbl>
    <w:p w14:paraId="309A5D5A" w14:textId="77777777" w:rsidR="00461277" w:rsidRDefault="00000000">
      <w:pPr>
        <w:spacing w:after="40"/>
        <w:jc w:val="both"/>
      </w:pPr>
      <w:r>
        <w:rPr>
          <w:sz w:val="18"/>
        </w:rPr>
        <w:t>Note: GPR_POS and GPR_NEG represent the general geopolitical risk components. GPR_POS_RU and GPR_NEG_RU represent Russia–Ukraine interactions, while GPR_POS_IR and GPR_NEG_IR represent Iran-related interactions.</w:t>
      </w:r>
    </w:p>
    <w:p w14:paraId="340D973D" w14:textId="77777777" w:rsidR="001C32BA" w:rsidRDefault="001C32BA">
      <w:pPr>
        <w:spacing w:after="120"/>
        <w:jc w:val="both"/>
        <w:rPr>
          <w:sz w:val="18"/>
        </w:rPr>
      </w:pPr>
    </w:p>
    <w:p w14:paraId="5CC3456D" w14:textId="1CA9AAE3" w:rsidR="00461277" w:rsidRPr="003C190B" w:rsidRDefault="00000000" w:rsidP="003C190B">
      <w:pPr>
        <w:spacing w:after="120" w:line="360" w:lineRule="auto"/>
        <w:jc w:val="both"/>
        <w:rPr>
          <w:sz w:val="24"/>
          <w:szCs w:val="24"/>
        </w:rPr>
      </w:pPr>
      <w:r w:rsidRPr="003C190B">
        <w:rPr>
          <w:sz w:val="24"/>
          <w:szCs w:val="24"/>
        </w:rPr>
        <w:lastRenderedPageBreak/>
        <w:t xml:space="preserve">The general GPR components, GPR_POS and GPR_NEG, are negative and statistically significant. This suggests that when event context is not </w:t>
      </w:r>
      <w:proofErr w:type="gramStart"/>
      <w:r w:rsidRPr="003C190B">
        <w:rPr>
          <w:sz w:val="24"/>
          <w:szCs w:val="24"/>
        </w:rPr>
        <w:t>taken into account</w:t>
      </w:r>
      <w:proofErr w:type="gramEnd"/>
      <w:r w:rsidRPr="003C190B">
        <w:rPr>
          <w:sz w:val="24"/>
          <w:szCs w:val="24"/>
        </w:rPr>
        <w:t>, the general effect of geopolitical risk on Brent prices is negative. This is consistent with the view that geopolitical risk may depress oil prices through weaker economic activity and lower demand expectations, in addition to supply disruption channels.</w:t>
      </w:r>
    </w:p>
    <w:p w14:paraId="4A4B6184" w14:textId="77777777" w:rsidR="00461277" w:rsidRPr="003C190B" w:rsidRDefault="00000000" w:rsidP="003C190B">
      <w:pPr>
        <w:spacing w:after="120" w:line="360" w:lineRule="auto"/>
        <w:jc w:val="both"/>
        <w:rPr>
          <w:sz w:val="24"/>
          <w:szCs w:val="24"/>
        </w:rPr>
      </w:pPr>
      <w:r w:rsidRPr="003C190B">
        <w:rPr>
          <w:sz w:val="24"/>
          <w:szCs w:val="24"/>
        </w:rPr>
        <w:t>In contrast, the Russia–Ukraine interaction variables are positive and strongly significant. The coefficients of GPR_POS_RU and GPR_NEG_RU are 0.028413 and 0.028189, respectively, and both are significant at the 1% level. These results suggest that geopolitical risk transmission to Brent prices strengthened during the Russia–Ukraine War, likely through sanctions, producer-country risk, market expectations, and European energy security concerns.</w:t>
      </w:r>
    </w:p>
    <w:p w14:paraId="48E8F14D" w14:textId="77777777" w:rsidR="00461277" w:rsidRPr="003C190B" w:rsidRDefault="00000000" w:rsidP="003C190B">
      <w:pPr>
        <w:spacing w:after="120" w:line="360" w:lineRule="auto"/>
        <w:jc w:val="both"/>
        <w:rPr>
          <w:sz w:val="24"/>
          <w:szCs w:val="24"/>
        </w:rPr>
      </w:pPr>
      <w:r w:rsidRPr="003C190B">
        <w:rPr>
          <w:sz w:val="24"/>
          <w:szCs w:val="24"/>
        </w:rPr>
        <w:t>Iran-related interaction variables are also positive, but their significance is weaker. GPR_POS_IR and GPR_NEG_IR are significant only at the 10% level. This indicates that Iran-related tensions affect Brent prices, but the effect is less statistically pronounced than the Russia–Ukraine effect and appears to operate mainly through the oil risk premium channel associated with the Strait of Hormuz, transit security, tanker transportation, and expected supply disruptions.</w:t>
      </w:r>
    </w:p>
    <w:p w14:paraId="2B7DE37A" w14:textId="77777777" w:rsidR="00461277" w:rsidRPr="003C190B" w:rsidRDefault="00000000">
      <w:pPr>
        <w:pStyle w:val="Balk2"/>
        <w:spacing w:before="120" w:after="80"/>
        <w:rPr>
          <w:szCs w:val="24"/>
        </w:rPr>
      </w:pPr>
      <w:r w:rsidRPr="003C190B">
        <w:rPr>
          <w:rFonts w:ascii="Times New Roman" w:eastAsia="Times New Roman" w:hAnsi="Times New Roman"/>
          <w:b w:val="0"/>
          <w:szCs w:val="24"/>
        </w:rPr>
        <w:t>4.4. Event-contextual comparison: Wald tests</w:t>
      </w:r>
    </w:p>
    <w:p w14:paraId="178C8442" w14:textId="77777777" w:rsidR="00461277" w:rsidRDefault="00000000">
      <w:pPr>
        <w:spacing w:after="60"/>
        <w:jc w:val="both"/>
      </w:pPr>
      <w:r>
        <w:rPr>
          <w:b/>
        </w:rPr>
        <w:t>Table 5. Comparison of Russia–Ukraine and Iran interaction coefficients</w:t>
      </w:r>
    </w:p>
    <w:tbl>
      <w:tblPr>
        <w:tblStyle w:val="TabloKlavuzu"/>
        <w:tblW w:w="0" w:type="auto"/>
        <w:jc w:val="center"/>
        <w:tblLook w:val="04A0" w:firstRow="1" w:lastRow="0" w:firstColumn="1" w:lastColumn="0" w:noHBand="0" w:noVBand="1"/>
      </w:tblPr>
      <w:tblGrid>
        <w:gridCol w:w="1703"/>
        <w:gridCol w:w="3101"/>
        <w:gridCol w:w="1286"/>
        <w:gridCol w:w="1142"/>
        <w:gridCol w:w="995"/>
        <w:gridCol w:w="1843"/>
      </w:tblGrid>
      <w:tr w:rsidR="00461277" w14:paraId="0326EF3A" w14:textId="77777777">
        <w:trPr>
          <w:jc w:val="center"/>
        </w:trPr>
        <w:tc>
          <w:tcPr>
            <w:tcW w:w="1728" w:type="dxa"/>
            <w:vAlign w:val="center"/>
          </w:tcPr>
          <w:p w14:paraId="04BA8FA7" w14:textId="77777777" w:rsidR="00461277" w:rsidRDefault="00000000">
            <w:r>
              <w:rPr>
                <w:b/>
                <w:sz w:val="16"/>
              </w:rPr>
              <w:t>Test</w:t>
            </w:r>
          </w:p>
        </w:tc>
        <w:tc>
          <w:tcPr>
            <w:tcW w:w="3168" w:type="dxa"/>
            <w:vAlign w:val="center"/>
          </w:tcPr>
          <w:p w14:paraId="0425AB93" w14:textId="77777777" w:rsidR="00461277" w:rsidRDefault="00000000">
            <w:r>
              <w:rPr>
                <w:b/>
                <w:sz w:val="16"/>
              </w:rPr>
              <w:t>Hypothesis</w:t>
            </w:r>
          </w:p>
        </w:tc>
        <w:tc>
          <w:tcPr>
            <w:tcW w:w="1296" w:type="dxa"/>
            <w:vAlign w:val="center"/>
          </w:tcPr>
          <w:p w14:paraId="3433D8D5" w14:textId="77777777" w:rsidR="00461277" w:rsidRDefault="00000000">
            <w:r>
              <w:rPr>
                <w:b/>
                <w:sz w:val="16"/>
              </w:rPr>
              <w:t>Restriction</w:t>
            </w:r>
          </w:p>
        </w:tc>
        <w:tc>
          <w:tcPr>
            <w:tcW w:w="1152" w:type="dxa"/>
            <w:vAlign w:val="center"/>
          </w:tcPr>
          <w:p w14:paraId="44122039" w14:textId="77777777" w:rsidR="00461277" w:rsidRDefault="00000000">
            <w:r>
              <w:rPr>
                <w:b/>
                <w:sz w:val="16"/>
              </w:rPr>
              <w:t>F-statistic</w:t>
            </w:r>
          </w:p>
        </w:tc>
        <w:tc>
          <w:tcPr>
            <w:tcW w:w="1008" w:type="dxa"/>
            <w:vAlign w:val="center"/>
          </w:tcPr>
          <w:p w14:paraId="066AF112" w14:textId="77777777" w:rsidR="00461277" w:rsidRDefault="00000000">
            <w:r>
              <w:rPr>
                <w:b/>
                <w:sz w:val="16"/>
              </w:rPr>
              <w:t>p-value</w:t>
            </w:r>
          </w:p>
        </w:tc>
        <w:tc>
          <w:tcPr>
            <w:tcW w:w="1872" w:type="dxa"/>
            <w:vAlign w:val="center"/>
          </w:tcPr>
          <w:p w14:paraId="4FAEE228" w14:textId="77777777" w:rsidR="00461277" w:rsidRDefault="00000000">
            <w:r>
              <w:rPr>
                <w:b/>
                <w:sz w:val="16"/>
              </w:rPr>
              <w:t>Decision</w:t>
            </w:r>
          </w:p>
        </w:tc>
      </w:tr>
      <w:tr w:rsidR="00461277" w14:paraId="1B0BF2F7" w14:textId="77777777">
        <w:trPr>
          <w:jc w:val="center"/>
        </w:trPr>
        <w:tc>
          <w:tcPr>
            <w:tcW w:w="1728" w:type="dxa"/>
            <w:vAlign w:val="center"/>
          </w:tcPr>
          <w:p w14:paraId="07B43D9E" w14:textId="77777777" w:rsidR="00461277" w:rsidRDefault="00000000">
            <w:r>
              <w:rPr>
                <w:sz w:val="16"/>
              </w:rPr>
              <w:t>Difference in positive GPR effect</w:t>
            </w:r>
          </w:p>
        </w:tc>
        <w:tc>
          <w:tcPr>
            <w:tcW w:w="3168" w:type="dxa"/>
            <w:vAlign w:val="center"/>
          </w:tcPr>
          <w:p w14:paraId="28AC9D0F" w14:textId="77777777" w:rsidR="00461277" w:rsidRDefault="00000000">
            <w:r>
              <w:rPr>
                <w:sz w:val="16"/>
              </w:rPr>
              <w:t>Positive GPR effects for Russia–Ukraine and Iran are equal</w:t>
            </w:r>
          </w:p>
        </w:tc>
        <w:tc>
          <w:tcPr>
            <w:tcW w:w="1296" w:type="dxa"/>
            <w:vAlign w:val="center"/>
          </w:tcPr>
          <w:p w14:paraId="01121DF0" w14:textId="77777777" w:rsidR="00461277" w:rsidRDefault="00000000">
            <w:r>
              <w:rPr>
                <w:sz w:val="16"/>
              </w:rPr>
              <w:t>C(5)=C(7)</w:t>
            </w:r>
          </w:p>
        </w:tc>
        <w:tc>
          <w:tcPr>
            <w:tcW w:w="1152" w:type="dxa"/>
            <w:vAlign w:val="center"/>
          </w:tcPr>
          <w:p w14:paraId="2F132E15" w14:textId="77777777" w:rsidR="00461277" w:rsidRDefault="00000000">
            <w:r>
              <w:rPr>
                <w:sz w:val="16"/>
              </w:rPr>
              <w:t>1.862110</w:t>
            </w:r>
          </w:p>
        </w:tc>
        <w:tc>
          <w:tcPr>
            <w:tcW w:w="1008" w:type="dxa"/>
            <w:vAlign w:val="center"/>
          </w:tcPr>
          <w:p w14:paraId="0DDBAC12" w14:textId="77777777" w:rsidR="00461277" w:rsidRDefault="00000000">
            <w:r>
              <w:rPr>
                <w:sz w:val="16"/>
              </w:rPr>
              <w:t>≈ 0.173</w:t>
            </w:r>
          </w:p>
        </w:tc>
        <w:tc>
          <w:tcPr>
            <w:tcW w:w="1872" w:type="dxa"/>
            <w:vAlign w:val="center"/>
          </w:tcPr>
          <w:p w14:paraId="3F64D9FF" w14:textId="77777777" w:rsidR="00461277" w:rsidRDefault="00000000">
            <w:r>
              <w:rPr>
                <w:sz w:val="16"/>
              </w:rPr>
              <w:t>Difference is not significant</w:t>
            </w:r>
          </w:p>
        </w:tc>
      </w:tr>
      <w:tr w:rsidR="00461277" w14:paraId="4BC03CA6" w14:textId="77777777">
        <w:trPr>
          <w:jc w:val="center"/>
        </w:trPr>
        <w:tc>
          <w:tcPr>
            <w:tcW w:w="1728" w:type="dxa"/>
            <w:vAlign w:val="center"/>
          </w:tcPr>
          <w:p w14:paraId="3474B3B7" w14:textId="77777777" w:rsidR="00461277" w:rsidRDefault="00000000">
            <w:r>
              <w:rPr>
                <w:sz w:val="16"/>
              </w:rPr>
              <w:t>Difference in negative GPR effect</w:t>
            </w:r>
          </w:p>
        </w:tc>
        <w:tc>
          <w:tcPr>
            <w:tcW w:w="3168" w:type="dxa"/>
            <w:vAlign w:val="center"/>
          </w:tcPr>
          <w:p w14:paraId="7C1F3FFB" w14:textId="77777777" w:rsidR="00461277" w:rsidRDefault="00000000">
            <w:r>
              <w:rPr>
                <w:sz w:val="16"/>
              </w:rPr>
              <w:t>Negative GPR effects for Russia–Ukraine and Iran are equal</w:t>
            </w:r>
          </w:p>
        </w:tc>
        <w:tc>
          <w:tcPr>
            <w:tcW w:w="1296" w:type="dxa"/>
            <w:vAlign w:val="center"/>
          </w:tcPr>
          <w:p w14:paraId="55E66B7B" w14:textId="77777777" w:rsidR="00461277" w:rsidRDefault="00000000">
            <w:r>
              <w:rPr>
                <w:sz w:val="16"/>
              </w:rPr>
              <w:t>C(6)=C(8)</w:t>
            </w:r>
          </w:p>
        </w:tc>
        <w:tc>
          <w:tcPr>
            <w:tcW w:w="1152" w:type="dxa"/>
            <w:vAlign w:val="center"/>
          </w:tcPr>
          <w:p w14:paraId="03B62BB9" w14:textId="77777777" w:rsidR="00461277" w:rsidRDefault="00000000">
            <w:r>
              <w:rPr>
                <w:sz w:val="16"/>
              </w:rPr>
              <w:t>1.793035</w:t>
            </w:r>
          </w:p>
        </w:tc>
        <w:tc>
          <w:tcPr>
            <w:tcW w:w="1008" w:type="dxa"/>
            <w:vAlign w:val="center"/>
          </w:tcPr>
          <w:p w14:paraId="7EB80A1B" w14:textId="77777777" w:rsidR="00461277" w:rsidRDefault="00000000">
            <w:r>
              <w:rPr>
                <w:sz w:val="16"/>
              </w:rPr>
              <w:t>≈ 0.181</w:t>
            </w:r>
          </w:p>
        </w:tc>
        <w:tc>
          <w:tcPr>
            <w:tcW w:w="1872" w:type="dxa"/>
            <w:vAlign w:val="center"/>
          </w:tcPr>
          <w:p w14:paraId="7568ACF5" w14:textId="77777777" w:rsidR="00461277" w:rsidRDefault="00000000">
            <w:r>
              <w:rPr>
                <w:sz w:val="16"/>
              </w:rPr>
              <w:t>Difference is not significant</w:t>
            </w:r>
          </w:p>
        </w:tc>
      </w:tr>
    </w:tbl>
    <w:p w14:paraId="28E379B5" w14:textId="77777777" w:rsidR="00461277" w:rsidRDefault="00000000">
      <w:pPr>
        <w:spacing w:after="40"/>
        <w:jc w:val="both"/>
      </w:pPr>
      <w:r>
        <w:rPr>
          <w:sz w:val="18"/>
        </w:rPr>
        <w:t>Note: The null hypothesis is that the relevant Russia–Ukraine and Iran interaction coefficients are equal. A p-value above 0.10 indicates that the coefficient difference is not statistically significant.</w:t>
      </w:r>
    </w:p>
    <w:p w14:paraId="44CAF359" w14:textId="77777777" w:rsidR="001C32BA" w:rsidRDefault="001C32BA">
      <w:pPr>
        <w:spacing w:after="120"/>
        <w:jc w:val="both"/>
        <w:rPr>
          <w:sz w:val="18"/>
        </w:rPr>
      </w:pPr>
    </w:p>
    <w:p w14:paraId="37748713" w14:textId="086FD1A9" w:rsidR="00461277" w:rsidRPr="003C190B" w:rsidRDefault="00000000" w:rsidP="003C190B">
      <w:pPr>
        <w:spacing w:after="120" w:line="360" w:lineRule="auto"/>
        <w:jc w:val="both"/>
        <w:rPr>
          <w:sz w:val="24"/>
          <w:szCs w:val="24"/>
        </w:rPr>
      </w:pPr>
      <w:r w:rsidRPr="003C190B">
        <w:rPr>
          <w:sz w:val="24"/>
          <w:szCs w:val="24"/>
        </w:rPr>
        <w:t>The Wald tests show that the differences between the Russia–Ukraine and Iran interaction coefficients are not statistically significant. Although the Russia–Ukraine coefficients are larger than the Iran-related coefficients, this difference is not statistically confirmed. The results therefore define the interpretive boundary of the study: coefficient magnitudes suggest event-contextual differentiation, but Wald tests do not confirm the difference statistically.</w:t>
      </w:r>
    </w:p>
    <w:p w14:paraId="0C6EC0AB" w14:textId="77777777" w:rsidR="00461277" w:rsidRDefault="00000000">
      <w:pPr>
        <w:pStyle w:val="Balk2"/>
        <w:spacing w:before="120" w:after="80"/>
      </w:pPr>
      <w:r>
        <w:rPr>
          <w:rFonts w:ascii="Times New Roman" w:eastAsia="Times New Roman" w:hAnsi="Times New Roman"/>
          <w:b w:val="0"/>
        </w:rPr>
        <w:t>4.5. Diagnostic and robustness checks</w:t>
      </w:r>
    </w:p>
    <w:p w14:paraId="0FE20EA8" w14:textId="77777777" w:rsidR="00461277" w:rsidRDefault="00000000">
      <w:pPr>
        <w:spacing w:after="60"/>
        <w:jc w:val="both"/>
      </w:pPr>
      <w:r>
        <w:rPr>
          <w:b/>
        </w:rPr>
        <w:t>Table 6. Diagnostic test results for the comparative NARDL model</w:t>
      </w:r>
    </w:p>
    <w:tbl>
      <w:tblPr>
        <w:tblStyle w:val="TabloKlavuzu"/>
        <w:tblW w:w="0" w:type="auto"/>
        <w:jc w:val="center"/>
        <w:tblLook w:val="04A0" w:firstRow="1" w:lastRow="0" w:firstColumn="1" w:lastColumn="0" w:noHBand="0" w:noVBand="1"/>
      </w:tblPr>
      <w:tblGrid>
        <w:gridCol w:w="2302"/>
        <w:gridCol w:w="2589"/>
        <w:gridCol w:w="1151"/>
        <w:gridCol w:w="4028"/>
      </w:tblGrid>
      <w:tr w:rsidR="00461277" w14:paraId="06F39FB8" w14:textId="77777777">
        <w:trPr>
          <w:jc w:val="center"/>
        </w:trPr>
        <w:tc>
          <w:tcPr>
            <w:tcW w:w="2304" w:type="dxa"/>
            <w:vAlign w:val="center"/>
          </w:tcPr>
          <w:p w14:paraId="6E58EEC9" w14:textId="77777777" w:rsidR="00461277" w:rsidRDefault="00000000">
            <w:r>
              <w:rPr>
                <w:b/>
                <w:sz w:val="16"/>
              </w:rPr>
              <w:t>Test</w:t>
            </w:r>
          </w:p>
        </w:tc>
        <w:tc>
          <w:tcPr>
            <w:tcW w:w="2592" w:type="dxa"/>
            <w:vAlign w:val="center"/>
          </w:tcPr>
          <w:p w14:paraId="64CD9838" w14:textId="77777777" w:rsidR="00461277" w:rsidRDefault="00000000">
            <w:r>
              <w:rPr>
                <w:b/>
                <w:sz w:val="16"/>
              </w:rPr>
              <w:t>Test statistic / Finding</w:t>
            </w:r>
          </w:p>
        </w:tc>
        <w:tc>
          <w:tcPr>
            <w:tcW w:w="1152" w:type="dxa"/>
            <w:vAlign w:val="center"/>
          </w:tcPr>
          <w:p w14:paraId="3E557848" w14:textId="77777777" w:rsidR="00461277" w:rsidRDefault="00000000">
            <w:r>
              <w:rPr>
                <w:b/>
                <w:sz w:val="16"/>
              </w:rPr>
              <w:t>p-value</w:t>
            </w:r>
          </w:p>
        </w:tc>
        <w:tc>
          <w:tcPr>
            <w:tcW w:w="4032" w:type="dxa"/>
            <w:vAlign w:val="center"/>
          </w:tcPr>
          <w:p w14:paraId="6FF4371F" w14:textId="77777777" w:rsidR="00461277" w:rsidRDefault="00000000">
            <w:r>
              <w:rPr>
                <w:b/>
                <w:sz w:val="16"/>
              </w:rPr>
              <w:t>Decision</w:t>
            </w:r>
          </w:p>
        </w:tc>
      </w:tr>
      <w:tr w:rsidR="00461277" w14:paraId="3143217A" w14:textId="77777777">
        <w:trPr>
          <w:jc w:val="center"/>
        </w:trPr>
        <w:tc>
          <w:tcPr>
            <w:tcW w:w="2304" w:type="dxa"/>
            <w:vAlign w:val="center"/>
          </w:tcPr>
          <w:p w14:paraId="4B430845" w14:textId="77777777" w:rsidR="00461277" w:rsidRDefault="00000000">
            <w:r>
              <w:rPr>
                <w:sz w:val="16"/>
              </w:rPr>
              <w:t>Breusch–Godfrey LM</w:t>
            </w:r>
          </w:p>
        </w:tc>
        <w:tc>
          <w:tcPr>
            <w:tcW w:w="2592" w:type="dxa"/>
            <w:vAlign w:val="center"/>
          </w:tcPr>
          <w:p w14:paraId="65A12245" w14:textId="77777777" w:rsidR="00461277" w:rsidRDefault="00000000">
            <w:r>
              <w:rPr>
                <w:sz w:val="16"/>
              </w:rPr>
              <w:t>F ≈ 0.001183</w:t>
            </w:r>
          </w:p>
        </w:tc>
        <w:tc>
          <w:tcPr>
            <w:tcW w:w="1152" w:type="dxa"/>
            <w:vAlign w:val="center"/>
          </w:tcPr>
          <w:p w14:paraId="71AC9DC9" w14:textId="77777777" w:rsidR="00461277" w:rsidRDefault="00000000">
            <w:r>
              <w:rPr>
                <w:sz w:val="16"/>
              </w:rPr>
              <w:t>≈ 0.9988</w:t>
            </w:r>
          </w:p>
        </w:tc>
        <w:tc>
          <w:tcPr>
            <w:tcW w:w="4032" w:type="dxa"/>
            <w:vAlign w:val="center"/>
          </w:tcPr>
          <w:p w14:paraId="062E175E" w14:textId="77777777" w:rsidR="00461277" w:rsidRDefault="00000000">
            <w:r>
              <w:rPr>
                <w:sz w:val="16"/>
              </w:rPr>
              <w:t>No serial correlation</w:t>
            </w:r>
          </w:p>
        </w:tc>
      </w:tr>
      <w:tr w:rsidR="00461277" w14:paraId="59ACACD2" w14:textId="77777777">
        <w:trPr>
          <w:jc w:val="center"/>
        </w:trPr>
        <w:tc>
          <w:tcPr>
            <w:tcW w:w="2304" w:type="dxa"/>
            <w:vAlign w:val="center"/>
          </w:tcPr>
          <w:p w14:paraId="7768253A" w14:textId="77777777" w:rsidR="00461277" w:rsidRDefault="00000000">
            <w:r>
              <w:rPr>
                <w:sz w:val="16"/>
              </w:rPr>
              <w:t>Breusch–Pagan–Godfrey</w:t>
            </w:r>
          </w:p>
        </w:tc>
        <w:tc>
          <w:tcPr>
            <w:tcW w:w="2592" w:type="dxa"/>
            <w:vAlign w:val="center"/>
          </w:tcPr>
          <w:p w14:paraId="71690F17" w14:textId="77777777" w:rsidR="00461277" w:rsidRDefault="00000000">
            <w:r>
              <w:rPr>
                <w:sz w:val="16"/>
              </w:rPr>
              <w:t>F ≈ 1.709704</w:t>
            </w:r>
          </w:p>
        </w:tc>
        <w:tc>
          <w:tcPr>
            <w:tcW w:w="1152" w:type="dxa"/>
            <w:vAlign w:val="center"/>
          </w:tcPr>
          <w:p w14:paraId="6674CA48" w14:textId="77777777" w:rsidR="00461277" w:rsidRDefault="00000000">
            <w:r>
              <w:rPr>
                <w:sz w:val="16"/>
              </w:rPr>
              <w:t>≈ 0.0974</w:t>
            </w:r>
          </w:p>
        </w:tc>
        <w:tc>
          <w:tcPr>
            <w:tcW w:w="4032" w:type="dxa"/>
            <w:vAlign w:val="center"/>
          </w:tcPr>
          <w:p w14:paraId="29811FC6" w14:textId="77777777" w:rsidR="00461277" w:rsidRDefault="00000000">
            <w:r>
              <w:rPr>
                <w:sz w:val="16"/>
              </w:rPr>
              <w:t>No heteroskedasticity at 5%; borderline at 10%</w:t>
            </w:r>
          </w:p>
        </w:tc>
      </w:tr>
      <w:tr w:rsidR="00461277" w14:paraId="43A90348" w14:textId="77777777">
        <w:trPr>
          <w:jc w:val="center"/>
        </w:trPr>
        <w:tc>
          <w:tcPr>
            <w:tcW w:w="2304" w:type="dxa"/>
            <w:vAlign w:val="center"/>
          </w:tcPr>
          <w:p w14:paraId="506ECF7A" w14:textId="77777777" w:rsidR="00461277" w:rsidRDefault="00000000">
            <w:r>
              <w:rPr>
                <w:sz w:val="16"/>
              </w:rPr>
              <w:t>Jarque–Bera</w:t>
            </w:r>
          </w:p>
        </w:tc>
        <w:tc>
          <w:tcPr>
            <w:tcW w:w="2592" w:type="dxa"/>
            <w:vAlign w:val="center"/>
          </w:tcPr>
          <w:p w14:paraId="461A5755" w14:textId="77777777" w:rsidR="00461277" w:rsidRDefault="00000000">
            <w:r>
              <w:rPr>
                <w:sz w:val="16"/>
              </w:rPr>
              <w:t>839.1477</w:t>
            </w:r>
          </w:p>
        </w:tc>
        <w:tc>
          <w:tcPr>
            <w:tcW w:w="1152" w:type="dxa"/>
            <w:vAlign w:val="center"/>
          </w:tcPr>
          <w:p w14:paraId="7B9533D0" w14:textId="77777777" w:rsidR="00461277" w:rsidRDefault="00000000">
            <w:r>
              <w:rPr>
                <w:sz w:val="16"/>
              </w:rPr>
              <w:t>0.0000</w:t>
            </w:r>
          </w:p>
        </w:tc>
        <w:tc>
          <w:tcPr>
            <w:tcW w:w="4032" w:type="dxa"/>
            <w:vAlign w:val="center"/>
          </w:tcPr>
          <w:p w14:paraId="25F1ADE5" w14:textId="77777777" w:rsidR="00461277" w:rsidRDefault="00000000">
            <w:r>
              <w:rPr>
                <w:sz w:val="16"/>
              </w:rPr>
              <w:t>Residuals are not normally distributed</w:t>
            </w:r>
          </w:p>
        </w:tc>
      </w:tr>
      <w:tr w:rsidR="00461277" w14:paraId="113BF35A" w14:textId="77777777">
        <w:trPr>
          <w:jc w:val="center"/>
        </w:trPr>
        <w:tc>
          <w:tcPr>
            <w:tcW w:w="2304" w:type="dxa"/>
            <w:vAlign w:val="center"/>
          </w:tcPr>
          <w:p w14:paraId="45EFB9DF" w14:textId="77777777" w:rsidR="00461277" w:rsidRDefault="00000000">
            <w:r>
              <w:rPr>
                <w:sz w:val="16"/>
              </w:rPr>
              <w:t>Ramsey RESET</w:t>
            </w:r>
          </w:p>
        </w:tc>
        <w:tc>
          <w:tcPr>
            <w:tcW w:w="2592" w:type="dxa"/>
            <w:vAlign w:val="center"/>
          </w:tcPr>
          <w:p w14:paraId="18BA7C40" w14:textId="77777777" w:rsidR="00461277" w:rsidRDefault="00000000">
            <w:r>
              <w:rPr>
                <w:sz w:val="16"/>
              </w:rPr>
              <w:t>F = 6.353562</w:t>
            </w:r>
          </w:p>
        </w:tc>
        <w:tc>
          <w:tcPr>
            <w:tcW w:w="1152" w:type="dxa"/>
            <w:vAlign w:val="center"/>
          </w:tcPr>
          <w:p w14:paraId="453D6DBB" w14:textId="77777777" w:rsidR="00461277" w:rsidRDefault="00000000">
            <w:r>
              <w:rPr>
                <w:sz w:val="16"/>
              </w:rPr>
              <w:t>0.012443</w:t>
            </w:r>
          </w:p>
        </w:tc>
        <w:tc>
          <w:tcPr>
            <w:tcW w:w="4032" w:type="dxa"/>
            <w:vAlign w:val="center"/>
          </w:tcPr>
          <w:p w14:paraId="60A7678A" w14:textId="77777777" w:rsidR="00461277" w:rsidRDefault="00000000">
            <w:r>
              <w:rPr>
                <w:sz w:val="16"/>
              </w:rPr>
              <w:t>Functional form/specification concern</w:t>
            </w:r>
          </w:p>
        </w:tc>
      </w:tr>
      <w:tr w:rsidR="00461277" w14:paraId="208AEFEE" w14:textId="77777777">
        <w:trPr>
          <w:jc w:val="center"/>
        </w:trPr>
        <w:tc>
          <w:tcPr>
            <w:tcW w:w="2304" w:type="dxa"/>
            <w:vAlign w:val="center"/>
          </w:tcPr>
          <w:p w14:paraId="43F36B7B" w14:textId="77777777" w:rsidR="00461277" w:rsidRDefault="00000000">
            <w:r>
              <w:rPr>
                <w:sz w:val="16"/>
              </w:rPr>
              <w:t>CUSUM</w:t>
            </w:r>
          </w:p>
        </w:tc>
        <w:tc>
          <w:tcPr>
            <w:tcW w:w="2592" w:type="dxa"/>
            <w:vAlign w:val="center"/>
          </w:tcPr>
          <w:p w14:paraId="6C6F38D4" w14:textId="77777777" w:rsidR="00461277" w:rsidRDefault="00000000">
            <w:r>
              <w:rPr>
                <w:sz w:val="16"/>
              </w:rPr>
              <w:t>Within the critical bounds</w:t>
            </w:r>
          </w:p>
        </w:tc>
        <w:tc>
          <w:tcPr>
            <w:tcW w:w="1152" w:type="dxa"/>
            <w:vAlign w:val="center"/>
          </w:tcPr>
          <w:p w14:paraId="01E4137B" w14:textId="77777777" w:rsidR="00461277" w:rsidRDefault="00000000">
            <w:r>
              <w:rPr>
                <w:sz w:val="16"/>
              </w:rPr>
              <w:t>—</w:t>
            </w:r>
          </w:p>
        </w:tc>
        <w:tc>
          <w:tcPr>
            <w:tcW w:w="4032" w:type="dxa"/>
            <w:vAlign w:val="center"/>
          </w:tcPr>
          <w:p w14:paraId="25CC0FE8" w14:textId="77777777" w:rsidR="00461277" w:rsidRDefault="00000000">
            <w:r>
              <w:rPr>
                <w:sz w:val="16"/>
              </w:rPr>
              <w:t>Parameter stability supported</w:t>
            </w:r>
          </w:p>
        </w:tc>
      </w:tr>
      <w:tr w:rsidR="00461277" w14:paraId="4AAC116F" w14:textId="77777777">
        <w:trPr>
          <w:jc w:val="center"/>
        </w:trPr>
        <w:tc>
          <w:tcPr>
            <w:tcW w:w="2304" w:type="dxa"/>
            <w:vAlign w:val="center"/>
          </w:tcPr>
          <w:p w14:paraId="0D23543B" w14:textId="77777777" w:rsidR="00461277" w:rsidRDefault="00000000">
            <w:r>
              <w:rPr>
                <w:sz w:val="16"/>
              </w:rPr>
              <w:t>CUSUMSQ</w:t>
            </w:r>
          </w:p>
        </w:tc>
        <w:tc>
          <w:tcPr>
            <w:tcW w:w="2592" w:type="dxa"/>
            <w:vAlign w:val="center"/>
          </w:tcPr>
          <w:p w14:paraId="1F631BF3" w14:textId="77777777" w:rsidR="00461277" w:rsidRDefault="00000000">
            <w:r>
              <w:rPr>
                <w:sz w:val="16"/>
              </w:rPr>
              <w:t>Generally within the critical bounds</w:t>
            </w:r>
          </w:p>
        </w:tc>
        <w:tc>
          <w:tcPr>
            <w:tcW w:w="1152" w:type="dxa"/>
            <w:vAlign w:val="center"/>
          </w:tcPr>
          <w:p w14:paraId="3833FBD1" w14:textId="77777777" w:rsidR="00461277" w:rsidRDefault="00000000">
            <w:r>
              <w:rPr>
                <w:sz w:val="16"/>
              </w:rPr>
              <w:t>—</w:t>
            </w:r>
          </w:p>
        </w:tc>
        <w:tc>
          <w:tcPr>
            <w:tcW w:w="4032" w:type="dxa"/>
            <w:vAlign w:val="center"/>
          </w:tcPr>
          <w:p w14:paraId="3D503FCB" w14:textId="77777777" w:rsidR="00461277" w:rsidRDefault="00000000">
            <w:r>
              <w:rPr>
                <w:sz w:val="16"/>
              </w:rPr>
              <w:t>Overall stability supported; final-period movement toward boundary</w:t>
            </w:r>
          </w:p>
        </w:tc>
      </w:tr>
    </w:tbl>
    <w:p w14:paraId="46259C20" w14:textId="77777777" w:rsidR="00461277" w:rsidRDefault="00000000">
      <w:pPr>
        <w:spacing w:after="40"/>
        <w:jc w:val="both"/>
      </w:pPr>
      <w:r>
        <w:rPr>
          <w:sz w:val="18"/>
        </w:rPr>
        <w:t>Note: The Breusch–Godfrey LM test evaluates serial correlation; Breusch–Pagan–Godfrey evaluates heteroskedasticity; Jarque–Bera evaluates residual normality; Ramsey RESET evaluates functional form; CUSUM and CUSUMSQ evaluate parameter stability.</w:t>
      </w:r>
    </w:p>
    <w:p w14:paraId="730969E6" w14:textId="77777777" w:rsidR="00B90259" w:rsidRDefault="00B90259" w:rsidP="003C190B">
      <w:pPr>
        <w:spacing w:after="120" w:line="360" w:lineRule="auto"/>
        <w:jc w:val="both"/>
        <w:rPr>
          <w:sz w:val="18"/>
        </w:rPr>
      </w:pPr>
    </w:p>
    <w:p w14:paraId="4BC467E0" w14:textId="498449A0" w:rsidR="00461277" w:rsidRPr="003C190B" w:rsidRDefault="00000000" w:rsidP="003C190B">
      <w:pPr>
        <w:spacing w:after="120" w:line="360" w:lineRule="auto"/>
        <w:jc w:val="both"/>
        <w:rPr>
          <w:sz w:val="24"/>
          <w:szCs w:val="24"/>
        </w:rPr>
      </w:pPr>
      <w:r w:rsidRPr="003C190B">
        <w:rPr>
          <w:sz w:val="24"/>
          <w:szCs w:val="24"/>
        </w:rPr>
        <w:t>The diagnostic tests indicate that the model performs well in terms of serial correlation and parameter stability. The Jarque–Bera test rejects normality, which is not unexpected in oil price series affected by geopolitical crises and extreme observations. The Ramsey RESET result signals a possible functional form or specification concern. For this reason, robustness checks are used to assess whether the main findings are preserved across alternative specifications.</w:t>
      </w:r>
    </w:p>
    <w:p w14:paraId="48D1D624" w14:textId="77777777" w:rsidR="00461277" w:rsidRDefault="00000000">
      <w:pPr>
        <w:spacing w:after="60"/>
        <w:jc w:val="both"/>
      </w:pPr>
      <w:r>
        <w:rPr>
          <w:b/>
        </w:rPr>
        <w:t>Table 7. Summary of robustness checks</w:t>
      </w:r>
    </w:p>
    <w:tbl>
      <w:tblPr>
        <w:tblStyle w:val="TabloKlavuzu"/>
        <w:tblW w:w="0" w:type="auto"/>
        <w:jc w:val="center"/>
        <w:tblLook w:val="04A0" w:firstRow="1" w:lastRow="0" w:firstColumn="1" w:lastColumn="0" w:noHBand="0" w:noVBand="1"/>
      </w:tblPr>
      <w:tblGrid>
        <w:gridCol w:w="2592"/>
        <w:gridCol w:w="3456"/>
        <w:gridCol w:w="1728"/>
        <w:gridCol w:w="2016"/>
      </w:tblGrid>
      <w:tr w:rsidR="00461277" w14:paraId="28EB6705" w14:textId="77777777">
        <w:trPr>
          <w:jc w:val="center"/>
        </w:trPr>
        <w:tc>
          <w:tcPr>
            <w:tcW w:w="2592" w:type="dxa"/>
            <w:vAlign w:val="center"/>
          </w:tcPr>
          <w:p w14:paraId="3510EDC8" w14:textId="77777777" w:rsidR="00461277" w:rsidRDefault="00000000">
            <w:r>
              <w:rPr>
                <w:b/>
                <w:sz w:val="16"/>
              </w:rPr>
              <w:t>Robustness model</w:t>
            </w:r>
          </w:p>
        </w:tc>
        <w:tc>
          <w:tcPr>
            <w:tcW w:w="3456" w:type="dxa"/>
            <w:vAlign w:val="center"/>
          </w:tcPr>
          <w:p w14:paraId="657EEF2A" w14:textId="77777777" w:rsidR="00461277" w:rsidRDefault="00000000">
            <w:r>
              <w:rPr>
                <w:b/>
                <w:sz w:val="16"/>
              </w:rPr>
              <w:t>Model modification</w:t>
            </w:r>
          </w:p>
        </w:tc>
        <w:tc>
          <w:tcPr>
            <w:tcW w:w="1728" w:type="dxa"/>
            <w:vAlign w:val="center"/>
          </w:tcPr>
          <w:p w14:paraId="51AA1279" w14:textId="77777777" w:rsidR="00461277" w:rsidRDefault="00000000">
            <w:r>
              <w:rPr>
                <w:b/>
                <w:sz w:val="16"/>
              </w:rPr>
              <w:t>Bounds F-statistic</w:t>
            </w:r>
          </w:p>
        </w:tc>
        <w:tc>
          <w:tcPr>
            <w:tcW w:w="2016" w:type="dxa"/>
            <w:vAlign w:val="center"/>
          </w:tcPr>
          <w:p w14:paraId="04937B3C" w14:textId="77777777" w:rsidR="00461277" w:rsidRDefault="00000000">
            <w:r>
              <w:rPr>
                <w:b/>
                <w:sz w:val="16"/>
              </w:rPr>
              <w:t>Decision</w:t>
            </w:r>
          </w:p>
        </w:tc>
      </w:tr>
      <w:tr w:rsidR="00461277" w14:paraId="437F0364" w14:textId="77777777">
        <w:trPr>
          <w:jc w:val="center"/>
        </w:trPr>
        <w:tc>
          <w:tcPr>
            <w:tcW w:w="2592" w:type="dxa"/>
            <w:vAlign w:val="center"/>
          </w:tcPr>
          <w:p w14:paraId="69DBE376" w14:textId="77777777" w:rsidR="00461277" w:rsidRDefault="00000000">
            <w:r>
              <w:rPr>
                <w:sz w:val="16"/>
              </w:rPr>
              <w:t>Alternative model 1</w:t>
            </w:r>
          </w:p>
        </w:tc>
        <w:tc>
          <w:tcPr>
            <w:tcW w:w="3456" w:type="dxa"/>
            <w:vAlign w:val="center"/>
          </w:tcPr>
          <w:p w14:paraId="33B20BFF" w14:textId="77777777" w:rsidR="00461277" w:rsidRDefault="00000000">
            <w:r>
              <w:rPr>
                <w:sz w:val="16"/>
              </w:rPr>
              <w:t>New model specification</w:t>
            </w:r>
          </w:p>
        </w:tc>
        <w:tc>
          <w:tcPr>
            <w:tcW w:w="1728" w:type="dxa"/>
            <w:vAlign w:val="center"/>
          </w:tcPr>
          <w:p w14:paraId="5082FF37" w14:textId="77777777" w:rsidR="00461277" w:rsidRDefault="00000000">
            <w:r>
              <w:rPr>
                <w:sz w:val="16"/>
              </w:rPr>
              <w:t>4.303463</w:t>
            </w:r>
          </w:p>
        </w:tc>
        <w:tc>
          <w:tcPr>
            <w:tcW w:w="2016" w:type="dxa"/>
            <w:vAlign w:val="center"/>
          </w:tcPr>
          <w:p w14:paraId="4C85C90E" w14:textId="77777777" w:rsidR="00461277" w:rsidRDefault="00000000">
            <w:r>
              <w:rPr>
                <w:sz w:val="16"/>
              </w:rPr>
              <w:t>Cointegration exists</w:t>
            </w:r>
          </w:p>
        </w:tc>
      </w:tr>
      <w:tr w:rsidR="00461277" w14:paraId="0D2D841B" w14:textId="77777777">
        <w:trPr>
          <w:jc w:val="center"/>
        </w:trPr>
        <w:tc>
          <w:tcPr>
            <w:tcW w:w="2592" w:type="dxa"/>
            <w:vAlign w:val="center"/>
          </w:tcPr>
          <w:p w14:paraId="7AB1DCFB" w14:textId="77777777" w:rsidR="00461277" w:rsidRDefault="00000000">
            <w:r>
              <w:rPr>
                <w:sz w:val="16"/>
              </w:rPr>
              <w:t>Alternative model 2</w:t>
            </w:r>
          </w:p>
        </w:tc>
        <w:tc>
          <w:tcPr>
            <w:tcW w:w="3456" w:type="dxa"/>
            <w:vAlign w:val="center"/>
          </w:tcPr>
          <w:p w14:paraId="1477783B" w14:textId="77777777" w:rsidR="00461277" w:rsidRDefault="00000000">
            <w:r>
              <w:rPr>
                <w:sz w:val="16"/>
              </w:rPr>
              <w:t>Alternative lag / model structure</w:t>
            </w:r>
          </w:p>
        </w:tc>
        <w:tc>
          <w:tcPr>
            <w:tcW w:w="1728" w:type="dxa"/>
            <w:vAlign w:val="center"/>
          </w:tcPr>
          <w:p w14:paraId="464C2A41" w14:textId="77777777" w:rsidR="00461277" w:rsidRDefault="00000000">
            <w:r>
              <w:rPr>
                <w:sz w:val="16"/>
              </w:rPr>
              <w:t>5.055999</w:t>
            </w:r>
          </w:p>
        </w:tc>
        <w:tc>
          <w:tcPr>
            <w:tcW w:w="2016" w:type="dxa"/>
            <w:vAlign w:val="center"/>
          </w:tcPr>
          <w:p w14:paraId="72FDC9A4" w14:textId="77777777" w:rsidR="00461277" w:rsidRDefault="00000000">
            <w:r>
              <w:rPr>
                <w:sz w:val="16"/>
              </w:rPr>
              <w:t>Cointegration exists</w:t>
            </w:r>
          </w:p>
        </w:tc>
      </w:tr>
      <w:tr w:rsidR="00461277" w14:paraId="2515FB5B" w14:textId="77777777">
        <w:trPr>
          <w:jc w:val="center"/>
        </w:trPr>
        <w:tc>
          <w:tcPr>
            <w:tcW w:w="2592" w:type="dxa"/>
            <w:vAlign w:val="center"/>
          </w:tcPr>
          <w:p w14:paraId="2631A619" w14:textId="77777777" w:rsidR="00461277" w:rsidRDefault="00000000">
            <w:r>
              <w:rPr>
                <w:sz w:val="16"/>
              </w:rPr>
              <w:t>OVX-controlled model</w:t>
            </w:r>
          </w:p>
        </w:tc>
        <w:tc>
          <w:tcPr>
            <w:tcW w:w="3456" w:type="dxa"/>
            <w:vAlign w:val="center"/>
          </w:tcPr>
          <w:p w14:paraId="59BDDFF4" w14:textId="77777777" w:rsidR="00461277" w:rsidRDefault="00000000">
            <w:r>
              <w:rPr>
                <w:sz w:val="16"/>
              </w:rPr>
              <w:t>Oil market volatility control added</w:t>
            </w:r>
          </w:p>
        </w:tc>
        <w:tc>
          <w:tcPr>
            <w:tcW w:w="1728" w:type="dxa"/>
            <w:vAlign w:val="center"/>
          </w:tcPr>
          <w:p w14:paraId="6445696E" w14:textId="77777777" w:rsidR="00461277" w:rsidRDefault="00000000">
            <w:r>
              <w:rPr>
                <w:sz w:val="16"/>
              </w:rPr>
              <w:t>9.214597</w:t>
            </w:r>
          </w:p>
        </w:tc>
        <w:tc>
          <w:tcPr>
            <w:tcW w:w="2016" w:type="dxa"/>
            <w:vAlign w:val="center"/>
          </w:tcPr>
          <w:p w14:paraId="55EAA057" w14:textId="77777777" w:rsidR="00461277" w:rsidRDefault="00000000">
            <w:r>
              <w:rPr>
                <w:sz w:val="16"/>
              </w:rPr>
              <w:t>Strong cointegration</w:t>
            </w:r>
          </w:p>
        </w:tc>
      </w:tr>
      <w:tr w:rsidR="00461277" w14:paraId="1B9CA3A7" w14:textId="77777777">
        <w:trPr>
          <w:jc w:val="center"/>
        </w:trPr>
        <w:tc>
          <w:tcPr>
            <w:tcW w:w="2592" w:type="dxa"/>
            <w:vAlign w:val="center"/>
          </w:tcPr>
          <w:p w14:paraId="57588C0D" w14:textId="77777777" w:rsidR="00461277" w:rsidRDefault="00000000">
            <w:r>
              <w:rPr>
                <w:sz w:val="16"/>
              </w:rPr>
              <w:t>EPUTRADE-controlled model</w:t>
            </w:r>
          </w:p>
        </w:tc>
        <w:tc>
          <w:tcPr>
            <w:tcW w:w="3456" w:type="dxa"/>
            <w:vAlign w:val="center"/>
          </w:tcPr>
          <w:p w14:paraId="7B01BF30" w14:textId="77777777" w:rsidR="00461277" w:rsidRDefault="00000000">
            <w:r>
              <w:rPr>
                <w:sz w:val="16"/>
              </w:rPr>
              <w:t>Trade policy uncertainty control added</w:t>
            </w:r>
          </w:p>
        </w:tc>
        <w:tc>
          <w:tcPr>
            <w:tcW w:w="1728" w:type="dxa"/>
            <w:vAlign w:val="center"/>
          </w:tcPr>
          <w:p w14:paraId="0D1086EE" w14:textId="77777777" w:rsidR="00461277" w:rsidRDefault="00000000">
            <w:r>
              <w:rPr>
                <w:sz w:val="16"/>
              </w:rPr>
              <w:t>4.544833</w:t>
            </w:r>
          </w:p>
        </w:tc>
        <w:tc>
          <w:tcPr>
            <w:tcW w:w="2016" w:type="dxa"/>
            <w:vAlign w:val="center"/>
          </w:tcPr>
          <w:p w14:paraId="4E1520EB" w14:textId="77777777" w:rsidR="00461277" w:rsidRDefault="00000000">
            <w:r>
              <w:rPr>
                <w:sz w:val="16"/>
              </w:rPr>
              <w:t>Cointegration exists</w:t>
            </w:r>
          </w:p>
        </w:tc>
      </w:tr>
      <w:tr w:rsidR="00461277" w14:paraId="77F66C4E" w14:textId="77777777">
        <w:trPr>
          <w:jc w:val="center"/>
        </w:trPr>
        <w:tc>
          <w:tcPr>
            <w:tcW w:w="2592" w:type="dxa"/>
            <w:vAlign w:val="center"/>
          </w:tcPr>
          <w:p w14:paraId="633EEDB2" w14:textId="77777777" w:rsidR="00461277" w:rsidRDefault="00000000">
            <w:r>
              <w:rPr>
                <w:sz w:val="16"/>
              </w:rPr>
              <w:t>Reduced model</w:t>
            </w:r>
          </w:p>
        </w:tc>
        <w:tc>
          <w:tcPr>
            <w:tcW w:w="3456" w:type="dxa"/>
            <w:vAlign w:val="center"/>
          </w:tcPr>
          <w:p w14:paraId="0031B011" w14:textId="77777777" w:rsidR="00461277" w:rsidRDefault="00000000">
            <w:r>
              <w:rPr>
                <w:sz w:val="16"/>
              </w:rPr>
              <w:t>Model simplified</w:t>
            </w:r>
          </w:p>
        </w:tc>
        <w:tc>
          <w:tcPr>
            <w:tcW w:w="1728" w:type="dxa"/>
            <w:vAlign w:val="center"/>
          </w:tcPr>
          <w:p w14:paraId="0D3C2CF5" w14:textId="77777777" w:rsidR="00461277" w:rsidRDefault="00000000">
            <w:r>
              <w:rPr>
                <w:sz w:val="16"/>
              </w:rPr>
              <w:t>8.409385</w:t>
            </w:r>
          </w:p>
        </w:tc>
        <w:tc>
          <w:tcPr>
            <w:tcW w:w="2016" w:type="dxa"/>
            <w:vAlign w:val="center"/>
          </w:tcPr>
          <w:p w14:paraId="58956FFF" w14:textId="77777777" w:rsidR="00461277" w:rsidRDefault="00000000">
            <w:r>
              <w:rPr>
                <w:sz w:val="16"/>
              </w:rPr>
              <w:t>Strong cointegration</w:t>
            </w:r>
          </w:p>
        </w:tc>
      </w:tr>
      <w:tr w:rsidR="00461277" w14:paraId="080962DD" w14:textId="77777777">
        <w:trPr>
          <w:jc w:val="center"/>
        </w:trPr>
        <w:tc>
          <w:tcPr>
            <w:tcW w:w="2592" w:type="dxa"/>
            <w:vAlign w:val="center"/>
          </w:tcPr>
          <w:p w14:paraId="43A5E5B8" w14:textId="77777777" w:rsidR="00461277" w:rsidRDefault="00000000">
            <w:r>
              <w:rPr>
                <w:sz w:val="16"/>
              </w:rPr>
              <w:t>Russia–Ukraine sub-model</w:t>
            </w:r>
          </w:p>
        </w:tc>
        <w:tc>
          <w:tcPr>
            <w:tcW w:w="3456" w:type="dxa"/>
            <w:vAlign w:val="center"/>
          </w:tcPr>
          <w:p w14:paraId="4E6AA793" w14:textId="77777777" w:rsidR="00461277" w:rsidRDefault="00000000">
            <w:r>
              <w:rPr>
                <w:sz w:val="16"/>
              </w:rPr>
              <w:t>Only Russia–Ukraine interactions included</w:t>
            </w:r>
          </w:p>
        </w:tc>
        <w:tc>
          <w:tcPr>
            <w:tcW w:w="1728" w:type="dxa"/>
            <w:vAlign w:val="center"/>
          </w:tcPr>
          <w:p w14:paraId="6CAB832C" w14:textId="77777777" w:rsidR="00461277" w:rsidRDefault="00000000">
            <w:r>
              <w:rPr>
                <w:sz w:val="16"/>
              </w:rPr>
              <w:t>6.066879</w:t>
            </w:r>
          </w:p>
        </w:tc>
        <w:tc>
          <w:tcPr>
            <w:tcW w:w="2016" w:type="dxa"/>
            <w:vAlign w:val="center"/>
          </w:tcPr>
          <w:p w14:paraId="0AD427D9" w14:textId="77777777" w:rsidR="00461277" w:rsidRDefault="00000000">
            <w:r>
              <w:rPr>
                <w:sz w:val="16"/>
              </w:rPr>
              <w:t>Cointegration exists</w:t>
            </w:r>
          </w:p>
        </w:tc>
      </w:tr>
      <w:tr w:rsidR="00461277" w14:paraId="7D8DC197" w14:textId="77777777">
        <w:trPr>
          <w:jc w:val="center"/>
        </w:trPr>
        <w:tc>
          <w:tcPr>
            <w:tcW w:w="2592" w:type="dxa"/>
            <w:vAlign w:val="center"/>
          </w:tcPr>
          <w:p w14:paraId="6B226025" w14:textId="77777777" w:rsidR="00461277" w:rsidRDefault="00000000">
            <w:r>
              <w:rPr>
                <w:sz w:val="16"/>
              </w:rPr>
              <w:t>Iran sub-model</w:t>
            </w:r>
          </w:p>
        </w:tc>
        <w:tc>
          <w:tcPr>
            <w:tcW w:w="3456" w:type="dxa"/>
            <w:vAlign w:val="center"/>
          </w:tcPr>
          <w:p w14:paraId="20CF5D8F" w14:textId="77777777" w:rsidR="00461277" w:rsidRDefault="00000000">
            <w:r>
              <w:rPr>
                <w:sz w:val="16"/>
              </w:rPr>
              <w:t>Only Iran interactions included</w:t>
            </w:r>
          </w:p>
        </w:tc>
        <w:tc>
          <w:tcPr>
            <w:tcW w:w="1728" w:type="dxa"/>
            <w:vAlign w:val="center"/>
          </w:tcPr>
          <w:p w14:paraId="4E450300" w14:textId="77777777" w:rsidR="00461277" w:rsidRDefault="00000000">
            <w:r>
              <w:rPr>
                <w:sz w:val="16"/>
              </w:rPr>
              <w:t>4.645979</w:t>
            </w:r>
          </w:p>
        </w:tc>
        <w:tc>
          <w:tcPr>
            <w:tcW w:w="2016" w:type="dxa"/>
            <w:vAlign w:val="center"/>
          </w:tcPr>
          <w:p w14:paraId="4890FEDA" w14:textId="77777777" w:rsidR="00461277" w:rsidRDefault="00000000">
            <w:r>
              <w:rPr>
                <w:sz w:val="16"/>
              </w:rPr>
              <w:t>Cointegration exists</w:t>
            </w:r>
          </w:p>
        </w:tc>
      </w:tr>
    </w:tbl>
    <w:p w14:paraId="4248BA3D" w14:textId="77777777" w:rsidR="00461277" w:rsidRDefault="00000000">
      <w:pPr>
        <w:spacing w:after="40"/>
        <w:jc w:val="both"/>
      </w:pPr>
      <w:r>
        <w:rPr>
          <w:sz w:val="18"/>
        </w:rPr>
        <w:t>Note: The bounds F-statistics indicate whether the long-run relationship is preserved under alternative specifications. A statistic above the relevant upper-bound critical value indicates cointegration.</w:t>
      </w:r>
    </w:p>
    <w:p w14:paraId="79ADC4BA" w14:textId="77777777" w:rsidR="001C32BA" w:rsidRDefault="001C32BA">
      <w:pPr>
        <w:spacing w:after="120"/>
        <w:jc w:val="both"/>
        <w:rPr>
          <w:sz w:val="18"/>
        </w:rPr>
      </w:pPr>
    </w:p>
    <w:p w14:paraId="356CC13A" w14:textId="38E66497" w:rsidR="00461277" w:rsidRPr="003C190B" w:rsidRDefault="00000000" w:rsidP="003C190B">
      <w:pPr>
        <w:spacing w:after="120" w:line="360" w:lineRule="auto"/>
        <w:jc w:val="both"/>
        <w:rPr>
          <w:sz w:val="24"/>
          <w:szCs w:val="24"/>
        </w:rPr>
      </w:pPr>
      <w:r w:rsidRPr="003C190B">
        <w:rPr>
          <w:sz w:val="24"/>
          <w:szCs w:val="24"/>
        </w:rPr>
        <w:t>The robustness checks show that the main findings are generally preserved across alternative model specifications. The OVX-controlled model produces a particularly high F-statistic, indicating that the long-run relationship remains strong even after controlling for oil market volatility. The EPUTRADE-controlled model also preserves the cointegration relationship, suggesting that the findings are not solely explained by trade policy uncertainty. Separate Russia–Ukraine and Iran sub-models further indicate that both event contexts constitute relevant geopolitical risk transmission channels for Brent oil prices.</w:t>
      </w:r>
    </w:p>
    <w:p w14:paraId="283DAF8E" w14:textId="77777777" w:rsidR="00461277" w:rsidRPr="003C190B" w:rsidRDefault="00000000" w:rsidP="003C190B">
      <w:pPr>
        <w:pStyle w:val="Balk1"/>
        <w:spacing w:before="160" w:after="80" w:line="360" w:lineRule="auto"/>
        <w:rPr>
          <w:sz w:val="24"/>
          <w:szCs w:val="24"/>
        </w:rPr>
      </w:pPr>
      <w:r w:rsidRPr="003C190B">
        <w:rPr>
          <w:rFonts w:ascii="Times New Roman" w:eastAsia="Times New Roman" w:hAnsi="Times New Roman"/>
          <w:b w:val="0"/>
          <w:sz w:val="24"/>
          <w:szCs w:val="24"/>
        </w:rPr>
        <w:t>5. Conclusion and Policy Implications</w:t>
      </w:r>
    </w:p>
    <w:p w14:paraId="61849A20" w14:textId="77777777" w:rsidR="00461277" w:rsidRPr="003C190B" w:rsidRDefault="00000000" w:rsidP="003C190B">
      <w:pPr>
        <w:spacing w:after="120" w:line="360" w:lineRule="auto"/>
        <w:jc w:val="both"/>
        <w:rPr>
          <w:sz w:val="24"/>
          <w:szCs w:val="24"/>
        </w:rPr>
      </w:pPr>
      <w:r w:rsidRPr="003C190B">
        <w:rPr>
          <w:sz w:val="24"/>
          <w:szCs w:val="24"/>
        </w:rPr>
        <w:t>This study shows that the impact of geopolitical risk on Brent oil prices cannot be explained solely by the general level of risk; rather, the event context in which risk emerges plays a decisive role in the pricing process. The empirical findings indicate that the event-contextual model, which incorporates Russia–Ukraine War and Iran-related tension interactions, reveals a strong long-run relationship. Geopolitical risk in oil markets should therefore not be treated as a homogeneous source of uncertainty, but as a pricing mechanism that varies according to the nature of the event, its geography, and the position of risk-generating actors within the energy supply chain.</w:t>
      </w:r>
    </w:p>
    <w:p w14:paraId="371998AA" w14:textId="77777777" w:rsidR="00461277" w:rsidRPr="003C190B" w:rsidRDefault="00000000" w:rsidP="003C190B">
      <w:pPr>
        <w:spacing w:after="120" w:line="360" w:lineRule="auto"/>
        <w:jc w:val="both"/>
        <w:rPr>
          <w:sz w:val="24"/>
          <w:szCs w:val="24"/>
        </w:rPr>
      </w:pPr>
      <w:r w:rsidRPr="003C190B">
        <w:rPr>
          <w:sz w:val="24"/>
          <w:szCs w:val="24"/>
        </w:rPr>
        <w:t xml:space="preserve">The findings suggest that geopolitical risk transmission to Brent prices is stronger and positive during the Russia–Ukraine War period. This reflects the role of sanctions, producer-country risk, European energy security concerns, and expectations of supply disruptions. Iran-related tensions also generate a positive but weaker effect, mainly through the Strait of Hormuz, tanker transportation, transit security, and the oil risk premium channel. However, the Wald tests show that the coefficient difference between the two event </w:t>
      </w:r>
      <w:r w:rsidRPr="003C190B">
        <w:rPr>
          <w:sz w:val="24"/>
          <w:szCs w:val="24"/>
        </w:rPr>
        <w:lastRenderedPageBreak/>
        <w:t>contexts is not statistically conclusive. The Russia–Ukraine effect therefore appears stronger, but this difference should be interpreted cautiously.</w:t>
      </w:r>
    </w:p>
    <w:p w14:paraId="6C027FD5" w14:textId="77777777" w:rsidR="00461277" w:rsidRPr="003C190B" w:rsidRDefault="00000000" w:rsidP="003C190B">
      <w:pPr>
        <w:spacing w:after="120" w:line="360" w:lineRule="auto"/>
        <w:jc w:val="both"/>
        <w:rPr>
          <w:sz w:val="24"/>
          <w:szCs w:val="24"/>
        </w:rPr>
      </w:pPr>
      <w:r w:rsidRPr="003C190B">
        <w:rPr>
          <w:sz w:val="24"/>
          <w:szCs w:val="24"/>
        </w:rPr>
        <w:t>These findings have direct implications for energy security policy. Geopolitical risk monitoring should not rely only on aggregate risk indicators; it should also track production geographies, sanctions regimes, energy corridors, chokepoints, and maritime transport routes. Producer-country crises and transit-security crises require different policy responses, including differentiated early-warning systems, flexible strategic reserve management, supply diversification, and coordinated monitoring of chokepoint vulnerability. In this sense, geopolitical risk is not only an economic uncertainty shock in Brent oil markets, but also a spatially embedded and context-specific pricing mechanism.</w:t>
      </w:r>
    </w:p>
    <w:p w14:paraId="36EEF28F" w14:textId="77777777" w:rsidR="00461277" w:rsidRDefault="00000000" w:rsidP="003C190B">
      <w:pPr>
        <w:pStyle w:val="Balk1"/>
        <w:spacing w:before="160" w:after="80" w:line="360" w:lineRule="auto"/>
      </w:pPr>
      <w:r>
        <w:rPr>
          <w:rFonts w:ascii="Times New Roman" w:eastAsia="Times New Roman" w:hAnsi="Times New Roman"/>
          <w:b w:val="0"/>
        </w:rPr>
        <w:t>References</w:t>
      </w:r>
    </w:p>
    <w:p w14:paraId="07DC2C3F" w14:textId="77777777" w:rsidR="00461277" w:rsidRPr="003C190B" w:rsidRDefault="00000000" w:rsidP="003C190B">
      <w:pPr>
        <w:spacing w:after="60" w:line="360" w:lineRule="auto"/>
        <w:rPr>
          <w:sz w:val="24"/>
          <w:szCs w:val="24"/>
        </w:rPr>
      </w:pPr>
      <w:r w:rsidRPr="003C190B">
        <w:rPr>
          <w:sz w:val="24"/>
          <w:szCs w:val="24"/>
        </w:rPr>
        <w:t>Antonakakis, N., Gupta, R., Kollias, C., Papadamou, S., 2017. Geopolitical risks and the oil-stock nexus over 1899–2016. Finance Research Letters 23, 165–173.</w:t>
      </w:r>
    </w:p>
    <w:p w14:paraId="249A2DA0" w14:textId="77777777" w:rsidR="00461277" w:rsidRPr="003C190B" w:rsidRDefault="00000000" w:rsidP="003C190B">
      <w:pPr>
        <w:spacing w:after="60" w:line="360" w:lineRule="auto"/>
        <w:rPr>
          <w:sz w:val="24"/>
          <w:szCs w:val="24"/>
        </w:rPr>
      </w:pPr>
      <w:r w:rsidRPr="003C190B">
        <w:rPr>
          <w:sz w:val="24"/>
          <w:szCs w:val="24"/>
        </w:rPr>
        <w:t>Caldara, D., Iacoviello, M., 2022. Measuring geopolitical risk. American Economic Review 112(4), 1194–1225. https://doi.org/10.1257/aer.20191823.</w:t>
      </w:r>
    </w:p>
    <w:p w14:paraId="49D52A91" w14:textId="77777777" w:rsidR="00461277" w:rsidRPr="003C190B" w:rsidRDefault="00000000" w:rsidP="003C190B">
      <w:pPr>
        <w:spacing w:after="60" w:line="360" w:lineRule="auto"/>
        <w:rPr>
          <w:sz w:val="24"/>
          <w:szCs w:val="24"/>
        </w:rPr>
      </w:pPr>
      <w:r w:rsidRPr="003C190B">
        <w:rPr>
          <w:sz w:val="24"/>
          <w:szCs w:val="24"/>
        </w:rPr>
        <w:t>Chen, H., Liao, H., Tang, B.J., Wei, Y.M., 2016. Impacts of OPEC’s political risk on the international crude oil prices: An empirical analysis based on the SVAR models. Energy Economics 57, 42–49.</w:t>
      </w:r>
    </w:p>
    <w:p w14:paraId="11CED58B" w14:textId="77777777" w:rsidR="00461277" w:rsidRPr="003C190B" w:rsidRDefault="00000000" w:rsidP="003C190B">
      <w:pPr>
        <w:spacing w:after="60" w:line="360" w:lineRule="auto"/>
        <w:rPr>
          <w:sz w:val="24"/>
          <w:szCs w:val="24"/>
        </w:rPr>
      </w:pPr>
      <w:r w:rsidRPr="003C190B">
        <w:rPr>
          <w:sz w:val="24"/>
          <w:szCs w:val="24"/>
        </w:rPr>
        <w:t>European Central Bank, 2024. Geopolitical risk and oil prices. ECB Economic Bulletin, Issue 8/2023.</w:t>
      </w:r>
    </w:p>
    <w:p w14:paraId="46E2F94E" w14:textId="77777777" w:rsidR="00461277" w:rsidRPr="003C190B" w:rsidRDefault="00000000" w:rsidP="003C190B">
      <w:pPr>
        <w:spacing w:after="60" w:line="360" w:lineRule="auto"/>
        <w:rPr>
          <w:sz w:val="24"/>
          <w:szCs w:val="24"/>
        </w:rPr>
      </w:pPr>
      <w:r w:rsidRPr="003C190B">
        <w:rPr>
          <w:sz w:val="24"/>
          <w:szCs w:val="24"/>
        </w:rPr>
        <w:t>Fang, Y., Shao, Z., 2022. The Russia–Ukraine conflict and volatility risk of commodity markets. Finance Research Letters 50, 103264. https://doi.org/10.1016/j.frl.2022.103264.</w:t>
      </w:r>
    </w:p>
    <w:p w14:paraId="0C830DF0" w14:textId="77777777" w:rsidR="00461277" w:rsidRPr="003C190B" w:rsidRDefault="00000000" w:rsidP="003C190B">
      <w:pPr>
        <w:spacing w:after="60" w:line="360" w:lineRule="auto"/>
        <w:rPr>
          <w:sz w:val="24"/>
          <w:szCs w:val="24"/>
        </w:rPr>
      </w:pPr>
      <w:r w:rsidRPr="003C190B">
        <w:rPr>
          <w:sz w:val="24"/>
          <w:szCs w:val="24"/>
        </w:rPr>
        <w:t>Goldenberg, I., Schwed, A., Thomas, K., 2019. In dire straits? Implications of U.S.–Iran tensions for the global oil market. Columbia University, Center on Global Energy Policy.</w:t>
      </w:r>
    </w:p>
    <w:p w14:paraId="1ABA798B" w14:textId="77777777" w:rsidR="00461277" w:rsidRPr="003C190B" w:rsidRDefault="00000000" w:rsidP="003C190B">
      <w:pPr>
        <w:spacing w:after="60" w:line="360" w:lineRule="auto"/>
        <w:rPr>
          <w:sz w:val="24"/>
          <w:szCs w:val="24"/>
        </w:rPr>
      </w:pPr>
      <w:r w:rsidRPr="003C190B">
        <w:rPr>
          <w:sz w:val="24"/>
          <w:szCs w:val="24"/>
        </w:rPr>
        <w:t>Hinz, J., Mahlkow, H., Sogalla, R., Willmann, G., 2026. The cost of closing the Strait of Hormuz: Energy bottlenecks and global food security. Kiel Policy Brief No. 206. Kiel Institute for the World Economy.</w:t>
      </w:r>
    </w:p>
    <w:p w14:paraId="7ED59CAA" w14:textId="77777777" w:rsidR="00461277" w:rsidRPr="003C190B" w:rsidRDefault="00000000" w:rsidP="003C190B">
      <w:pPr>
        <w:spacing w:after="60" w:line="360" w:lineRule="auto"/>
        <w:rPr>
          <w:sz w:val="24"/>
          <w:szCs w:val="24"/>
        </w:rPr>
      </w:pPr>
      <w:r w:rsidRPr="003C190B">
        <w:rPr>
          <w:sz w:val="24"/>
          <w:szCs w:val="24"/>
        </w:rPr>
        <w:t>Huang, J., Ding, Q., Zhang, H., Guo, Y., Suleman, M.T., 2021. Nonlinear dynamic correlation between geopolitical risk and oil prices: A study based on high-frequency data. Research in International Business and Finance 56, 101370. https://doi.org/10.1016/j.ribaf.2020.101370.</w:t>
      </w:r>
    </w:p>
    <w:p w14:paraId="63E8176C" w14:textId="77777777" w:rsidR="00461277" w:rsidRPr="003C190B" w:rsidRDefault="00000000" w:rsidP="003C190B">
      <w:pPr>
        <w:spacing w:after="60" w:line="360" w:lineRule="auto"/>
        <w:rPr>
          <w:sz w:val="24"/>
          <w:szCs w:val="24"/>
        </w:rPr>
      </w:pPr>
      <w:r w:rsidRPr="003C190B">
        <w:rPr>
          <w:sz w:val="24"/>
          <w:szCs w:val="24"/>
        </w:rPr>
        <w:t>Ivanovski, K., Hailemariam, A., 2022. Time-varying geopolitical risk and oil prices. International Review of Economics &amp; Finance 77, 206–221. https://doi.org/10.1016/j.iref.2021.10.001.</w:t>
      </w:r>
    </w:p>
    <w:p w14:paraId="59D77934" w14:textId="77777777" w:rsidR="00461277" w:rsidRPr="003C190B" w:rsidRDefault="00000000" w:rsidP="003C190B">
      <w:pPr>
        <w:spacing w:after="60" w:line="360" w:lineRule="auto"/>
        <w:rPr>
          <w:sz w:val="24"/>
          <w:szCs w:val="24"/>
        </w:rPr>
      </w:pPr>
      <w:r w:rsidRPr="003C190B">
        <w:rPr>
          <w:sz w:val="24"/>
          <w:szCs w:val="24"/>
        </w:rPr>
        <w:t>Kilian, L., Plante, M.D., Richter, A.W., 2024. Geopolitical oil price risk and economic fluctuations. Federal Reserve Bank of Dallas Working Paper No. 2403. https://doi.org/10.24149/wp2403r2.</w:t>
      </w:r>
    </w:p>
    <w:p w14:paraId="3A519A1B" w14:textId="77777777" w:rsidR="00461277" w:rsidRPr="003C190B" w:rsidRDefault="00000000" w:rsidP="003C190B">
      <w:pPr>
        <w:spacing w:after="60" w:line="360" w:lineRule="auto"/>
        <w:rPr>
          <w:sz w:val="24"/>
          <w:szCs w:val="24"/>
        </w:rPr>
      </w:pPr>
      <w:r w:rsidRPr="003C190B">
        <w:rPr>
          <w:sz w:val="24"/>
          <w:szCs w:val="24"/>
        </w:rPr>
        <w:lastRenderedPageBreak/>
        <w:t>Minesso, M.F., Lappe, M.-S., Rößler, D., 2023. Geopolitical risk and oil prices. ECB Economic Bulletin 8.</w:t>
      </w:r>
    </w:p>
    <w:p w14:paraId="6791CBF5" w14:textId="77777777" w:rsidR="00461277" w:rsidRPr="003C190B" w:rsidRDefault="00000000" w:rsidP="003C190B">
      <w:pPr>
        <w:spacing w:after="60" w:line="360" w:lineRule="auto"/>
        <w:rPr>
          <w:sz w:val="24"/>
          <w:szCs w:val="24"/>
        </w:rPr>
      </w:pPr>
      <w:r w:rsidRPr="003C190B">
        <w:rPr>
          <w:sz w:val="24"/>
          <w:szCs w:val="24"/>
        </w:rPr>
        <w:t>Ohikhuare, O.M., 2023. How geopolitical risk drives spillover interconnectedness between crude oil and exchange rate markets: Evidence from the Russia–Ukraine war. Resources Policy 86, 104282. https://doi.org/10.1016/j.resourpol.2023.104282.</w:t>
      </w:r>
    </w:p>
    <w:p w14:paraId="5F4A6126" w14:textId="77777777" w:rsidR="00461277" w:rsidRPr="003C190B" w:rsidRDefault="00000000" w:rsidP="003C190B">
      <w:pPr>
        <w:spacing w:after="60" w:line="360" w:lineRule="auto"/>
        <w:rPr>
          <w:sz w:val="24"/>
          <w:szCs w:val="24"/>
        </w:rPr>
      </w:pPr>
      <w:r w:rsidRPr="003C190B">
        <w:rPr>
          <w:sz w:val="24"/>
          <w:szCs w:val="24"/>
        </w:rPr>
        <w:t>Olanipekun, I.O., Alola, A.A., 2020. Crude oil production in the Persian Gulf amidst geopolitical risk, cost of damage and resources rents: Is there asymmetric inference? Resources Policy 69, 101873. https://doi.org/10.1016/j.resourpol.2020.101873.</w:t>
      </w:r>
    </w:p>
    <w:p w14:paraId="437DE544" w14:textId="77777777" w:rsidR="00461277" w:rsidRPr="003C190B" w:rsidRDefault="00000000" w:rsidP="003C190B">
      <w:pPr>
        <w:spacing w:after="60" w:line="360" w:lineRule="auto"/>
        <w:rPr>
          <w:sz w:val="24"/>
          <w:szCs w:val="24"/>
        </w:rPr>
      </w:pPr>
      <w:r w:rsidRPr="003C190B">
        <w:rPr>
          <w:sz w:val="24"/>
          <w:szCs w:val="24"/>
        </w:rPr>
        <w:t>Pan, Q., Sun, Y., 2023. Changes in volatility leverage and spillover effects of crude oil futures markets affected by the 2022 Russia–Ukraine conflict. Finance Research Letters 58, 104442. https://doi.org/10.1016/j.frl.2023.104442.</w:t>
      </w:r>
    </w:p>
    <w:p w14:paraId="4FD14236" w14:textId="77777777" w:rsidR="00461277" w:rsidRPr="003C190B" w:rsidRDefault="00000000" w:rsidP="003C190B">
      <w:pPr>
        <w:spacing w:after="60" w:line="360" w:lineRule="auto"/>
        <w:rPr>
          <w:sz w:val="24"/>
          <w:szCs w:val="24"/>
        </w:rPr>
      </w:pPr>
      <w:r w:rsidRPr="003C190B">
        <w:rPr>
          <w:sz w:val="24"/>
          <w:szCs w:val="24"/>
        </w:rPr>
        <w:t>Pesaran, M.H., Shin, Y., Smith, R.J., 2001. Bounds testing approaches to the analysis of level relationships. Journal of Applied Econometrics 16(3), 289–326. https://doi.org/10.1002/jae.616.</w:t>
      </w:r>
    </w:p>
    <w:p w14:paraId="29E5E9A9" w14:textId="77777777" w:rsidR="00461277" w:rsidRPr="003C190B" w:rsidRDefault="00000000" w:rsidP="003C190B">
      <w:pPr>
        <w:spacing w:after="60" w:line="360" w:lineRule="auto"/>
        <w:rPr>
          <w:sz w:val="24"/>
          <w:szCs w:val="24"/>
        </w:rPr>
      </w:pPr>
      <w:r w:rsidRPr="003C190B">
        <w:rPr>
          <w:sz w:val="24"/>
          <w:szCs w:val="24"/>
        </w:rPr>
        <w:t>Qin, Y., Hong, K., Chen, J., Zhang, Z., 2020. Asymmetric effects of geopolitical risks on energy returns and volatility under different market conditions. Energy Economics 90, 104851.</w:t>
      </w:r>
    </w:p>
    <w:p w14:paraId="7441BC47" w14:textId="77777777" w:rsidR="00461277" w:rsidRPr="003C190B" w:rsidRDefault="00000000" w:rsidP="003C190B">
      <w:pPr>
        <w:spacing w:after="60" w:line="360" w:lineRule="auto"/>
        <w:rPr>
          <w:sz w:val="24"/>
          <w:szCs w:val="24"/>
        </w:rPr>
      </w:pPr>
      <w:r w:rsidRPr="003C190B">
        <w:rPr>
          <w:sz w:val="24"/>
          <w:szCs w:val="24"/>
        </w:rPr>
        <w:t>Ren, X., An, Y., Jin, C., 2023. The asymmetric effect of geopolitical risk on China’s crude oil prices: New evidence from a QARDL approach. Finance Research Letters 53, 103637.</w:t>
      </w:r>
    </w:p>
    <w:p w14:paraId="18E0DF5D" w14:textId="77777777" w:rsidR="00461277" w:rsidRPr="003C190B" w:rsidRDefault="00000000" w:rsidP="003C190B">
      <w:pPr>
        <w:spacing w:after="60" w:line="360" w:lineRule="auto"/>
        <w:rPr>
          <w:sz w:val="24"/>
          <w:szCs w:val="24"/>
        </w:rPr>
      </w:pPr>
      <w:r w:rsidRPr="003C190B">
        <w:rPr>
          <w:sz w:val="24"/>
          <w:szCs w:val="24"/>
        </w:rPr>
        <w:t>Shepard, J.U., Pratson, L.F., 2020. Maritime piracy in the Strait of Hormuz and implications of energy export security. Energy Policy 140, 111379. https://doi.org/10.1016/j.enpol.2020.111379.</w:t>
      </w:r>
    </w:p>
    <w:p w14:paraId="05E5B819" w14:textId="77777777" w:rsidR="00461277" w:rsidRPr="003C190B" w:rsidRDefault="00000000" w:rsidP="003C190B">
      <w:pPr>
        <w:spacing w:after="60" w:line="360" w:lineRule="auto"/>
        <w:rPr>
          <w:sz w:val="24"/>
          <w:szCs w:val="24"/>
        </w:rPr>
      </w:pPr>
      <w:r w:rsidRPr="003C190B">
        <w:rPr>
          <w:sz w:val="24"/>
          <w:szCs w:val="24"/>
        </w:rPr>
        <w:t>Shin, Y., Yu, B., Greenwood-Nimmo, M., 2014. Modelling asymmetric cointegration and dynamic multipliers in a nonlinear ARDL framework. In: Sickles, R.C., Horrace, W.C. (Eds.), Festschrift in Honor of Peter Schmidt: Econometric Methods and Applications. Springer, New York, pp. 281–314. https://doi.org/10.1007/978-1-4899-8008-3_9.</w:t>
      </w:r>
    </w:p>
    <w:p w14:paraId="58D44B3B" w14:textId="77777777" w:rsidR="00461277" w:rsidRPr="003C190B" w:rsidRDefault="00000000" w:rsidP="003C190B">
      <w:pPr>
        <w:spacing w:after="60" w:line="360" w:lineRule="auto"/>
        <w:rPr>
          <w:sz w:val="24"/>
          <w:szCs w:val="24"/>
        </w:rPr>
      </w:pPr>
      <w:r w:rsidRPr="003C190B">
        <w:rPr>
          <w:sz w:val="24"/>
          <w:szCs w:val="24"/>
        </w:rPr>
        <w:t>Yang, T., Dong, Q., Du, M., Du, Q., 2023. Geopolitical risks, oil price shocks and inflation: Evidence from a TVP–SV–VAR approach. Energy Economics 127, 107099. https://doi.org/10.1016/j.eneco.2023.107099.</w:t>
      </w:r>
    </w:p>
    <w:p w14:paraId="63570075" w14:textId="77777777" w:rsidR="00461277" w:rsidRPr="003C190B" w:rsidRDefault="00000000" w:rsidP="003C190B">
      <w:pPr>
        <w:spacing w:after="60" w:line="360" w:lineRule="auto"/>
        <w:rPr>
          <w:sz w:val="24"/>
          <w:szCs w:val="24"/>
        </w:rPr>
      </w:pPr>
      <w:r w:rsidRPr="003C190B">
        <w:rPr>
          <w:sz w:val="24"/>
          <w:szCs w:val="24"/>
        </w:rPr>
        <w:t>Zhang, Q., Hu, Y., Jiao, J., Wang, S., 2024. The impact of Russia–Ukraine war on crude oil prices: An EMC framework. Humanities and Social Sciences Communications 11, 8. https://doi.org/10.1057/s41599-023-02526-9.</w:t>
      </w:r>
    </w:p>
    <w:sectPr w:rsidR="00461277" w:rsidRPr="003C190B"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6245" w14:textId="77777777" w:rsidR="00CE3C3F" w:rsidRDefault="00CE3C3F" w:rsidP="00056571">
      <w:pPr>
        <w:spacing w:after="0" w:line="240" w:lineRule="auto"/>
      </w:pPr>
      <w:r>
        <w:separator/>
      </w:r>
    </w:p>
  </w:endnote>
  <w:endnote w:type="continuationSeparator" w:id="0">
    <w:p w14:paraId="626ABFF8" w14:textId="77777777" w:rsidR="00CE3C3F" w:rsidRDefault="00CE3C3F" w:rsidP="00056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BB4A" w14:textId="77777777" w:rsidR="00CE3C3F" w:rsidRDefault="00CE3C3F" w:rsidP="00056571">
      <w:pPr>
        <w:spacing w:after="0" w:line="240" w:lineRule="auto"/>
      </w:pPr>
      <w:r>
        <w:separator/>
      </w:r>
    </w:p>
  </w:footnote>
  <w:footnote w:type="continuationSeparator" w:id="0">
    <w:p w14:paraId="6013CF3A" w14:textId="77777777" w:rsidR="00CE3C3F" w:rsidRDefault="00CE3C3F" w:rsidP="00056571">
      <w:pPr>
        <w:spacing w:after="0" w:line="240" w:lineRule="auto"/>
      </w:pPr>
      <w:r>
        <w:continuationSeparator/>
      </w:r>
    </w:p>
  </w:footnote>
  <w:footnote w:id="1">
    <w:p w14:paraId="4E57F690" w14:textId="23A63F37" w:rsidR="00056571" w:rsidRPr="00056571" w:rsidRDefault="00056571">
      <w:pPr>
        <w:pStyle w:val="DipnotMetni"/>
        <w:rPr>
          <w:lang w:val="tr-TR"/>
        </w:rPr>
      </w:pPr>
      <w:r>
        <w:rPr>
          <w:rStyle w:val="DipnotBavurusu"/>
        </w:rPr>
        <w:footnoteRef/>
      </w:r>
      <w:r>
        <w:t xml:space="preserve"> Independent Researcher, ORCID: 0000-0001-5362-3541, E-mail: huseyinsaltan@windowslive.com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10725891">
    <w:abstractNumId w:val="8"/>
  </w:num>
  <w:num w:numId="2" w16cid:durableId="1702171956">
    <w:abstractNumId w:val="6"/>
  </w:num>
  <w:num w:numId="3" w16cid:durableId="150412299">
    <w:abstractNumId w:val="5"/>
  </w:num>
  <w:num w:numId="4" w16cid:durableId="611983225">
    <w:abstractNumId w:val="4"/>
  </w:num>
  <w:num w:numId="5" w16cid:durableId="1953900651">
    <w:abstractNumId w:val="7"/>
  </w:num>
  <w:num w:numId="6" w16cid:durableId="919943013">
    <w:abstractNumId w:val="3"/>
  </w:num>
  <w:num w:numId="7" w16cid:durableId="225575575">
    <w:abstractNumId w:val="2"/>
  </w:num>
  <w:num w:numId="8" w16cid:durableId="1821925606">
    <w:abstractNumId w:val="1"/>
  </w:num>
  <w:num w:numId="9" w16cid:durableId="170127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71"/>
    <w:rsid w:val="0006063C"/>
    <w:rsid w:val="0015074B"/>
    <w:rsid w:val="001C32BA"/>
    <w:rsid w:val="0029639D"/>
    <w:rsid w:val="00304AA5"/>
    <w:rsid w:val="00326F90"/>
    <w:rsid w:val="003C190B"/>
    <w:rsid w:val="00461277"/>
    <w:rsid w:val="004A33DA"/>
    <w:rsid w:val="00537C7B"/>
    <w:rsid w:val="005C622F"/>
    <w:rsid w:val="0068702D"/>
    <w:rsid w:val="009F25E0"/>
    <w:rsid w:val="00A15BE4"/>
    <w:rsid w:val="00AA1D8D"/>
    <w:rsid w:val="00B47730"/>
    <w:rsid w:val="00B90259"/>
    <w:rsid w:val="00CB0664"/>
    <w:rsid w:val="00CE3C3F"/>
    <w:rsid w:val="00F255C7"/>
    <w:rsid w:val="00F90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0598E"/>
  <w14:defaultImageDpi w14:val="300"/>
  <w15:docId w15:val="{2344FF2B-A5D2-9047-BAB9-BCD0A3C9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notMetni">
    <w:name w:val="footnote text"/>
    <w:basedOn w:val="Normal"/>
    <w:link w:val="DipnotMetniChar"/>
    <w:uiPriority w:val="99"/>
    <w:semiHidden/>
    <w:unhideWhenUsed/>
    <w:rsid w:val="00056571"/>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056571"/>
    <w:rPr>
      <w:rFonts w:ascii="Times New Roman" w:eastAsia="Times New Roman" w:hAnsi="Times New Roman"/>
      <w:sz w:val="20"/>
      <w:szCs w:val="20"/>
    </w:rPr>
  </w:style>
  <w:style w:type="character" w:styleId="DipnotBavurusu">
    <w:name w:val="footnote reference"/>
    <w:basedOn w:val="VarsaylanParagrafYazTipi"/>
    <w:uiPriority w:val="99"/>
    <w:semiHidden/>
    <w:unhideWhenUsed/>
    <w:rsid w:val="000565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4192</Words>
  <Characters>23897</Characters>
  <Application>Microsoft Office Word</Application>
  <DocSecurity>0</DocSecurity>
  <Lines>199</Lines>
  <Paragraphs>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Event-Contextual Geopolitical Risk and Brent Oil Prices</vt:lpstr>
      <vt:lpstr/>
    </vt:vector>
  </TitlesOfParts>
  <Manager/>
  <Company/>
  <LinksUpToDate>false</LinksUpToDate>
  <CharactersWithSpaces>28033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Event-Contextual Geopolitical Risk and Brent Oil Prices</dc:title>
  <dc:subject/>
  <dc:creator>Hüseyin  SALTAN</dc:creator>
  <cp:keywords/>
  <dc:description>generated by python-docx</dc:description>
  <cp:lastModifiedBy>Hüseyin  SALTAN</cp:lastModifiedBy>
  <cp:revision>4</cp:revision>
  <dcterms:created xsi:type="dcterms:W3CDTF">2026-05-20T17:57:00Z</dcterms:created>
  <dcterms:modified xsi:type="dcterms:W3CDTF">2026-05-20T19:10:00Z</dcterms:modified>
  <cp:category/>
</cp:coreProperties>
</file>