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sz w:val="24"/>
        </w:rPr>
        <w:t>Dear Editors,</w:t>
      </w:r>
    </w:p>
    <w:p/>
    <w:p>
      <w:r>
        <w:rPr>
          <w:rFonts w:ascii="Times New Roman" w:hAnsi="Times New Roman" w:eastAsia="Times New Roman"/>
          <w:sz w:val="24"/>
        </w:rPr>
        <w:t>Please consider the manuscript entitled "Event-Contextual Geopolitical Risk and Brent Oil Prices: Evidence from an Interaction-Augmented NARDL Model" for publication as a Research Article in Energy Sources, Part B: Economics, Planning, and Policy.</w:t>
      </w:r>
    </w:p>
    <w:p/>
    <w:p>
      <w:r>
        <w:rPr>
          <w:rFonts w:ascii="Times New Roman" w:hAnsi="Times New Roman" w:eastAsia="Times New Roman"/>
          <w:sz w:val="24"/>
        </w:rPr>
        <w:t>The manuscript examines whether geopolitical risk is priced differently in Brent crude oil markets across distinct event contexts. It compares the Russia-Ukraine War and Iran-related tensions within an interaction-augmented NARDL framework, allowing the study to distinguish general geopolitical-risk effects from event-specific transmission channels.</w:t>
      </w:r>
    </w:p>
    <w:p/>
    <w:p>
      <w:r>
        <w:rPr>
          <w:rFonts w:ascii="Times New Roman" w:hAnsi="Times New Roman" w:eastAsia="Times New Roman"/>
          <w:sz w:val="24"/>
        </w:rPr>
        <w:t>The article is suitable for Energy Sources, Part B because it contributes to the analysis of economic and political trends in energy markets, energy security, fossil-fuel price dynamics, and policy-relevant uncertainty surrounding oil supply and transit risks. The paper links geopolitical risk, Brent oil pricing, and event-contextual energy-security channels within an empirical framework relevant to energy economics and planning debates.</w:t>
      </w:r>
    </w:p>
    <w:p/>
    <w:p>
      <w:r>
        <w:rPr>
          <w:rFonts w:ascii="Times New Roman" w:hAnsi="Times New Roman" w:eastAsia="Times New Roman"/>
          <w:sz w:val="24"/>
        </w:rPr>
        <w:t>The manuscript is original, has not been published previously, and is not under consideration elsewhere. The author declares no known competing financial interests or personal relationships that could have appeared to influence the work reported in this paper. This research received no specific grant from any funding agency.</w:t>
      </w:r>
    </w:p>
    <w:p/>
    <w:p>
      <w:r>
        <w:rPr>
          <w:rFonts w:ascii="Times New Roman" w:hAnsi="Times New Roman" w:eastAsia="Times New Roman"/>
          <w:sz w:val="24"/>
        </w:rPr>
        <w:t>The data, variable-construction files, and analysis code used in this study will be made available in a public GitHub repository. The repository URL will be inserted in the submission system and final manuscript record once finalized.</w:t>
      </w:r>
    </w:p>
    <w:p/>
    <w:p>
      <w:r>
        <w:rPr>
          <w:rFonts w:ascii="Times New Roman" w:hAnsi="Times New Roman" w:eastAsia="Times New Roman"/>
          <w:sz w:val="24"/>
        </w:rPr>
        <w:t>AI-based assistance was used in a limited and moderate manner for language editing, formatting support, and clarity checks. The author verified all empirical results and remains fully responsible for the manuscript.</w:t>
      </w:r>
    </w:p>
    <w:p/>
    <w:p>
      <w:r>
        <w:rPr>
          <w:rFonts w:ascii="Times New Roman" w:hAnsi="Times New Roman" w:eastAsia="Times New Roman"/>
          <w:sz w:val="24"/>
        </w:rPr>
        <w:t>Sincerely,</w:t>
      </w:r>
    </w:p>
    <w:p>
      <w:r>
        <w:rPr>
          <w:rFonts w:ascii="Times New Roman" w:hAnsi="Times New Roman" w:eastAsia="Times New Roman"/>
          <w:sz w:val="24"/>
        </w:rPr>
        <w:t>Huseyin Saltan, PhD</w:t>
      </w:r>
    </w:p>
    <w:p>
      <w:r>
        <w:rPr>
          <w:rFonts w:ascii="Times New Roman" w:hAnsi="Times New Roman" w:eastAsia="Times New Roman"/>
          <w:sz w:val="24"/>
        </w:rPr>
        <w:t>Independent Researcher</w:t>
      </w:r>
    </w:p>
    <w:p>
      <w:r>
        <w:rPr>
          <w:rFonts w:ascii="Times New Roman" w:hAnsi="Times New Roman" w:eastAsia="Times New Roman"/>
          <w:sz w:val="24"/>
        </w:rPr>
        <w:t>ORCID: 0000-0001-5362-3541</w:t>
      </w:r>
    </w:p>
    <w:p>
      <w:r>
        <w:rPr>
          <w:rFonts w:ascii="Times New Roman" w:hAnsi="Times New Roman" w:eastAsia="Times New Roman"/>
          <w:sz w:val="24"/>
        </w:rPr>
        <w:t>E-mail: huseyinsaltan@gmail.com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