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Event-Contextual Geopolitical Risk and Brent Oil Prices: Evidence from an Interaction-Augmented NARDL Model</w:t>
      </w:r>
    </w:p>
    <w:p/>
    <w:p>
      <w:r>
        <w:rPr>
          <w:rFonts w:ascii="Times New Roman" w:hAnsi="Times New Roman" w:eastAsia="Times New Roman"/>
          <w:sz w:val="24"/>
        </w:rPr>
        <w:t>Huseyin Saltan, PhD</w:t>
      </w:r>
    </w:p>
    <w:p>
      <w:r>
        <w:rPr>
          <w:rFonts w:ascii="Times New Roman" w:hAnsi="Times New Roman" w:eastAsia="Times New Roman"/>
          <w:sz w:val="24"/>
        </w:rPr>
        <w:t>Independent Researcher</w:t>
      </w:r>
    </w:p>
    <w:p>
      <w:r>
        <w:rPr>
          <w:rFonts w:ascii="Times New Roman" w:hAnsi="Times New Roman" w:eastAsia="Times New Roman"/>
          <w:sz w:val="24"/>
        </w:rPr>
        <w:t>ORCID: 0000-0001-5362-3541</w:t>
      </w:r>
    </w:p>
    <w:p>
      <w:r>
        <w:rPr>
          <w:rFonts w:ascii="Times New Roman" w:hAnsi="Times New Roman" w:eastAsia="Times New Roman"/>
          <w:sz w:val="24"/>
        </w:rPr>
        <w:t>E-mail: huseyinsaltan@gmail.com</w:t>
      </w:r>
    </w:p>
    <w:p>
      <w:r>
        <w:rPr>
          <w:rFonts w:ascii="Times New Roman" w:hAnsi="Times New Roman" w:eastAsia="Times New Roman"/>
          <w:sz w:val="24"/>
        </w:rPr>
        <w:t>Corresponding author: Huseyin Saltan</w:t>
      </w:r>
    </w:p>
    <w:p/>
    <w:p>
      <w:r>
        <w:rPr>
          <w:rFonts w:ascii="Times New Roman" w:hAnsi="Times New Roman" w:eastAsia="Times New Roman"/>
          <w:sz w:val="24"/>
        </w:rPr>
        <w:t>Target journal: Energy Sources, Part B: Economics, Planning, and Policy</w:t>
      </w:r>
    </w:p>
    <w:p>
      <w:r>
        <w:rPr>
          <w:rFonts w:ascii="Times New Roman" w:hAnsi="Times New Roman" w:eastAsia="Times New Roman"/>
          <w:sz w:val="24"/>
        </w:rPr>
        <w:t>Article type: Research Article</w:t>
      </w:r>
    </w:p>
    <w:p/>
    <w:p>
      <w:r>
        <w:rPr>
          <w:rFonts w:ascii="Times New Roman" w:hAnsi="Times New Roman" w:eastAsia="Times New Roman"/>
          <w:sz w:val="24"/>
        </w:rPr>
        <w:t>Declaration of competing interest: The author declares no known competing financial interests or personal relationships that could have appeared to influence the work reported in this paper.</w:t>
      </w:r>
    </w:p>
    <w:p>
      <w:r>
        <w:rPr>
          <w:rFonts w:ascii="Times New Roman" w:hAnsi="Times New Roman" w:eastAsia="Times New Roman"/>
          <w:sz w:val="24"/>
        </w:rPr>
        <w:t>Funding: This research received no specific grant from any funding agency in the public, commercial, or not-for-profit sectors.</w:t>
      </w:r>
    </w:p>
    <w:p>
      <w:r>
        <w:rPr>
          <w:rFonts w:ascii="Times New Roman" w:hAnsi="Times New Roman" w:eastAsia="Times New Roman"/>
          <w:sz w:val="24"/>
        </w:rPr>
        <w:t>Data and code availability: The data, variable-construction files, and analysis code used in this study will be made available in a public GitHub repository. The repository URL will be inserted in the submission system and final manuscript record once finalized.</w:t>
      </w:r>
    </w:p>
    <w:p>
      <w:r>
        <w:rPr>
          <w:rFonts w:ascii="Times New Roman" w:hAnsi="Times New Roman" w:eastAsia="Times New Roman"/>
          <w:sz w:val="24"/>
        </w:rPr>
        <w:t>AI use statement: AI-based assistance was used in a limited and moderate manner for language editing, formatting support, and clarity checks. The econometric analysis, interpretation of results, scholarly argument, and final manuscript decisions were conducted and verified by the author, who remains fully responsible for the content.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