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星辰科技信息安全规范</w:t>
      </w:r>
    </w:p>
    <w:p>
      <w:pPr>
        <w:pStyle w:val="Heading1"/>
      </w:pPr>
      <w:r>
        <w:t>第一章 账号与密码</w:t>
      </w:r>
    </w:p>
    <w:p>
      <w:pPr>
        <w:spacing w:after="120"/>
      </w:pPr>
      <w:r>
        <w:t>第一条 员工账号实行实名制，一人一号，严禁共享账号。</w:t>
      </w:r>
    </w:p>
    <w:p>
      <w:pPr>
        <w:spacing w:after="120"/>
      </w:pPr>
      <w:r>
        <w:t>第二条 密码长度不得少于 12 位，须包含大小写字母、数字与特殊符号中的至少三类。</w:t>
      </w:r>
    </w:p>
    <w:p>
      <w:pPr>
        <w:spacing w:after="120"/>
      </w:pPr>
      <w:r>
        <w:t>第三条 密码须每 90 天更换一次，且不得与前 5 次使用过的密码重复。</w:t>
      </w:r>
    </w:p>
    <w:p>
      <w:pPr>
        <w:spacing w:after="120"/>
      </w:pPr>
      <w:r>
        <w:t>第四条 连续输错密码 5 次，账号将被锁定 30 分钟。</w:t>
      </w:r>
    </w:p>
    <w:p>
      <w:pPr>
        <w:spacing w:after="120"/>
      </w:pPr>
      <w:r>
        <w:t>第五条 所有系统必须开启双因素认证（2FA），优先使用动态令牌或硬件密钥。</w:t>
      </w:r>
    </w:p>
    <w:p>
      <w:pPr>
        <w:spacing w:after="120"/>
      </w:pPr>
      <w:r>
        <w:t>第六条 员工离职当日，其全部系统权限由 IT 部门在 4 小时内回收。</w:t>
      </w:r>
    </w:p>
    <w:p>
      <w:pPr>
        <w:pStyle w:val="Heading1"/>
      </w:pPr>
      <w:r>
        <w:t>第二章 设备管理</w:t>
      </w:r>
    </w:p>
    <w:p>
      <w:pPr>
        <w:spacing w:after="120"/>
      </w:pPr>
      <w:r>
        <w:t>第七条 公司配发的笔记本电脑必须开启全盘加密（BitLocker 或 FileVault）。</w:t>
      </w:r>
    </w:p>
    <w:p>
      <w:pPr>
        <w:spacing w:after="120"/>
      </w:pPr>
      <w:r>
        <w:t>第八条 办公电脑必须安装公司统一采购的终端安全软件，不得私自卸载。</w:t>
      </w:r>
    </w:p>
    <w:p>
      <w:pPr>
        <w:spacing w:after="120"/>
      </w:pPr>
      <w:r>
        <w:t>第九条 严禁在办公设备上安装来源不明的软件、破解工具或挖矿程序。</w:t>
      </w:r>
    </w:p>
    <w:p>
      <w:pPr>
        <w:spacing w:after="120"/>
      </w:pPr>
      <w:r>
        <w:t>第十条 移动存储设备须经 IT 部门登记并加密后方可使用。</w:t>
      </w:r>
    </w:p>
    <w:p>
      <w:pPr>
        <w:spacing w:after="120"/>
      </w:pPr>
      <w:r>
        <w:t>第十一条 设备遗失或被盗，须在 2 小时内报告 IT 部门与直属主管。</w:t>
      </w:r>
    </w:p>
    <w:p>
      <w:pPr>
        <w:pStyle w:val="Heading1"/>
      </w:pPr>
      <w:r>
        <w:t>第三章 数据分级</w:t>
      </w:r>
    </w:p>
    <w:p>
      <w:pPr>
        <w:spacing w:after="120"/>
      </w:pPr>
      <w:r>
        <w:t>第十二条 公司数据按敏感程度分为四级：</w:t>
      </w:r>
    </w:p>
    <w:p>
      <w:pPr>
        <w:spacing w:after="120"/>
      </w:pPr>
      <w:r>
        <w:t>第十三条 L3 及以上数据的对外传输必须使用公司统一的加密通道。</w:t>
      </w:r>
    </w:p>
    <w:p>
      <w:pPr>
        <w:spacing w:after="120"/>
      </w:pPr>
      <w:r>
        <w:t>第十四条 严禁将 L3、L4 级数据存入个人网盘、个人邮箱或未经批准的第三方平台。</w:t>
      </w:r>
    </w:p>
    <w:p>
      <w:pPr>
        <w:pStyle w:val="Heading1"/>
      </w:pPr>
      <w:r>
        <w:t>第四章 办公安全</w:t>
      </w:r>
    </w:p>
    <w:p>
      <w:pPr>
        <w:spacing w:after="120"/>
      </w:pPr>
      <w:r>
        <w:t>第十五条 办公区域实行门禁管理，工牌不得转借他人使用。</w:t>
      </w:r>
    </w:p>
    <w:p>
      <w:pPr>
        <w:spacing w:after="120"/>
      </w:pPr>
      <w:r>
        <w:t>第十六条 离开工位时须锁定屏幕，快捷键为 Win+L（Windows）或 Control+Command+Q（macOS）。</w:t>
      </w:r>
    </w:p>
    <w:p>
      <w:pPr>
        <w:spacing w:after="120"/>
      </w:pPr>
      <w:r>
        <w:t>第十七条 会议中讨论 L3 以上信息时，须关闭录音设备并禁止外部人员旁听。</w:t>
      </w:r>
    </w:p>
    <w:p>
      <w:pPr>
        <w:spacing w:after="120"/>
      </w:pPr>
      <w:r>
        <w:t>第十八条 打印涉密文件须使用专用打印机，打印后立即取走，废弃件须碎纸销毁。</w:t>
      </w:r>
    </w:p>
    <w:p>
      <w:pPr>
        <w:spacing w:after="120"/>
      </w:pPr>
      <w:r>
        <w:t>第十九条 严禁在公共网络环境下直接访问公司内网，须通过公司 VPN。</w:t>
      </w:r>
    </w:p>
    <w:p>
      <w:pPr>
        <w:pStyle w:val="Heading1"/>
      </w:pPr>
      <w:r>
        <w:t>第五章 开发安全</w:t>
      </w:r>
    </w:p>
    <w:p>
      <w:pPr>
        <w:spacing w:after="120"/>
      </w:pPr>
      <w:r>
        <w:t>第二十条 代码仓库禁止提交明文密钥、证书或生产环境配置。</w:t>
      </w:r>
    </w:p>
    <w:p>
      <w:pPr>
        <w:spacing w:after="120"/>
      </w:pPr>
      <w:r>
        <w:t>第二十一条 所有对外服务上线前必须通过安全扫描，</w:t>
      </w:r>
    </w:p>
    <w:p>
      <w:pPr>
        <w:spacing w:after="120"/>
      </w:pPr>
      <w:r>
        <w:t>高危漏洞未修复的不得发布。</w:t>
      </w:r>
    </w:p>
    <w:p>
      <w:pPr>
        <w:spacing w:after="120"/>
      </w:pPr>
      <w:r>
        <w:t>第二十二条 生产数据库访问须通过堡垒机，所有操作全程审计。</w:t>
      </w:r>
    </w:p>
    <w:p>
      <w:pPr>
        <w:spacing w:after="120"/>
      </w:pPr>
      <w:r>
        <w:t>第二十三条 第三方依赖须定期做漏洞扫描，发现高危漏洞应在 7 日内升级。</w:t>
      </w:r>
    </w:p>
    <w:p>
      <w:pPr>
        <w:pStyle w:val="Heading1"/>
      </w:pPr>
      <w:r>
        <w:t>第六章 邮件与通讯安全</w:t>
      </w:r>
    </w:p>
    <w:p>
      <w:pPr>
        <w:spacing w:after="120"/>
      </w:pPr>
      <w:r>
        <w:t>第二十四条 收到可疑邮件（陌生发件人、异常附件、紧急转账要求）应报告安全团队，</w:t>
      </w:r>
    </w:p>
    <w:p>
      <w:pPr>
        <w:spacing w:after="120"/>
      </w:pPr>
      <w:r>
        <w:t>不得点击链接或下载附件。</w:t>
      </w:r>
    </w:p>
    <w:p>
      <w:pPr>
        <w:spacing w:after="120"/>
      </w:pPr>
      <w:r>
        <w:t>第二十五条 涉及资金转账的指令必须通过电话二次确认。</w:t>
      </w:r>
    </w:p>
    <w:p>
      <w:pPr>
        <w:spacing w:after="120"/>
      </w:pPr>
      <w:r>
        <w:t>第二十六条 工作沟通使用公司统一的即时通讯工具，禁止使用个人社交软件传输工作文件。</w:t>
      </w:r>
    </w:p>
    <w:p>
      <w:pPr>
        <w:pStyle w:val="Heading1"/>
      </w:pPr>
      <w:r>
        <w:t>第七章 违规处理</w:t>
      </w:r>
    </w:p>
    <w:p>
      <w:pPr>
        <w:spacing w:after="120"/>
      </w:pPr>
      <w:r>
        <w:t>第二十七条 违反本规范的，视情节给予口头警告、书面警告、降级、解除劳动合同等处分。</w:t>
      </w:r>
    </w:p>
    <w:p>
      <w:pPr>
        <w:spacing w:after="120"/>
      </w:pPr>
      <w:r>
        <w:t>第二十八条 造成公司重大损失的，公司有权追究其法律责任并索赔。</w:t>
      </w:r>
    </w:p>
    <w:p>
      <w:pPr>
        <w:spacing w:after="120"/>
      </w:pPr>
      <w:r>
        <w:t>第二十九条 主动上报安全隐患且经核实的，公司给予 500 元至 5000 元的奖励。</w:t>
      </w:r>
    </w:p>
    <w:p>
      <w:pPr>
        <w:pStyle w:val="Heading1"/>
      </w:pPr>
      <w:r>
        <w:t>第八章 网络与访问控制</w:t>
      </w:r>
    </w:p>
    <w:p>
      <w:pPr>
        <w:spacing w:after="120"/>
      </w:pPr>
      <w:r>
        <w:t>第三十条 公司网络分为办公网、测试网与生产网三张物理隔离的网络。</w:t>
      </w:r>
    </w:p>
    <w:p>
      <w:pPr>
        <w:spacing w:after="120"/>
      </w:pPr>
      <w:r>
        <w:t>生产网仅允许运维人员通过堡垒机访问，且须提前申请临时权限。</w:t>
      </w:r>
    </w:p>
    <w:p>
      <w:pPr>
        <w:spacing w:after="120"/>
      </w:pPr>
      <w:r>
        <w:t>第三十一条 内部系统访问实行最小权限原则，权限申请须说明用途与有效期，</w:t>
      </w:r>
    </w:p>
    <w:p>
      <w:pPr>
        <w:spacing w:after="120"/>
      </w:pPr>
      <w:r>
        <w:t>默认有效期为 90 天，到期自动回收，如需继续使用须重新申请。</w:t>
      </w:r>
    </w:p>
    <w:p>
      <w:pPr>
        <w:spacing w:after="120"/>
      </w:pPr>
      <w:r>
        <w:t>第三十二条 严禁私自搭建对外服务、代理服务器或端口转发工具。</w:t>
      </w:r>
    </w:p>
    <w:p>
      <w:pPr>
        <w:spacing w:after="120"/>
      </w:pPr>
      <w:r>
        <w:t>确因工作需要搭建的，须报信息安全部备案并接受定期扫描。</w:t>
      </w:r>
    </w:p>
    <w:p>
      <w:pPr>
        <w:spacing w:after="120"/>
      </w:pPr>
      <w:r>
        <w:t>第三十三条 无线网络分为办公 SSID 与访客 SSID。访客网络仅可访问互联网，</w:t>
      </w:r>
    </w:p>
    <w:p>
      <w:pPr>
        <w:spacing w:after="120"/>
      </w:pPr>
      <w:r>
        <w:t>不得访问任何内部系统。访客接入须由员工陪同申请临时凭证，有效期最长 8 小时。</w:t>
      </w:r>
    </w:p>
    <w:p>
      <w:pPr>
        <w:spacing w:after="120"/>
      </w:pPr>
      <w:r>
        <w:t>第三十四条 远程办公须通过公司统一 VPN 接入，VPN 账号不得共享，</w:t>
      </w:r>
    </w:p>
    <w:p>
      <w:pPr>
        <w:spacing w:after="120"/>
      </w:pPr>
      <w:r>
        <w:t>连续 3 次登录失败将临时锁定 15 分钟。</w:t>
      </w:r>
    </w:p>
    <w:p>
      <w:pPr>
        <w:pStyle w:val="Heading1"/>
      </w:pPr>
      <w:r>
        <w:t>第九章 第三方与供应链安全</w:t>
      </w:r>
    </w:p>
    <w:p>
      <w:pPr>
        <w:spacing w:after="120"/>
      </w:pPr>
      <w:r>
        <w:t>第三十五条 引入第三方软件或云服务前，须完成安全评估，</w:t>
      </w:r>
    </w:p>
    <w:p>
      <w:pPr>
        <w:spacing w:after="120"/>
      </w:pPr>
      <w:r>
        <w:t>评估内容包括数据存储位置、加密方式、合规资质与退出机制。</w:t>
      </w:r>
    </w:p>
    <w:p>
      <w:pPr>
        <w:spacing w:after="120"/>
      </w:pPr>
      <w:r>
        <w:t>第三十六条 涉及 L3 及以上数据的第三方服务，必须签署数据处理协议（DPA），</w:t>
      </w:r>
    </w:p>
    <w:p>
      <w:pPr>
        <w:spacing w:after="120"/>
      </w:pPr>
      <w:r>
        <w:t>并明确数据销毁条款。</w:t>
      </w:r>
    </w:p>
    <w:p>
      <w:pPr>
        <w:spacing w:after="120"/>
      </w:pPr>
      <w:r>
        <w:t>第三十七条 开源组件使用须登记在软件物料清单（SBOM）中，</w:t>
      </w:r>
    </w:p>
    <w:p>
      <w:pPr>
        <w:spacing w:after="120"/>
      </w:pPr>
      <w:r>
        <w:t>每季度执行一次依赖漏洞扫描，高危漏洞须在 7 日内修复或隔离。</w:t>
      </w:r>
    </w:p>
    <w:p>
      <w:pPr>
        <w:spacing w:after="120"/>
      </w:pPr>
      <w:r>
        <w:t>第三十八条 外包人员与实习生须签署保密协议，系统权限与正式员工隔离，</w:t>
      </w:r>
    </w:p>
    <w:p>
      <w:pPr>
        <w:spacing w:after="120"/>
      </w:pPr>
      <w:r>
        <w:t>合作结束后 24 小时内回收全部权限。</w:t>
      </w:r>
    </w:p>
    <w:p>
      <w:pPr>
        <w:pStyle w:val="Heading1"/>
      </w:pPr>
      <w:r>
        <w:t>第十章 应急响应</w:t>
      </w:r>
    </w:p>
    <w:p>
      <w:pPr>
        <w:spacing w:after="120"/>
      </w:pPr>
      <w:r>
        <w:t>第三十九条 安全事件分为四级：特别重大（Ⅰ级）、重大（Ⅱ级）、较大（Ⅲ级）、一般（Ⅳ级）。</w:t>
      </w:r>
    </w:p>
    <w:p>
      <w:pPr>
        <w:spacing w:after="120"/>
      </w:pPr>
      <w:r>
        <w:t>第四十条 发现安全事件的员工须在 30 分钟内通过安全热线 400-000-0000 或</w:t>
      </w:r>
    </w:p>
    <w:p>
      <w:pPr>
        <w:spacing w:after="120"/>
      </w:pPr>
      <w:r>
        <w:t>安全邮箱 security@example.com 上报，不得自行处置或对外披露。</w:t>
      </w:r>
    </w:p>
    <w:p>
      <w:pPr>
        <w:spacing w:after="120"/>
      </w:pPr>
      <w:r>
        <w:t>第四十一条 应急响应流程为：发现与上报 → 初步研判 → 遏制与隔离 → 根因分析 →</w:t>
      </w:r>
    </w:p>
    <w:p>
      <w:pPr>
        <w:spacing w:after="120"/>
      </w:pPr>
      <w:r>
        <w:t>恢复与验证 → 复盘与改进。Ⅰ级事件要求在 2 小时内完成遏制。</w:t>
      </w:r>
    </w:p>
    <w:p>
      <w:pPr>
        <w:spacing w:after="120"/>
      </w:pPr>
      <w:r>
        <w:t>第四十二条 每年至少组织两次安全应急演练，覆盖率须达到 80% 以上。</w:t>
      </w:r>
    </w:p>
    <w:p>
      <w:pPr>
        <w:spacing w:after="120"/>
      </w:pPr>
      <w:r>
        <w:t>第四十三条 安全事件复盘报告须在事件闭环后 10 个工作日内提交，</w:t>
      </w:r>
    </w:p>
    <w:p>
      <w:pPr>
        <w:spacing w:after="120"/>
      </w:pPr>
      <w:r>
        <w:t>包含时间线、影响范围、根因、改进措施与责任人。</w:t>
      </w:r>
    </w:p>
    <w:p>
      <w:pPr>
        <w:pStyle w:val="Heading1"/>
      </w:pPr>
      <w:r>
        <w:t>第十一章 合规与审计</w:t>
      </w:r>
    </w:p>
    <w:p>
      <w:pPr>
        <w:spacing w:after="120"/>
      </w:pPr>
      <w:r>
        <w:t>第四十四条 公司须遵守《网络安全法》《数据安全法》《个人信息保护法》</w:t>
      </w:r>
    </w:p>
    <w:p>
      <w:pPr>
        <w:spacing w:after="120"/>
      </w:pPr>
      <w:r>
        <w:t>及行业监管要求。处理个人信息须遵循最小必要原则并取得明确同意。</w:t>
      </w:r>
    </w:p>
    <w:p>
      <w:pPr>
        <w:spacing w:after="120"/>
      </w:pPr>
      <w:r>
        <w:t>第四十五条 个人信息出境须完成安全评估与备案，不得通过私人渠道传输。</w:t>
      </w:r>
    </w:p>
    <w:p>
      <w:pPr>
        <w:spacing w:after="120"/>
      </w:pPr>
      <w:r>
        <w:t>第四十六条 审计日志须保留不少于 180 天，日志本身须防篡改，</w:t>
      </w:r>
    </w:p>
    <w:p>
      <w:pPr>
        <w:spacing w:after="120"/>
      </w:pPr>
      <w:r>
        <w:t>采用只追加写入模式并定期做完整性校验。</w:t>
      </w:r>
    </w:p>
    <w:p>
      <w:pPr>
        <w:spacing w:after="120"/>
      </w:pPr>
      <w:r>
        <w:t>第四十七条 每半年开展一次内部合规自查，每年委托第三方做一次外部审计。</w:t>
      </w:r>
    </w:p>
    <w:p>
      <w:pPr>
        <w:pStyle w:val="Heading1"/>
      </w:pPr>
      <w:r>
        <w:t>第十二章 附则</w:t>
      </w:r>
    </w:p>
    <w:p>
      <w:pPr>
        <w:spacing w:after="120"/>
      </w:pPr>
      <w:r>
        <w:t>第四十八条 本规范由信息安全部负责解释与修订，每年至少评审一次。</w:t>
      </w:r>
    </w:p>
    <w:p>
      <w:pPr>
        <w:spacing w:after="120"/>
      </w:pPr>
      <w:r>
        <w:t>第四十九条 本规范自发布之日起施行。与此前发布的版本冲突的，以本规范为准。</w:t>
      </w:r>
    </w:p>
    <w:p>
      <w:pPr>
        <w:spacing w:after="120"/>
      </w:pPr>
      <w:r>
        <w:t>第五十条 各部门可依据本规范制定实施细则，但不得低于本规范的要求。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外发要求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官网宣传材料</w:t>
            </w:r>
          </w:p>
        </w:tc>
        <w:tc>
          <w:tcPr>
            <w:tcW w:type="dxa" w:w="2160"/>
          </w:tcPr>
          <w:p>
            <w:r>
              <w:t>无限制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内部</w:t>
            </w:r>
          </w:p>
        </w:tc>
        <w:tc>
          <w:tcPr>
            <w:tcW w:type="dxa" w:w="2160"/>
          </w:tcPr>
          <w:p>
            <w:r>
              <w:t>内部通知、流程图</w:t>
            </w:r>
          </w:p>
        </w:tc>
        <w:tc>
          <w:tcPr>
            <w:tcW w:type="dxa" w:w="2160"/>
          </w:tcPr>
          <w:p>
            <w:r>
              <w:t>仅限公司内部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机密</w:t>
            </w:r>
          </w:p>
        </w:tc>
        <w:tc>
          <w:tcPr>
            <w:tcW w:type="dxa" w:w="2160"/>
          </w:tcPr>
          <w:p>
            <w:r>
              <w:t>客户名单、财务数据</w:t>
            </w:r>
          </w:p>
        </w:tc>
        <w:tc>
          <w:tcPr>
            <w:tcW w:type="dxa" w:w="2160"/>
          </w:tcPr>
          <w:p>
            <w:r>
              <w:t>需部门负责人审批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绝密</w:t>
            </w:r>
          </w:p>
        </w:tc>
        <w:tc>
          <w:tcPr>
            <w:tcW w:type="dxa" w:w="2160"/>
          </w:tcPr>
          <w:p>
            <w:r>
              <w:t>核心算法、并购计划</w:t>
            </w:r>
          </w:p>
        </w:tc>
        <w:tc>
          <w:tcPr>
            <w:tcW w:type="dxa" w:w="2160"/>
          </w:tcPr>
          <w:p>
            <w:r>
              <w:t>需 CEO 审批并留痕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