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DİLEKÇE</w:t>
      </w:r>
    </w:p>
    <w:p>
      <w:pPr>
        <w:jc w:val="right"/>
      </w:pPr>
      <w:r>
        <w:rPr>
          <w:b/>
        </w:rPr>
        <w:t>EMNIYET</w:t>
      </w:r>
    </w:p>
    <w:p>
      <w:r>
        <w:rPr>
          <w:b/>
        </w:rPr>
        <w:t xml:space="preserve">Konu: </w:t>
      </w:r>
      <w:r>
        <w:t>Bosanma</w:t>
      </w:r>
    </w:p>
    <w:p>
      <w:r/>
    </w:p>
    <w:p>
      <w:r/>
    </w:p>
    <w:p>
      <w:r/>
    </w:p>
    <w:p>
      <w:pPr>
        <w:jc w:val="right"/>
      </w:pPr>
      <w:r>
        <w:t>Saygılarımla,</w:t>
      </w:r>
    </w:p>
    <w:p>
      <w:pPr>
        <w:jc w:val="right"/>
      </w:pPr>
      <w:r>
        <w:t>Saltuk Gogebakan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