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E3A40"/>
          <w:sz w:val="44"/>
        </w:rPr>
        <w:t>SERVICE AGREEMENT</w:t>
      </w:r>
    </w:p>
    <w:p>
      <w:r>
        <w:rPr>
          <w:b/>
          <w:color w:val="FF6F59"/>
          <w:sz w:val="24"/>
        </w:rPr>
        <w:t>Website and booking platform</w:t>
      </w:r>
    </w:p>
    <w:p>
      <w:pPr>
        <w:pBdr>
          <w:bottom w:val="single" w:sz="18" w:space="1" w:color="FF6F59"/>
        </w:pBdr>
        <w:spacing w:after="80"/>
      </w:pPr>
    </w:p>
    <w:p>
      <w:r>
        <w:rPr>
          <w:color w:val="6B7775"/>
        </w:rPr>
        <w:t xml:space="preserve">Between </w:t>
      </w:r>
      <w:r>
        <w:rPr>
          <w:b/>
        </w:rPr>
        <w:t>saltycodestudio</w:t>
      </w:r>
      <w:r>
        <w:rPr>
          <w:color w:val="6B7775"/>
        </w:rPr>
        <w:t xml:space="preserve"> (the Studio) and </w:t>
      </w:r>
      <w:r>
        <w:rPr>
          <w:b/>
        </w:rPr>
        <w:t>Tex Cars &amp; Leasing</w:t>
      </w:r>
      <w:r>
        <w:rPr>
          <w:color w:val="6B7775"/>
        </w:rPr>
        <w:t xml:space="preserve"> (the Client)</w:t>
      </w:r>
    </w:p>
    <w:p>
      <w:r>
        <w:rPr>
          <w:color w:val="6B7775"/>
          <w:sz w:val="18"/>
        </w:rPr>
        <w:t>Date: 17 June 2026     Reference: TEX-2026-01</w:t>
      </w:r>
    </w:p>
    <w:p>
      <w:pPr>
        <w:spacing w:before="200" w:after="40"/>
      </w:pPr>
      <w:r>
        <w:rPr>
          <w:rFonts w:ascii="Calibri" w:hAnsi="Calibri"/>
          <w:b/>
          <w:color w:val="0E3A40"/>
          <w:sz w:val="24"/>
        </w:rPr>
        <w:t>1. Parties</w:t>
      </w:r>
    </w:p>
    <w:p>
      <w:pPr>
        <w:spacing w:after="100"/>
      </w:pPr>
      <w:r>
        <w:t>The Studio: saltycodestudio, [legal name and address], email [your email] (we, us).</w:t>
      </w:r>
    </w:p>
    <w:p>
      <w:pPr>
        <w:spacing w:after="100"/>
      </w:pPr>
      <w:r>
        <w:t>The Client: Tex Cars &amp; Leasing, Aruba, [legal name and address] (you).</w:t>
      </w:r>
    </w:p>
    <w:p>
      <w:pPr>
        <w:spacing w:before="200" w:after="40"/>
      </w:pPr>
      <w:r>
        <w:rPr>
          <w:rFonts w:ascii="Calibri" w:hAnsi="Calibri"/>
          <w:b/>
          <w:color w:val="0E3A40"/>
          <w:sz w:val="24"/>
        </w:rPr>
        <w:t>2. The services</w:t>
      </w:r>
    </w:p>
    <w:p>
      <w:pPr>
        <w:spacing w:after="100"/>
      </w:pPr>
      <w:r>
        <w:t>The Studio will deliver and launch a website and an online booking and operations platform for the Client, as described in the proposal dated 17 June 2026 (reference TEX-2026-01). In summary:</w:t>
      </w:r>
    </w:p>
    <w:p>
      <w:pPr>
        <w:pStyle w:val="ListBullet"/>
        <w:spacing w:after="40"/>
      </w:pPr>
      <w:r>
        <w:t>A multilingual marketing website (English, Dutch, Spanish and Papiamento) with pricing shown in florin for local visitors and US dollars for everyone else.</w:t>
      </w:r>
    </w:p>
    <w:p>
      <w:pPr>
        <w:pStyle w:val="ListBullet"/>
        <w:spacing w:after="40"/>
      </w:pPr>
      <w:r>
        <w:t>An online booking flow where customers reserve a car type and pay a reservation fee through Stripe in US dollars.</w:t>
      </w:r>
    </w:p>
    <w:p>
      <w:pPr>
        <w:pStyle w:val="ListBullet"/>
        <w:spacing w:after="40"/>
      </w:pPr>
      <w:r>
        <w:t>An operations dashboard with a visual planning board, manual bookings, carwash and maintenance scheduling, and reports.</w:t>
      </w:r>
    </w:p>
    <w:p>
      <w:pPr>
        <w:pStyle w:val="ListBullet"/>
        <w:spacing w:after="40"/>
      </w:pPr>
      <w:r>
        <w:t>Configuration with the Client's real fleet, classes and rates, connection of the Client's domain, testing, and a training session.</w:t>
      </w:r>
    </w:p>
    <w:p>
      <w:pPr>
        <w:spacing w:before="200" w:after="40"/>
      </w:pPr>
      <w:r>
        <w:rPr>
          <w:rFonts w:ascii="Calibri" w:hAnsi="Calibri"/>
          <w:b/>
          <w:color w:val="0E3A40"/>
          <w:sz w:val="24"/>
        </w:rPr>
        <w:t>3. Deliverables and go live</w:t>
      </w:r>
    </w:p>
    <w:p>
      <w:pPr>
        <w:spacing w:after="100"/>
      </w:pPr>
      <w:r>
        <w:t>The Studio will configure, test and launch the platform, normally within one to two weeks of the Client providing the items in section 7. Go live is complete when the website and booking platform are live on the Client's domain and the Client has received a walkthrough.</w:t>
      </w:r>
    </w:p>
    <w:p>
      <w:pPr>
        <w:spacing w:before="200" w:after="40"/>
      </w:pPr>
      <w:r>
        <w:rPr>
          <w:rFonts w:ascii="Calibri" w:hAnsi="Calibri"/>
          <w:b/>
          <w:color w:val="0E3A40"/>
          <w:sz w:val="24"/>
        </w:rPr>
        <w:t>4. Fees and payment</w:t>
      </w:r>
    </w:p>
    <w:p>
      <w:pPr>
        <w:spacing w:after="100"/>
      </w:pPr>
      <w:r>
        <w:rPr>
          <w:b/>
          <w:color w:val="0E3A40"/>
        </w:rPr>
        <w:t xml:space="preserve">4.1  </w:t>
      </w:r>
      <w:r>
        <w:t>Build and launch (one time): €7,750. Payable 50% on signing this agreement and 50% on go live.</w:t>
      </w:r>
    </w:p>
    <w:p>
      <w:pPr>
        <w:spacing w:after="100"/>
      </w:pPr>
      <w:r>
        <w:rPr>
          <w:b/>
          <w:color w:val="0E3A40"/>
        </w:rPr>
        <w:t xml:space="preserve">4.2  </w:t>
      </w:r>
      <w:r>
        <w:t>Ongoing support, the Client chooses one:</w:t>
      </w:r>
    </w:p>
    <w:p>
      <w:pPr>
        <w:pStyle w:val="ListBullet"/>
        <w:spacing w:after="40"/>
      </w:pPr>
      <w:r>
        <w:t>Care plan: €250 per month. Includes hosting and infrastructure, security updates, monitoring, daily backups, support by email and WhatsApp, small changes, and one feature tweak per month. Billed monthly from go live, month to month.</w:t>
      </w:r>
    </w:p>
    <w:p>
      <w:pPr>
        <w:pStyle w:val="ListBullet"/>
        <w:spacing w:after="40"/>
      </w:pPr>
      <w:r>
        <w:t>Consultation: €100 per hour, billed for time worked. Hosting and infrastructure are arranged separately and billed at cost.</w:t>
      </w:r>
    </w:p>
    <w:p>
      <w:pPr>
        <w:spacing w:after="100"/>
      </w:pPr>
      <w:r>
        <w:rPr>
          <w:b/>
          <w:color w:val="0E3A40"/>
        </w:rPr>
        <w:t xml:space="preserve">4.3  </w:t>
      </w:r>
      <w:r>
        <w:t>Optional extras on request: professional fleet photos from €350, each additional language €225, and new feature work at €100 per hour.</w:t>
      </w:r>
    </w:p>
    <w:p>
      <w:pPr>
        <w:spacing w:after="100"/>
      </w:pPr>
      <w:r>
        <w:rPr>
          <w:b/>
          <w:color w:val="0E3A40"/>
        </w:rPr>
        <w:t xml:space="preserve">4.4  </w:t>
      </w:r>
      <w:r>
        <w:t>All amounts are in euros and exclude any taxes that may apply. Invoices are due within 14 days.</w:t>
      </w:r>
    </w:p>
    <w:p>
      <w:pPr>
        <w:spacing w:before="200" w:after="40"/>
      </w:pPr>
      <w:r>
        <w:rPr>
          <w:rFonts w:ascii="Calibri" w:hAnsi="Calibri"/>
          <w:b/>
          <w:color w:val="0E3A40"/>
          <w:sz w:val="24"/>
        </w:rPr>
        <w:t>5. Term and termination</w:t>
      </w:r>
    </w:p>
    <w:p>
      <w:pPr>
        <w:spacing w:after="100"/>
      </w:pPr>
      <w:r>
        <w:t>This agreement starts on the date of signing. The care plan, if chosen, runs month to month and either party may end it with 30 days written notice. Ending the care plan does not affect the Client's ownership of the platform. Either party may end this agreement for a material breach that is not fixed within 14 days of written notice.</w:t>
      </w:r>
    </w:p>
    <w:p>
      <w:pPr>
        <w:spacing w:before="200" w:after="40"/>
      </w:pPr>
      <w:r>
        <w:rPr>
          <w:rFonts w:ascii="Calibri" w:hAnsi="Calibri"/>
          <w:b/>
          <w:color w:val="0E3A40"/>
          <w:sz w:val="24"/>
        </w:rPr>
        <w:t>6. Hosting and third party services</w:t>
      </w:r>
    </w:p>
    <w:p>
      <w:pPr>
        <w:spacing w:after="100"/>
      </w:pPr>
      <w:r>
        <w:t>The platform runs on third party services including Stripe for payments and providers for hosting and the database. The Client holds its own Stripe account and receives payouts directly. Fees charged by these providers are the Client's responsibility, and are included in the care plan where stated.</w:t>
      </w:r>
    </w:p>
    <w:p>
      <w:pPr>
        <w:spacing w:before="200" w:after="40"/>
      </w:pPr>
      <w:r>
        <w:rPr>
          <w:rFonts w:ascii="Calibri" w:hAnsi="Calibri"/>
          <w:b/>
          <w:color w:val="0E3A40"/>
          <w:sz w:val="24"/>
        </w:rPr>
        <w:t>7. Client responsibilities</w:t>
      </w:r>
    </w:p>
    <w:p>
      <w:pPr>
        <w:spacing w:after="100"/>
      </w:pPr>
      <w:r>
        <w:t>The Client will provide, in good time: the tex-cars.com domain and access to manage it, a Stripe account, the business and insurance details needed for the booking terms, and fleet photos when ready. The Client is responsible for the accuracy of its rates, vehicles and policies.</w:t>
      </w:r>
    </w:p>
    <w:p>
      <w:pPr>
        <w:spacing w:before="200" w:after="40"/>
      </w:pPr>
      <w:r>
        <w:rPr>
          <w:rFonts w:ascii="Calibri" w:hAnsi="Calibri"/>
          <w:b/>
          <w:color w:val="0E3A40"/>
          <w:sz w:val="24"/>
        </w:rPr>
        <w:t>8. Ownership and intellectual property</w:t>
      </w:r>
    </w:p>
    <w:p>
      <w:pPr>
        <w:spacing w:after="100"/>
      </w:pPr>
      <w:r>
        <w:t>On full payment of the build and launch fee, the Client owns the website, the booking platform as deployed for the Client, and all of the Client's business and customer data. The Studio keeps ownership of its own reusable frameworks, libraries, tools and components used to build the platform, and grants the Client a perpetual licence to use them as part of the delivered platform.</w:t>
      </w:r>
    </w:p>
    <w:p>
      <w:pPr>
        <w:spacing w:before="200" w:after="40"/>
      </w:pPr>
      <w:r>
        <w:rPr>
          <w:rFonts w:ascii="Calibri" w:hAnsi="Calibri"/>
          <w:b/>
          <w:color w:val="0E3A40"/>
          <w:sz w:val="24"/>
        </w:rPr>
        <w:t>9. Data and privacy</w:t>
      </w:r>
    </w:p>
    <w:p>
      <w:pPr>
        <w:spacing w:after="100"/>
      </w:pPr>
      <w:r>
        <w:t>The platform stores customer details, including encrypted driver licence information, in the Client's database. The Client is the controller of this data. The Studio will handle any data it accesses only to provide the services, and will keep it confidential.</w:t>
      </w:r>
    </w:p>
    <w:p>
      <w:pPr>
        <w:spacing w:before="200" w:after="40"/>
      </w:pPr>
      <w:r>
        <w:rPr>
          <w:rFonts w:ascii="Calibri" w:hAnsi="Calibri"/>
          <w:b/>
          <w:color w:val="0E3A40"/>
          <w:sz w:val="24"/>
        </w:rPr>
        <w:t>10. Support and warranty</w:t>
      </w:r>
    </w:p>
    <w:p>
      <w:pPr>
        <w:spacing w:after="100"/>
      </w:pPr>
      <w:r>
        <w:t>The Studio will correct, at no charge, any defect in the delivered work reported within 30 days of go live. After that, fixes and changes are covered by the care plan or billed as consultation.</w:t>
      </w:r>
    </w:p>
    <w:p>
      <w:pPr>
        <w:spacing w:before="200" w:after="40"/>
      </w:pPr>
      <w:r>
        <w:rPr>
          <w:rFonts w:ascii="Calibri" w:hAnsi="Calibri"/>
          <w:b/>
          <w:color w:val="0E3A40"/>
          <w:sz w:val="24"/>
        </w:rPr>
        <w:t>11. Liability</w:t>
      </w:r>
    </w:p>
    <w:p>
      <w:pPr>
        <w:spacing w:after="100"/>
      </w:pPr>
      <w:r>
        <w:t>The Studio's total liability under this agreement is limited to the fees paid by the Client in the 12 months before a claim. The Studio is not liable for indirect or consequential loss, or for outages caused by third party providers.</w:t>
      </w:r>
    </w:p>
    <w:p>
      <w:pPr>
        <w:spacing w:before="200" w:after="40"/>
      </w:pPr>
      <w:r>
        <w:rPr>
          <w:rFonts w:ascii="Calibri" w:hAnsi="Calibri"/>
          <w:b/>
          <w:color w:val="0E3A40"/>
          <w:sz w:val="24"/>
        </w:rPr>
        <w:t>12. Confidentiality</w:t>
      </w:r>
    </w:p>
    <w:p>
      <w:pPr>
        <w:spacing w:after="100"/>
      </w:pPr>
      <w:r>
        <w:t>Each party will keep the other's non public information confidential and use it only for this agreement.</w:t>
      </w:r>
    </w:p>
    <w:p>
      <w:pPr>
        <w:spacing w:before="200" w:after="40"/>
      </w:pPr>
      <w:r>
        <w:rPr>
          <w:rFonts w:ascii="Calibri" w:hAnsi="Calibri"/>
          <w:b/>
          <w:color w:val="0E3A40"/>
          <w:sz w:val="24"/>
        </w:rPr>
        <w:t>13. Governing law</w:t>
      </w:r>
    </w:p>
    <w:p>
      <w:pPr>
        <w:spacing w:after="100"/>
      </w:pPr>
      <w:r>
        <w:t>This agreement is governed by the laws of [Aruba or the Netherlands], and any dispute will be handled by the competent court there.</w:t>
      </w:r>
    </w:p>
    <w:p>
      <w:pPr>
        <w:spacing w:before="200" w:after="40"/>
      </w:pPr>
      <w:r>
        <w:rPr>
          <w:rFonts w:ascii="Calibri" w:hAnsi="Calibri"/>
          <w:b/>
          <w:color w:val="0E3A40"/>
          <w:sz w:val="24"/>
        </w:rPr>
        <w:t>14. Signatures</w:t>
      </w:r>
    </w:p>
    <w:p>
      <w:pPr>
        <w:spacing w:after="100"/>
      </w:pPr>
      <w:r>
        <w:t>By signing below, both parties accept the terms of this agreement.</w:t>
      </w:r>
    </w:p>
    <w:tbl>
      <w:tblPr>
        <w:tblW w:type="auto" w:w="0"/>
        <w:tblLayout w:type="autofit"/>
        <w:tblLook w:firstColumn="1" w:firstRow="1" w:lastColumn="0" w:lastRow="0" w:noHBand="0" w:noVBand="1" w:val="04A0"/>
      </w:tblPr>
      <w:tblGrid>
        <w:gridCol w:w="4680"/>
        <w:gridCol w:w="4680"/>
      </w:tblGrid>
      <w:tr>
        <w:tc>
          <w:tcPr>
            <w:tcW w:type="dxa" w:w="4680"/>
          </w:tcPr>
          <w:p>
            <w:r>
              <w:rPr>
                <w:b/>
              </w:rPr>
              <w:t>For the Studio (saltycodestudio)</w:t>
            </w:r>
          </w:p>
        </w:tc>
        <w:tc>
          <w:tcPr>
            <w:tcW w:type="dxa" w:w="4680"/>
          </w:tcPr>
          <w:p>
            <w:r>
              <w:rPr>
                <w:b/>
              </w:rPr>
              <w:t>For the Client (Tex Cars &amp; Leasing)</w:t>
            </w:r>
          </w:p>
        </w:tc>
      </w:tr>
      <w:tr>
        <w:tc>
          <w:tcPr>
            <w:tcW w:type="dxa" w:w="4680"/>
          </w:tcPr>
          <w:p>
            <w:r>
              <w:br/>
              <w:t>Signature: ______________________</w:t>
              <w:br/>
              <w:br/>
              <w:t>Name: __________________________</w:t>
              <w:br/>
              <w:br/>
              <w:t>Date: ___________________________</w:t>
            </w:r>
          </w:p>
        </w:tc>
        <w:tc>
          <w:tcPr>
            <w:tcW w:type="dxa" w:w="4680"/>
          </w:tcPr>
          <w:p>
            <w:r>
              <w:br/>
              <w:t>Signature: ______________________</w:t>
              <w:br/>
              <w:br/>
              <w:t>Name: __________________________</w:t>
              <w:br/>
              <w:br/>
              <w:t>Date: ___________________________</w:t>
            </w:r>
          </w:p>
        </w:tc>
      </w:tr>
    </w:tbl>
    <w:p>
      <w:pPr>
        <w:spacing w:before="280"/>
      </w:pPr>
      <w:r>
        <w:rPr>
          <w:i/>
          <w:color w:val="6B7775"/>
          <w:sz w:val="17"/>
        </w:rPr>
        <w:t>This is a simple plain language agreement. For a large or unusual engagement, consider a quick legal review.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