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0" w:before="3600" w:line="276" w:lineRule="auto"/>
      </w:pPr>
      <w:r>
        <w:rPr>
          <w:rFonts w:ascii="Arial" w:cs="Arial" w:eastAsia="Arial" w:hAnsi="Arial"/>
          <w:color w:val="000000"/>
          <w:sz w:val="22"/>
          <w:szCs w:val="22"/>
        </w:rPr>
        <w:t xml:space="preserve"/>
      </w:r>
    </w:p>
    <w:p>
      <w:pPr>
        <w:keepLines/>
        <w:spacing w:after="720" w:before="0" w:line="276" w:lineRule="auto"/>
        <w:jc w:val="center"/>
      </w:pPr>
      <w:r>
        <w:rPr>
          <w:rFonts w:ascii="Arial" w:cs="Arial" w:eastAsia="Arial" w:hAnsi="Arial"/>
          <w:b/>
          <w:bCs/>
          <w:color w:val="000000"/>
          <w:sz w:val="40"/>
          <w:szCs w:val="40"/>
        </w:rPr>
        <w:t xml:space="preserve">Estimating Walmart's Cost of Capital</w:t>
      </w:r>
    </w:p>
    <w:p>
      <w:pPr>
        <w:keepLines/>
        <w:spacing w:after="200" w:before="0" w:line="276" w:lineRule="auto"/>
        <w:jc w:val="center"/>
      </w:pPr>
      <w:r>
        <w:rPr>
          <w:rFonts w:ascii="Arial" w:cs="Arial" w:eastAsia="Arial" w:hAnsi="Arial"/>
          <w:color w:val="000000"/>
          <w:sz w:val="28"/>
          <w:szCs w:val="28"/>
        </w:rPr>
        <w:t xml:space="preserve">Paolo Safady</w:t>
      </w:r>
    </w:p>
    <w:p>
      <w:pPr>
        <w:keepLines/>
        <w:spacing w:after="0" w:before="0" w:line="276" w:lineRule="auto"/>
        <w:jc w:val="center"/>
      </w:pPr>
      <w:r>
        <w:rPr>
          <w:rFonts w:ascii="Arial" w:cs="Arial" w:eastAsia="Arial" w:hAnsi="Arial"/>
          <w:color w:val="000000"/>
          <w:sz w:val="24"/>
          <w:szCs w:val="24"/>
        </w:rPr>
        <w:t xml:space="preserve">October 21,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00000"/>
          <w:sz w:val="26"/>
          <w:szCs w:val="26"/>
        </w:rPr>
        <w:t xml:space="preserve">Question 1</w:t>
      </w:r>
    </w:p>
    <w:p>
      <w:pPr>
        <w:keepLines/>
        <w:spacing w:after="160" w:before="0" w:line="276" w:lineRule="auto"/>
      </w:pPr>
      <w:r>
        <w:rPr>
          <w:rFonts w:ascii="Arial" w:cs="Arial" w:eastAsia="Arial" w:hAnsi="Arial"/>
          <w:color w:val="000000"/>
          <w:sz w:val="22"/>
          <w:szCs w:val="22"/>
        </w:rPr>
        <w:t xml:space="preserve">Cost of capital is the return a company has to earn on its investments to pay back the people who fund it. Walmart raises money in two ways. It borrows from lenders, who expect interest, and it raises equity from shareholders, who expect a return through dividends and a rising stock price. Each source has its own cost. The weighted average cost of capital (WACC) blends the two, weighting each cost by how much of Walmart's financing comes from that source.</w:t>
      </w:r>
    </w:p>
    <w:p>
      <w:pPr>
        <w:keepLines/>
        <w:spacing w:after="160" w:before="0" w:line="276" w:lineRule="auto"/>
      </w:pPr>
      <w:r>
        <w:rPr>
          <w:rFonts w:ascii="Arial" w:cs="Arial" w:eastAsia="Arial" w:hAnsi="Arial"/>
          <w:color w:val="000000"/>
          <w:sz w:val="22"/>
          <w:szCs w:val="22"/>
        </w:rPr>
        <w:t xml:space="preserve">Dale and Lee care because the cost of capital is the bar every investment has to clear. The money Walmart puts into a new store, a distribution center or any other project isn't free. If a project earns more than the cost of capital, it adds value for shareholders. If it earns less, it destroys value, even if it shows an accounting profit.</w:t>
      </w:r>
    </w:p>
    <w:p>
      <w:pPr>
        <w:keepLines/>
        <w:spacing w:after="160" w:before="0" w:line="276" w:lineRule="auto"/>
      </w:pPr>
      <w:r>
        <w:rPr>
          <w:rFonts w:ascii="Arial" w:cs="Arial" w:eastAsia="Arial" w:hAnsi="Arial"/>
          <w:color w:val="000000"/>
          <w:sz w:val="22"/>
          <w:szCs w:val="22"/>
        </w:rPr>
        <w:t xml:space="preserve">Getting the number right matters. If they set it too high, Walmart will turn down projects that would have paid off. If they set it too low, Walmart will fund projects that don't earn enough to cover what its lenders and shareholders expect. The cost of capital is also the discount rate used in net present value (NPV) analysis, so an error in it changes the value of every project they evaluate.</w:t>
      </w:r>
    </w:p>
    <w:p>
      <w:pPr>
        <w:pStyle w:val="Heading1"/>
      </w:pPr>
      <w:r>
        <w:rPr>
          <w:rFonts w:ascii="Arial" w:cs="Arial" w:eastAsia="Arial" w:hAnsi="Arial"/>
          <w:b/>
          <w:bCs/>
          <w:color w:val="000000"/>
          <w:sz w:val="26"/>
          <w:szCs w:val="26"/>
        </w:rPr>
        <w:t xml:space="preserve">Question 2</w:t>
      </w:r>
    </w:p>
    <w:p>
      <w:pPr>
        <w:keepNext/>
        <w:keepLines/>
        <w:spacing w:after="160" w:before="0" w:line="276" w:lineRule="auto"/>
      </w:pPr>
      <w:r>
        <w:rPr>
          <w:rFonts w:ascii="Arial" w:cs="Arial" w:eastAsia="Arial" w:hAnsi="Arial"/>
          <w:color w:val="000000"/>
          <w:sz w:val="22"/>
          <w:szCs w:val="22"/>
        </w:rPr>
        <w:t xml:space="preserve">Table 1 sorts every source of financing on the balance sheet into short-term debt, long-term debt and equity. In this analysis, debt means total liabilities, so it includes everything Walmart owes, both current and long-term.</w:t>
      </w:r>
    </w:p>
    <w:p>
      <w:pPr>
        <w:keepNext/>
        <w:keepLines/>
        <w:spacing w:after="80" w:before="120" w:line="276" w:lineRule="auto"/>
      </w:pPr>
      <w:r>
        <w:rPr>
          <w:rFonts w:ascii="Arial" w:cs="Arial" w:eastAsia="Arial" w:hAnsi="Arial"/>
          <w:b/>
          <w:bCs/>
          <w:color w:val="000000"/>
          <w:sz w:val="20"/>
          <w:szCs w:val="20"/>
        </w:rPr>
        <w:t xml:space="preserve">Table 1. Walmart sources of financing ($ millions)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560"/>
        <w:gridCol w:w="1900"/>
        <w:gridCol w:w="1900"/>
      </w:tblGrid>
      <w:tr>
        <w:trPr>
          <w:cantSplit/>
          <w:tblHeader/>
        </w:trPr>
        <w:tc>
          <w:tcPr>
            <w:tcW w:type="dxa" w:w="55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Source of financing</w:t>
            </w:r>
          </w:p>
        </w:tc>
        <w:tc>
          <w:tcPr>
            <w:tcW w:type="dxa" w:w="1900"/>
            <w:tcMar>
              <w:top w:type="dxa" w:w="60"/>
              <w:left w:type="dxa" w:w="110"/>
              <w:bottom w:type="dxa" w:w="60"/>
              <w:right w:type="dxa" w:w="110"/>
            </w:tcMar>
            <w:vAlign w:val="center"/>
          </w:tcPr>
          <w:p>
            <w:pPr>
              <w:keepNext w:val="false"/>
              <w:keepLines/>
              <w:spacing w:after="0" w:before="0"/>
              <w:jc w:val="center"/>
            </w:pPr>
            <w:r>
              <w:rPr>
                <w:rFonts w:ascii="Arial" w:cs="Arial" w:eastAsia="Arial" w:hAnsi="Arial"/>
                <w:b/>
                <w:bCs/>
                <w:color w:val="000000"/>
                <w:sz w:val="20"/>
                <w:szCs w:val="20"/>
              </w:rPr>
              <w:t xml:space="preserve">Amount ($M)</w:t>
            </w:r>
          </w:p>
        </w:tc>
        <w:tc>
          <w:tcPr>
            <w:tcW w:type="dxa" w:w="1900"/>
            <w:tcMar>
              <w:top w:type="dxa" w:w="60"/>
              <w:left w:type="dxa" w:w="110"/>
              <w:bottom w:type="dxa" w:w="60"/>
              <w:right w:type="dxa" w:w="110"/>
            </w:tcMar>
            <w:vAlign w:val="center"/>
          </w:tcPr>
          <w:p>
            <w:pPr>
              <w:keepNext w:val="false"/>
              <w:keepLines/>
              <w:spacing w:after="0" w:before="0"/>
              <w:jc w:val="center"/>
            </w:pPr>
            <w:r>
              <w:rPr>
                <w:rFonts w:ascii="Arial" w:cs="Arial" w:eastAsia="Arial" w:hAnsi="Arial"/>
                <w:b/>
                <w:bCs/>
                <w:color w:val="000000"/>
                <w:sz w:val="20"/>
                <w:szCs w:val="20"/>
              </w:rPr>
              <w:t xml:space="preserve">% of total</w:t>
            </w:r>
          </w:p>
        </w:tc>
      </w:tr>
      <w:tr>
        <w:trPr>
          <w:cantSplit/>
        </w:trPr>
        <w:tc>
          <w:tcPr>
            <w:tcW w:type="dxa" w:w="9360"/>
            <w:gridSpan w:val="3"/>
            <w:tcMar>
              <w:top w:type="dxa" w:w="60"/>
              <w:left w:type="dxa" w:w="110"/>
              <w:bottom w:type="dxa" w:w="60"/>
              <w:right w:type="dxa" w:w="110"/>
            </w:tcMar>
          </w:tcPr>
          <w:p>
            <w:pPr>
              <w:keepNext w:val="false"/>
              <w:keepLines/>
              <w:spacing w:after="0" w:before="0"/>
            </w:pPr>
            <w:r>
              <w:rPr>
                <w:rFonts w:ascii="Arial" w:cs="Arial" w:eastAsia="Arial" w:hAnsi="Arial"/>
                <w:b/>
                <w:bCs/>
                <w:color w:val="000000"/>
                <w:sz w:val="20"/>
                <w:szCs w:val="20"/>
              </w:rPr>
              <w:t xml:space="preserve">Short-term debt (current liabilities)</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Accounts payable</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47,060</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21.46%</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Short-term borrowings</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5,225</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2.38%</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Accrued liabilities</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22,159</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10.10%</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Current portion of long-term debt and capital leases</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2,605</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1.19%</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Other current liabilities</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428</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0.20%</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Total current liabilities</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77,477</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35.33%</w:t>
            </w:r>
          </w:p>
        </w:tc>
      </w:tr>
      <w:tr>
        <w:trPr>
          <w:cantSplit/>
        </w:trPr>
        <w:tc>
          <w:tcPr>
            <w:tcW w:type="dxa" w:w="9360"/>
            <w:gridSpan w:val="3"/>
            <w:tcMar>
              <w:top w:type="dxa" w:w="60"/>
              <w:left w:type="dxa" w:w="110"/>
              <w:bottom w:type="dxa" w:w="60"/>
              <w:right w:type="dxa" w:w="110"/>
            </w:tcMar>
          </w:tcPr>
          <w:p>
            <w:pPr>
              <w:keepNext w:val="false"/>
              <w:keepLines/>
              <w:spacing w:after="0" w:before="0"/>
            </w:pPr>
            <w:r>
              <w:rPr>
                <w:rFonts w:ascii="Arial" w:cs="Arial" w:eastAsia="Arial" w:hAnsi="Arial"/>
                <w:b/>
                <w:bCs/>
                <w:color w:val="000000"/>
                <w:sz w:val="20"/>
                <w:szCs w:val="20"/>
              </w:rPr>
              <w:t xml:space="preserve">Long-term debt</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Long-term debt and capital leases</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50,203</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22.89%</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Deferred income taxes and other</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11,981</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5.46%</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Total long-term liabilities</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62,184</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28.36%</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Total debt (total liabilities)</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139,661</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63.69%</w:t>
            </w:r>
          </w:p>
        </w:tc>
      </w:tr>
      <w:tr>
        <w:trPr>
          <w:cantSplit/>
        </w:trPr>
        <w:tc>
          <w:tcPr>
            <w:tcW w:type="dxa" w:w="9360"/>
            <w:gridSpan w:val="3"/>
            <w:tcMar>
              <w:top w:type="dxa" w:w="60"/>
              <w:left w:type="dxa" w:w="110"/>
              <w:bottom w:type="dxa" w:w="60"/>
              <w:right w:type="dxa" w:w="110"/>
            </w:tcMar>
          </w:tcPr>
          <w:p>
            <w:pPr>
              <w:keepNext w:val="false"/>
              <w:keepLines/>
              <w:spacing w:after="0" w:before="0"/>
            </w:pPr>
            <w:r>
              <w:rPr>
                <w:rFonts w:ascii="Arial" w:cs="Arial" w:eastAsia="Arial" w:hAnsi="Arial"/>
                <w:b/>
                <w:bCs/>
                <w:color w:val="000000"/>
                <w:sz w:val="20"/>
                <w:szCs w:val="20"/>
              </w:rPr>
              <w:t xml:space="preserve">Equity financing</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Common stock and paid-in capital</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3,253</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1.48%</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Retained earnings</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80,785</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36.84%</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Accumulated other comprehensive income (loss)</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(11,542)</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(5.26%)</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Total Walmart shareholders' equity</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72,496</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33.06%</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ind w:left="240"/>
              <w:jc w:val="left"/>
            </w:pPr>
            <w:r>
              <w:rPr>
                <w:rFonts w:ascii="Arial" w:cs="Arial" w:eastAsia="Arial" w:hAnsi="Arial"/>
                <w:color w:val="000000"/>
                <w:sz w:val="20"/>
                <w:szCs w:val="20"/>
              </w:rPr>
              <w:t xml:space="preserve">Noncontrolling interest</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7,138</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3.25%</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Total equity</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79,634</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36.31%</w:t>
            </w:r>
          </w:p>
        </w:tc>
      </w:tr>
      <w:tr>
        <w:trPr>
          <w:cantSplit/>
          <w:tblHeader w:val="false"/>
        </w:trPr>
        <w:tc>
          <w:tcPr>
            <w:tcW w:type="dxa" w:w="55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Total financing (debt + equity)</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219,295</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100.00%</w:t>
            </w:r>
          </w:p>
        </w:tc>
      </w:tr>
    </w:tbl>
    <w:p>
      <w:pPr>
        <w:keepLines/>
        <w:spacing w:after="160" w:before="240" w:line="276" w:lineRule="auto"/>
      </w:pPr>
      <w:r>
        <w:rPr>
          <w:rFonts w:ascii="Arial" w:cs="Arial" w:eastAsia="Arial" w:hAnsi="Arial"/>
          <w:color w:val="000000"/>
          <w:sz w:val="22"/>
          <w:szCs w:val="22"/>
        </w:rPr>
        <w:t xml:space="preserve">Walmart's total financing is $219,295 million, which matches total liabilities and equity on the balance sheet. Debt makes up $139,661 million (63.7%), with $77,477 million in short-term debt and $62,184 million in long-term debt. Accounts payable, the money Walmart owes its suppliers, is the largest single item at $47,060 million. Equity makes up the other $79,634 million (36.3%).</w:t>
      </w:r>
    </w:p>
    <w:p>
      <w:pPr>
        <w:keepLines/>
        <w:spacing w:after="160" w:before="0" w:line="276" w:lineRule="auto"/>
      </w:pPr>
      <w:r>
        <w:rPr>
          <w:rFonts w:ascii="Arial" w:cs="Arial" w:eastAsia="Arial" w:hAnsi="Arial"/>
          <w:color w:val="000000"/>
          <w:sz w:val="22"/>
          <w:szCs w:val="22"/>
        </w:rPr>
        <w:t xml:space="preserve">Most of Walmart's equity comes from retained earnings ($80,785 million). Only $3,253 million came from selling stock, so Walmart has built its equity mainly by reinvesting its profits. Accumulated other comprehensive loss lowers equity by $11,542 million, and noncontrolling interest (the part of Walmart's subsidiaries owned by outside investors) adds $7,138 million.</w:t>
      </w:r>
    </w:p>
    <w:p>
      <w:pPr>
        <w:pStyle w:val="Heading1"/>
      </w:pPr>
      <w:r>
        <w:rPr>
          <w:rFonts w:ascii="Arial" w:cs="Arial" w:eastAsia="Arial" w:hAnsi="Arial"/>
          <w:b/>
          <w:bCs/>
          <w:color w:val="000000"/>
          <w:sz w:val="26"/>
          <w:szCs w:val="26"/>
        </w:rPr>
        <w:t xml:space="preserve">Question 3</w:t>
      </w:r>
    </w:p>
    <w:p>
      <w:pPr>
        <w:keepNext/>
        <w:keepLines/>
        <w:spacing w:after="160" w:before="0" w:line="276" w:lineRule="auto"/>
      </w:pPr>
      <w:r>
        <w:rPr>
          <w:rFonts w:ascii="Arial" w:cs="Arial" w:eastAsia="Arial" w:hAnsi="Arial"/>
          <w:color w:val="000000"/>
          <w:sz w:val="22"/>
          <w:szCs w:val="22"/>
        </w:rPr>
        <w:t xml:space="preserve">Walmart has two long-term liabilities, shown in Table 2. The cost of long-term debt should be based on long-term debt and capital leases. At $50,203 million, it makes up 80.7% of long-term liabilities, and it consists mostly of bonds. Deferred income taxes and other ($11,981 million) aren't bonds and have no market yield, so they can't tell us what Walmart pays to borrow.</w:t>
      </w:r>
    </w:p>
    <w:p>
      <w:pPr>
        <w:keepNext/>
        <w:keepLines/>
        <w:spacing w:after="80" w:before="120" w:line="276" w:lineRule="auto"/>
      </w:pPr>
      <w:r>
        <w:rPr>
          <w:rFonts w:ascii="Arial" w:cs="Arial" w:eastAsia="Arial" w:hAnsi="Arial"/>
          <w:b/>
          <w:bCs/>
          <w:color w:val="000000"/>
          <w:sz w:val="20"/>
          <w:szCs w:val="20"/>
        </w:rPr>
        <w:t xml:space="preserve">Table 2. Walmart long-term liabilities ($ millions)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160"/>
        <w:gridCol w:w="1700"/>
        <w:gridCol w:w="1700"/>
        <w:gridCol w:w="1800"/>
      </w:tblGrid>
      <w:tr>
        <w:trPr>
          <w:cantSplit/>
          <w:tblHeader/>
        </w:trPr>
        <w:tc>
          <w:tcPr>
            <w:tcW w:type="dxa" w:w="4160"/>
            <w:tcMar>
              <w:top w:type="dxa" w:w="60"/>
              <w:left w:type="dxa" w:w="110"/>
              <w:bottom w:type="dxa" w:w="60"/>
              <w:right w:type="dxa" w:w="110"/>
            </w:tcMar>
            <w:vAlign w:val="center"/>
          </w:tcPr>
          <w:p>
            <w:pPr>
              <w:keepNext/>
              <w:keepLines/>
              <w:spacing w:after="0" w:before="0"/>
              <w:jc w:val="left"/>
            </w:pPr>
            <w:r>
              <w:rPr>
                <w:rFonts w:ascii="Arial" w:cs="Arial" w:eastAsia="Arial" w:hAnsi="Arial"/>
                <w:b/>
                <w:bCs/>
                <w:color w:val="000000"/>
                <w:sz w:val="20"/>
                <w:szCs w:val="20"/>
              </w:rPr>
              <w:t xml:space="preserve">Long-term liability</w:t>
            </w:r>
          </w:p>
        </w:tc>
        <w:tc>
          <w:tcPr>
            <w:tcW w:type="dxa" w:w="17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Amount ($M)</w:t>
            </w:r>
          </w:p>
        </w:tc>
        <w:tc>
          <w:tcPr>
            <w:tcW w:type="dxa" w:w="17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 of long-term liabilities</w:t>
            </w:r>
          </w:p>
        </w:tc>
        <w:tc>
          <w:tcPr>
            <w:tcW w:type="dxa" w:w="18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Used for cost of debt?</w:t>
            </w:r>
          </w:p>
        </w:tc>
      </w:tr>
      <w:tr>
        <w:trPr>
          <w:cantSplit/>
          <w:tblHeader w:val="false"/>
        </w:trPr>
        <w:tc>
          <w:tcPr>
            <w:tcW w:type="dxa" w:w="41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Long-term debt and capital leases (mostly bonds)</w:t>
            </w:r>
          </w:p>
        </w:tc>
        <w:tc>
          <w:tcPr>
            <w:tcW w:type="dxa" w:w="17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50,203</w:t>
            </w:r>
          </w:p>
        </w:tc>
        <w:tc>
          <w:tcPr>
            <w:tcW w:type="dxa" w:w="17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80.7%</w:t>
            </w:r>
          </w:p>
        </w:tc>
        <w:tc>
          <w:tcPr>
            <w:tcW w:type="dxa" w:w="1800"/>
            <w:tcMar>
              <w:top w:type="dxa" w:w="60"/>
              <w:left w:type="dxa" w:w="110"/>
              <w:bottom w:type="dxa" w:w="60"/>
              <w:right w:type="dxa" w:w="110"/>
            </w:tcMar>
            <w:vAlign w:val="center"/>
          </w:tcPr>
          <w:p>
            <w:pPr>
              <w:keepNext/>
              <w:keepLines/>
              <w:spacing w:after="0" w:before="0"/>
              <w:jc w:val="center"/>
            </w:pPr>
            <w:r>
              <w:rPr>
                <w:rFonts w:ascii="Arial" w:cs="Arial" w:eastAsia="Arial" w:hAnsi="Arial"/>
                <w:color w:val="000000"/>
                <w:sz w:val="20"/>
                <w:szCs w:val="20"/>
              </w:rPr>
              <w:t xml:space="preserve">Yes</w:t>
            </w:r>
          </w:p>
        </w:tc>
      </w:tr>
      <w:tr>
        <w:trPr>
          <w:cantSplit/>
          <w:tblHeader w:val="false"/>
        </w:trPr>
        <w:tc>
          <w:tcPr>
            <w:tcW w:type="dxa" w:w="41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Deferred income taxes and other</w:t>
            </w:r>
          </w:p>
        </w:tc>
        <w:tc>
          <w:tcPr>
            <w:tcW w:type="dxa" w:w="17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11,981</w:t>
            </w:r>
          </w:p>
        </w:tc>
        <w:tc>
          <w:tcPr>
            <w:tcW w:type="dxa" w:w="17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19.3%</w:t>
            </w:r>
          </w:p>
        </w:tc>
        <w:tc>
          <w:tcPr>
            <w:tcW w:type="dxa" w:w="1800"/>
            <w:tcMar>
              <w:top w:type="dxa" w:w="60"/>
              <w:left w:type="dxa" w:w="110"/>
              <w:bottom w:type="dxa" w:w="60"/>
              <w:right w:type="dxa" w:w="110"/>
            </w:tcMar>
            <w:vAlign w:val="center"/>
          </w:tcPr>
          <w:p>
            <w:pPr>
              <w:keepNext/>
              <w:keepLines/>
              <w:spacing w:after="0" w:before="0"/>
              <w:jc w:val="center"/>
            </w:pPr>
            <w:r>
              <w:rPr>
                <w:rFonts w:ascii="Arial" w:cs="Arial" w:eastAsia="Arial" w:hAnsi="Arial"/>
                <w:color w:val="000000"/>
                <w:sz w:val="20"/>
                <w:szCs w:val="20"/>
              </w:rPr>
              <w:t xml:space="preserve">No</w:t>
            </w:r>
          </w:p>
        </w:tc>
      </w:tr>
      <w:tr>
        <w:trPr>
          <w:cantSplit/>
          <w:tblHeader w:val="false"/>
        </w:trPr>
        <w:tc>
          <w:tcPr>
            <w:tcW w:type="dxa" w:w="41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Total long-term liabilities</w:t>
            </w:r>
          </w:p>
        </w:tc>
        <w:tc>
          <w:tcPr>
            <w:tcW w:type="dxa" w:w="17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62,184</w:t>
            </w:r>
          </w:p>
        </w:tc>
        <w:tc>
          <w:tcPr>
            <w:tcW w:type="dxa" w:w="17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100.0%</w:t>
            </w:r>
          </w:p>
        </w:tc>
        <w:tc>
          <w:tcPr>
            <w:tcW w:type="dxa" w:w="1800"/>
            <w:tcMar>
              <w:top w:type="dxa" w:w="60"/>
              <w:left w:type="dxa" w:w="110"/>
              <w:bottom w:type="dxa" w:w="60"/>
              <w:right w:type="dxa" w:w="110"/>
            </w:tcMar>
            <w:vAlign w:val="center"/>
          </w:tcPr>
          <w:p>
            <w:pPr>
              <w:keepNext w:val="false"/>
              <w:keepLines/>
              <w:spacing w:after="0" w:before="0"/>
              <w:jc w:val="center"/>
            </w:pPr>
            <w:r>
              <w:rPr>
                <w:rFonts w:ascii="Arial" w:cs="Arial" w:eastAsia="Arial" w:hAnsi="Arial"/>
                <w:b/>
                <w:bCs/>
                <w:color w:val="000000"/>
                <w:sz w:val="20"/>
                <w:szCs w:val="20"/>
              </w:rPr>
              <w:t xml:space="preserve"/>
            </w:r>
          </w:p>
        </w:tc>
      </w:tr>
    </w:tbl>
    <w:p>
      <w:pPr>
        <w:keepLines/>
        <w:spacing w:after="120" w:before="0" w:line="276" w:lineRule="auto"/>
      </w:pPr>
      <w:r>
        <w:rPr>
          <w:rFonts w:ascii="Arial" w:cs="Arial" w:eastAsia="Arial" w:hAnsi="Arial"/>
          <w:color w:val="000000"/>
          <w:sz w:val="22"/>
          <w:szCs w:val="22"/>
        </w:rPr>
        <w:t xml:space="preserve"/>
      </w:r>
    </w:p>
    <w:p>
      <w:pPr>
        <w:keepNext/>
        <w:keepLines/>
        <w:spacing w:after="80" w:before="120" w:line="276" w:lineRule="auto"/>
      </w:pPr>
      <w:r>
        <w:rPr>
          <w:rFonts w:ascii="Arial" w:cs="Arial" w:eastAsia="Arial" w:hAnsi="Arial"/>
          <w:b/>
          <w:bCs/>
          <w:color w:val="000000"/>
          <w:sz w:val="20"/>
          <w:szCs w:val="20"/>
        </w:rPr>
        <w:t xml:space="preserve">Table 3. Source and cost of long-term debt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00"/>
        <w:gridCol w:w="6560"/>
      </w:tblGrid>
      <w:tr>
        <w:trPr>
          <w:cantSplit/>
          <w:tblHeader w:val="false"/>
        </w:trPr>
        <w:tc>
          <w:tcPr>
            <w:tcW w:type="dxa" w:w="2800"/>
            <w:tcMar>
              <w:top w:type="dxa" w:w="60"/>
              <w:left w:type="dxa" w:w="110"/>
              <w:bottom w:type="dxa" w:w="60"/>
              <w:right w:type="dxa" w:w="110"/>
            </w:tcMar>
            <w:vAlign w:val="center"/>
          </w:tcPr>
          <w:p>
            <w:pPr>
              <w:keepNext/>
              <w:keepLines/>
              <w:spacing w:after="0" w:before="0"/>
              <w:jc w:val="left"/>
            </w:pPr>
            <w:r>
              <w:rPr>
                <w:rFonts w:ascii="Arial" w:cs="Arial" w:eastAsia="Arial" w:hAnsi="Arial"/>
                <w:b/>
                <w:bCs/>
                <w:color w:val="000000"/>
                <w:sz w:val="20"/>
                <w:szCs w:val="20"/>
              </w:rPr>
              <w:t xml:space="preserve">Source of long-term debt</w:t>
            </w:r>
          </w:p>
        </w:tc>
        <w:tc>
          <w:tcPr>
            <w:tcW w:type="dxa" w:w="6560"/>
            <w:tcMar>
              <w:top w:type="dxa" w:w="60"/>
              <w:left w:type="dxa" w:w="110"/>
              <w:bottom w:type="dxa" w:w="60"/>
              <w:right w:type="dxa" w:w="110"/>
            </w:tcMar>
            <w:vAlign w:val="center"/>
          </w:tcPr>
          <w:p>
            <w:pPr>
              <w:keepNext/>
              <w:keepLines/>
              <w:spacing w:after="0" w:before="0"/>
              <w:jc w:val="left"/>
            </w:pPr>
            <w:r>
              <w:rPr>
                <w:rFonts w:ascii="Arial" w:cs="Arial" w:eastAsia="Arial" w:hAnsi="Arial"/>
                <w:b w:val="false"/>
                <w:bCs w:val="false"/>
                <w:color w:val="000000"/>
                <w:sz w:val="20"/>
                <w:szCs w:val="20"/>
              </w:rPr>
              <w:t xml:space="preserve">Long-term debt and capital leases (mostly bonds), $50,203 million</w:t>
            </w:r>
          </w:p>
        </w:tc>
      </w:tr>
      <w:tr>
        <w:trPr>
          <w:cantSplit/>
          <w:tblHeader w:val="false"/>
        </w:trPr>
        <w:tc>
          <w:tcPr>
            <w:tcW w:type="dxa" w:w="280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Cost of long-term debt</w:t>
            </w:r>
          </w:p>
        </w:tc>
        <w:tc>
          <w:tcPr>
            <w:tcW w:type="dxa" w:w="6560"/>
            <w:tcMar>
              <w:top w:type="dxa" w:w="60"/>
              <w:left w:type="dxa" w:w="110"/>
              <w:bottom w:type="dxa" w:w="60"/>
              <w:right w:type="dxa" w:w="110"/>
            </w:tcMar>
            <w:vAlign w:val="center"/>
          </w:tcPr>
          <w:p>
            <w:pPr>
              <w:keepNext w:val="false"/>
              <w:keepLines/>
              <w:spacing w:after="0" w:before="0"/>
              <w:jc w:val="left"/>
            </w:pPr>
            <w:r>
              <w:rPr>
                <w:rFonts w:ascii="Arial" w:cs="Arial" w:eastAsia="Arial" w:hAnsi="Arial"/>
                <w:b w:val="false"/>
                <w:bCs w:val="false"/>
                <w:color w:val="000000"/>
                <w:sz w:val="20"/>
                <w:szCs w:val="20"/>
              </w:rPr>
              <w:t xml:space="preserve">3.53%, the yield on Walmart's bonds (Walmart case study)</w:t>
            </w:r>
          </w:p>
        </w:tc>
      </w:tr>
    </w:tbl>
    <w:p>
      <w:pPr>
        <w:keepLines/>
        <w:spacing w:after="160" w:before="240" w:line="276" w:lineRule="auto"/>
      </w:pPr>
      <w:r>
        <w:rPr>
          <w:rFonts w:ascii="Arial" w:cs="Arial" w:eastAsia="Arial" w:hAnsi="Arial"/>
          <w:color w:val="000000"/>
          <w:sz w:val="22"/>
          <w:szCs w:val="22"/>
        </w:rPr>
        <w:t xml:space="preserve">The bond yield is the right measure because it's the return investors currently demand to lend Walmart money for the long term. Interest is tax deductible, so the after-tax cost of long-term debt is 3.53% × (1 − 0.27) = 2.58%. Question 6 uses this after-tax cost in the WACC.</w:t>
      </w:r>
    </w:p>
    <w:p>
      <w:pPr>
        <w:pStyle w:val="Heading1"/>
      </w:pPr>
      <w:r>
        <w:rPr>
          <w:rFonts w:ascii="Arial" w:cs="Arial" w:eastAsia="Arial" w:hAnsi="Arial"/>
          <w:b/>
          <w:bCs/>
          <w:color w:val="000000"/>
          <w:sz w:val="26"/>
          <w:szCs w:val="26"/>
        </w:rPr>
        <w:t xml:space="preserve">Question 4</w:t>
      </w:r>
    </w:p>
    <w:p>
      <w:pPr>
        <w:keepNext/>
        <w:keepLines/>
        <w:spacing w:after="120" w:before="0" w:line="276" w:lineRule="auto"/>
      </w:pPr>
      <w:r>
        <w:rPr>
          <w:rFonts w:ascii="Arial" w:cs="Arial" w:eastAsia="Arial" w:hAnsi="Arial"/>
          <w:color w:val="000000"/>
          <w:sz w:val="22"/>
          <w:szCs w:val="22"/>
        </w:rPr>
        <w:t xml:space="preserve">Under the Capital Asset Pricing Model (CAPM), the cost of equity is:</w:t>
      </w:r>
    </w:p>
    <w:p>
      <w:pPr>
        <w:keepNext/>
        <w:keepLines/>
        <w:spacing w:after="200" w:before="0"/>
        <w:jc w:val="center"/>
      </w:pPr>
      <w:r>
        <w:rPr>
          <w:rFonts w:ascii="Arial" w:cs="Arial" w:eastAsia="Arial" w:hAnsi="Arial"/>
          <w:b/>
          <w:bCs/>
          <w:color w:val="000000"/>
          <w:sz w:val="22"/>
          <w:szCs w:val="22"/>
        </w:rPr>
        <w:t xml:space="preserve">K</w:t>
      </w:r>
      <w:r>
        <w:rPr>
          <w:rFonts w:ascii="Arial" w:cs="Arial" w:eastAsia="Arial" w:hAnsi="Arial"/>
          <w:b/>
          <w:bCs/>
          <w:color w:val="000000"/>
          <w:sz w:val="22"/>
          <w:szCs w:val="22"/>
          <w:vertAlign w:val="subscript"/>
        </w:rPr>
        <w:t xml:space="preserve">e</w:t>
      </w:r>
      <w:r>
        <w:rPr>
          <w:rFonts w:ascii="Arial" w:cs="Arial" w:eastAsia="Arial" w:hAnsi="Arial"/>
          <w:b/>
          <w:bCs/>
          <w:color w:val="000000"/>
          <w:sz w:val="22"/>
          <w:szCs w:val="22"/>
        </w:rPr>
        <w:t xml:space="preserve"> = R</w:t>
      </w:r>
      <w:r>
        <w:rPr>
          <w:rFonts w:ascii="Arial" w:cs="Arial" w:eastAsia="Arial" w:hAnsi="Arial"/>
          <w:b/>
          <w:bCs/>
          <w:color w:val="000000"/>
          <w:sz w:val="22"/>
          <w:szCs w:val="22"/>
          <w:vertAlign w:val="subscript"/>
        </w:rPr>
        <w:t xml:space="preserve">f</w:t>
      </w:r>
      <w:r>
        <w:rPr>
          <w:rFonts w:ascii="Arial" w:cs="Arial" w:eastAsia="Arial" w:hAnsi="Arial"/>
          <w:b/>
          <w:bCs/>
          <w:color w:val="000000"/>
          <w:sz w:val="22"/>
          <w:szCs w:val="22"/>
        </w:rPr>
        <w:t xml:space="preserve"> + β(MRP)</w:t>
      </w:r>
    </w:p>
    <w:p>
      <w:pPr>
        <w:keepNext/>
        <w:keepLines/>
        <w:spacing w:after="80" w:before="120" w:line="276" w:lineRule="auto"/>
      </w:pPr>
      <w:r>
        <w:rPr>
          <w:rFonts w:ascii="Arial" w:cs="Arial" w:eastAsia="Arial" w:hAnsi="Arial"/>
          <w:b/>
          <w:bCs/>
          <w:color w:val="000000"/>
          <w:sz w:val="20"/>
          <w:szCs w:val="20"/>
        </w:rPr>
        <w:t xml:space="preserve">Table 4. CAPM inputs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060"/>
        <w:gridCol w:w="1500"/>
        <w:gridCol w:w="3800"/>
      </w:tblGrid>
      <w:tr>
        <w:trPr>
          <w:cantSplit/>
          <w:tblHeader/>
        </w:trPr>
        <w:tc>
          <w:tcPr>
            <w:tcW w:type="dxa" w:w="4060"/>
            <w:tcMar>
              <w:top w:type="dxa" w:w="60"/>
              <w:left w:type="dxa" w:w="110"/>
              <w:bottom w:type="dxa" w:w="60"/>
              <w:right w:type="dxa" w:w="110"/>
            </w:tcMar>
            <w:vAlign w:val="center"/>
          </w:tcPr>
          <w:p>
            <w:pPr>
              <w:keepNext/>
              <w:keepLines/>
              <w:spacing w:after="0" w:before="0"/>
              <w:jc w:val="left"/>
            </w:pPr>
            <w:r>
              <w:rPr>
                <w:rFonts w:ascii="Arial" w:cs="Arial" w:eastAsia="Arial" w:hAnsi="Arial"/>
                <w:b/>
                <w:bCs/>
                <w:color w:val="000000"/>
                <w:sz w:val="20"/>
                <w:szCs w:val="20"/>
              </w:rPr>
              <w:t xml:space="preserve">Input</w:t>
            </w:r>
          </w:p>
        </w:tc>
        <w:tc>
          <w:tcPr>
            <w:tcW w:type="dxa" w:w="15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Value</w:t>
            </w:r>
          </w:p>
        </w:tc>
        <w:tc>
          <w:tcPr>
            <w:tcW w:type="dxa" w:w="38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Basis</w:t>
            </w:r>
          </w:p>
        </w:tc>
      </w:tr>
      <w:tr>
        <w:trPr>
          <w:cantSplit/>
          <w:tblHeader w:val="false"/>
        </w:trPr>
        <w:tc>
          <w:tcPr>
            <w:tcW w:type="dxa" w:w="40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Beta, β (adjusted)</w:t>
            </w:r>
          </w:p>
        </w:tc>
        <w:tc>
          <w:tcPr>
            <w:tcW w:type="dxa" w:w="15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0.71</w:t>
            </w:r>
          </w:p>
        </w:tc>
        <w:tc>
          <w:tcPr>
            <w:tcW w:type="dxa" w:w="380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Walmart's adjusted beta</w:t>
            </w:r>
          </w:p>
        </w:tc>
      </w:tr>
      <w:tr>
        <w:trPr>
          <w:cantSplit/>
          <w:tblHeader w:val="false"/>
        </w:trPr>
        <w:tc>
          <w:tcPr>
            <w:tcW w:type="dxa" w:w="40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Risk-free rate, Rf</w:t>
            </w:r>
          </w:p>
        </w:tc>
        <w:tc>
          <w:tcPr>
            <w:tcW w:type="dxa" w:w="15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2.65%</w:t>
            </w:r>
          </w:p>
        </w:tc>
        <w:tc>
          <w:tcPr>
            <w:tcW w:type="dxa" w:w="380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Current 10-year U.S. Treasury bond yield</w:t>
            </w:r>
          </w:p>
        </w:tc>
      </w:tr>
      <w:tr>
        <w:trPr>
          <w:cantSplit/>
          <w:tblHeader w:val="false"/>
        </w:trPr>
        <w:tc>
          <w:tcPr>
            <w:tcW w:type="dxa" w:w="40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S&amp;P 500 return, 2009–2018</w:t>
            </w:r>
          </w:p>
        </w:tc>
        <w:tc>
          <w:tcPr>
            <w:tcW w:type="dxa" w:w="15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13.49%</w:t>
            </w:r>
          </w:p>
        </w:tc>
        <w:tc>
          <w:tcPr>
            <w:tcW w:type="dxa" w:w="380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Market return over the last 10 years</w:t>
            </w:r>
          </w:p>
        </w:tc>
      </w:tr>
      <w:tr>
        <w:trPr>
          <w:cantSplit/>
          <w:tblHeader w:val="false"/>
        </w:trPr>
        <w:tc>
          <w:tcPr>
            <w:tcW w:type="dxa" w:w="40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10-year government bond rate, 2009–2018</w:t>
            </w:r>
          </w:p>
        </w:tc>
        <w:tc>
          <w:tcPr>
            <w:tcW w:type="dxa" w:w="15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2.28%</w:t>
            </w:r>
          </w:p>
        </w:tc>
        <w:tc>
          <w:tcPr>
            <w:tcW w:type="dxa" w:w="380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Government bond rate over the same 10 years</w:t>
            </w:r>
          </w:p>
        </w:tc>
      </w:tr>
      <w:tr>
        <w:trPr>
          <w:cantSplit/>
          <w:tblHeader w:val="false"/>
        </w:trPr>
        <w:tc>
          <w:tcPr>
            <w:tcW w:type="dxa" w:w="40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Market risk premium, MRP</w:t>
            </w:r>
          </w:p>
        </w:tc>
        <w:tc>
          <w:tcPr>
            <w:tcW w:type="dxa" w:w="15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11.21%</w:t>
            </w:r>
          </w:p>
        </w:tc>
        <w:tc>
          <w:tcPr>
            <w:tcW w:type="dxa" w:w="380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13.49% − 2.28%</w:t>
            </w:r>
          </w:p>
        </w:tc>
      </w:tr>
    </w:tbl>
    <w:p>
      <w:pPr>
        <w:keepLines/>
        <w:spacing w:after="160" w:before="240" w:line="276" w:lineRule="auto"/>
      </w:pPr>
      <w:r>
        <w:rPr>
          <w:rFonts w:ascii="Arial" w:cs="Arial" w:eastAsia="Arial" w:hAnsi="Arial"/>
          <w:color w:val="000000"/>
          <w:sz w:val="22"/>
          <w:szCs w:val="22"/>
        </w:rPr>
        <w:t xml:space="preserve">Walmart's adjusted beta is 0.71. A beta under 1 means Walmart's stock has moved less than the market as a whole, so its shareholders carry less market risk than they would holding the average stock.</w:t>
      </w:r>
    </w:p>
    <w:p>
      <w:pPr>
        <w:keepLines/>
        <w:spacing w:after="160" w:before="0" w:line="276" w:lineRule="auto"/>
      </w:pPr>
      <w:r>
        <w:rPr>
          <w:rFonts w:ascii="Arial" w:cs="Arial" w:eastAsia="Arial" w:hAnsi="Arial"/>
          <w:color w:val="000000"/>
          <w:sz w:val="22"/>
          <w:szCs w:val="22"/>
        </w:rPr>
        <w:t xml:space="preserve">For the risk-free rate I used 2.65%, the current yield on the 10-year U.S. Treasury bond. The risk-free rate is normally taken from a long-term government bond, and the 10-year Treasury is the standard benchmark.</w:t>
      </w:r>
    </w:p>
    <w:p>
      <w:pPr>
        <w:keepNext/>
        <w:keepLines/>
        <w:spacing w:after="160" w:before="0" w:line="276" w:lineRule="auto"/>
      </w:pPr>
      <w:r>
        <w:rPr>
          <w:rFonts w:ascii="Arial" w:cs="Arial" w:eastAsia="Arial" w:hAnsi="Arial"/>
          <w:color w:val="000000"/>
          <w:sz w:val="22"/>
          <w:szCs w:val="22"/>
        </w:rPr>
        <w:t xml:space="preserve">For the market risk premium I used 11.21%: the S&amp;P 500's 13.49% return from 2009 to 2018 minus the 2.28% 10-year government bond rate over the same years. I chose the last 10 years because that period is the most accurate picture of current market conditions. Going back further would mix in decades when interest rates and markets looked very different from today.</w:t>
      </w:r>
    </w:p>
    <w:p>
      <w:pPr>
        <w:keepNext/>
        <w:keepLines/>
        <w:spacing w:after="60" w:before="120"/>
        <w:ind w:left="720"/>
        <w:jc w:val="left"/>
      </w:pPr>
      <w:r>
        <w:rPr>
          <w:rFonts w:ascii="Arial" w:cs="Arial" w:eastAsia="Arial" w:hAnsi="Arial"/>
          <w:color w:val="000000"/>
          <w:sz w:val="22"/>
          <w:szCs w:val="22"/>
        </w:rPr>
        <w:t xml:space="preserve">K</w:t>
      </w:r>
      <w:r>
        <w:rPr>
          <w:rFonts w:ascii="Arial" w:cs="Arial" w:eastAsia="Arial" w:hAnsi="Arial"/>
          <w:color w:val="000000"/>
          <w:sz w:val="22"/>
          <w:szCs w:val="22"/>
          <w:vertAlign w:val="subscript"/>
        </w:rPr>
        <w:t xml:space="preserve">e</w:t>
      </w:r>
      <w:r>
        <w:rPr>
          <w:rFonts w:ascii="Arial" w:cs="Arial" w:eastAsia="Arial" w:hAnsi="Arial"/>
          <w:color w:val="000000"/>
          <w:sz w:val="22"/>
          <w:szCs w:val="22"/>
        </w:rPr>
        <w:t xml:space="preserve"> = 2.65% + 0.71 × 11.21%</w:t>
      </w:r>
    </w:p>
    <w:p>
      <w:pPr>
        <w:keepNext/>
        <w:keepLines/>
        <w:spacing w:after="60" w:before="0"/>
        <w:ind w:left="720"/>
        <w:jc w:val="left"/>
      </w:pPr>
      <w:r>
        <w:rPr>
          <w:rFonts w:ascii="Arial" w:cs="Arial" w:eastAsia="Arial" w:hAnsi="Arial"/>
          <w:color w:val="000000"/>
          <w:sz w:val="22"/>
          <w:szCs w:val="22"/>
        </w:rPr>
        <w:t xml:space="preserve">K</w:t>
      </w:r>
      <w:r>
        <w:rPr>
          <w:rFonts w:ascii="Arial" w:cs="Arial" w:eastAsia="Arial" w:hAnsi="Arial"/>
          <w:color w:val="000000"/>
          <w:sz w:val="22"/>
          <w:szCs w:val="22"/>
          <w:vertAlign w:val="subscript"/>
        </w:rPr>
        <w:t xml:space="preserve">e</w:t>
      </w:r>
      <w:r>
        <w:rPr>
          <w:rFonts w:ascii="Arial" w:cs="Arial" w:eastAsia="Arial" w:hAnsi="Arial"/>
          <w:color w:val="000000"/>
          <w:sz w:val="22"/>
          <w:szCs w:val="22"/>
        </w:rPr>
        <w:t xml:space="preserve"> = 2.65% + 7.96%</w:t>
      </w:r>
    </w:p>
    <w:p>
      <w:pPr>
        <w:keepNext w:val="false"/>
        <w:keepLines/>
        <w:spacing w:after="200" w:before="0"/>
        <w:ind w:left="720"/>
        <w:jc w:val="left"/>
      </w:pPr>
      <w:r>
        <w:rPr>
          <w:rFonts w:ascii="Arial" w:cs="Arial" w:eastAsia="Arial" w:hAnsi="Arial"/>
          <w:b/>
          <w:bCs/>
          <w:color w:val="000000"/>
          <w:sz w:val="22"/>
          <w:szCs w:val="22"/>
        </w:rPr>
        <w:t xml:space="preserve">K</w:t>
      </w:r>
      <w:r>
        <w:rPr>
          <w:rFonts w:ascii="Arial" w:cs="Arial" w:eastAsia="Arial" w:hAnsi="Arial"/>
          <w:b/>
          <w:bCs/>
          <w:color w:val="000000"/>
          <w:sz w:val="22"/>
          <w:szCs w:val="22"/>
          <w:vertAlign w:val="subscript"/>
        </w:rPr>
        <w:t xml:space="preserve">e</w:t>
      </w:r>
      <w:r>
        <w:rPr>
          <w:rFonts w:ascii="Arial" w:cs="Arial" w:eastAsia="Arial" w:hAnsi="Arial"/>
          <w:b/>
          <w:bCs/>
          <w:color w:val="000000"/>
          <w:sz w:val="22"/>
          <w:szCs w:val="22"/>
        </w:rPr>
        <w:t xml:space="preserve"> = 10.61%</w:t>
      </w:r>
    </w:p>
    <w:p>
      <w:pPr>
        <w:keepLines/>
        <w:spacing w:after="160" w:before="0" w:line="276" w:lineRule="auto"/>
      </w:pPr>
      <w:r>
        <w:rPr>
          <w:rFonts w:ascii="Arial" w:cs="Arial" w:eastAsia="Arial" w:hAnsi="Arial"/>
          <w:color w:val="000000"/>
          <w:sz w:val="22"/>
          <w:szCs w:val="22"/>
        </w:rPr>
        <w:t xml:space="preserve">Walmart's cost of equity is 10.61% (10.6091% before rounding). That's the return shareholders expect for owning Walmart stock. It's about three times the 3.53% cost of debt because shareholders are paid only after lenders and take on more risk.</w:t>
      </w:r>
    </w:p>
    <w:p>
      <w:pPr>
        <w:pStyle w:val="Heading1"/>
      </w:pPr>
      <w:r>
        <w:rPr>
          <w:rFonts w:ascii="Arial" w:cs="Arial" w:eastAsia="Arial" w:hAnsi="Arial"/>
          <w:b/>
          <w:bCs/>
          <w:color w:val="000000"/>
          <w:sz w:val="26"/>
          <w:szCs w:val="26"/>
        </w:rPr>
        <w:t xml:space="preserve">Question 5</w:t>
      </w:r>
    </w:p>
    <w:p>
      <w:pPr>
        <w:keepNext/>
        <w:keepLines/>
        <w:spacing w:after="160" w:before="0" w:line="276" w:lineRule="auto"/>
      </w:pPr>
      <w:r>
        <w:rPr>
          <w:rFonts w:ascii="Arial" w:cs="Arial" w:eastAsia="Arial" w:hAnsi="Arial"/>
          <w:color w:val="000000"/>
          <w:sz w:val="22"/>
          <w:szCs w:val="22"/>
        </w:rPr>
        <w:t xml:space="preserve">Table 5 condenses Walmart's financing into its two sources, debt and equity, along with the cost of each from Questions 3 and 4.</w:t>
      </w:r>
    </w:p>
    <w:p>
      <w:pPr>
        <w:keepNext/>
        <w:keepLines/>
        <w:spacing w:after="80" w:before="120" w:line="276" w:lineRule="auto"/>
      </w:pPr>
      <w:r>
        <w:rPr>
          <w:rFonts w:ascii="Arial" w:cs="Arial" w:eastAsia="Arial" w:hAnsi="Arial"/>
          <w:b/>
          <w:bCs/>
          <w:color w:val="000000"/>
          <w:sz w:val="20"/>
          <w:szCs w:val="20"/>
        </w:rPr>
        <w:t xml:space="preserve">Table 5. Revised sources of financing ($ millions)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760"/>
        <w:gridCol w:w="1900"/>
        <w:gridCol w:w="1800"/>
        <w:gridCol w:w="1900"/>
      </w:tblGrid>
      <w:tr>
        <w:trPr>
          <w:cantSplit/>
          <w:tblHeader/>
        </w:trPr>
        <w:tc>
          <w:tcPr>
            <w:tcW w:type="dxa" w:w="3760"/>
            <w:tcMar>
              <w:top w:type="dxa" w:w="60"/>
              <w:left w:type="dxa" w:w="110"/>
              <w:bottom w:type="dxa" w:w="60"/>
              <w:right w:type="dxa" w:w="110"/>
            </w:tcMar>
            <w:vAlign w:val="center"/>
          </w:tcPr>
          <w:p>
            <w:pPr>
              <w:keepNext/>
              <w:keepLines/>
              <w:spacing w:after="0" w:before="0"/>
              <w:jc w:val="left"/>
            </w:pPr>
            <w:r>
              <w:rPr>
                <w:rFonts w:ascii="Arial" w:cs="Arial" w:eastAsia="Arial" w:hAnsi="Arial"/>
                <w:b/>
                <w:bCs/>
                <w:color w:val="000000"/>
                <w:sz w:val="20"/>
                <w:szCs w:val="20"/>
              </w:rPr>
              <w:t xml:space="preserve">Source of financing</w:t>
            </w:r>
          </w:p>
        </w:tc>
        <w:tc>
          <w:tcPr>
            <w:tcW w:type="dxa" w:w="19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Amount ($M)</w:t>
            </w:r>
          </w:p>
        </w:tc>
        <w:tc>
          <w:tcPr>
            <w:tcW w:type="dxa" w:w="18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Cost</w:t>
            </w:r>
          </w:p>
        </w:tc>
        <w:tc>
          <w:tcPr>
            <w:tcW w:type="dxa" w:w="19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Weight (% of total)</w:t>
            </w:r>
          </w:p>
        </w:tc>
      </w:tr>
      <w:tr>
        <w:trPr>
          <w:cantSplit/>
          <w:tblHeader w:val="false"/>
        </w:trPr>
        <w:tc>
          <w:tcPr>
            <w:tcW w:type="dxa" w:w="37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Debt (total liabilities)</w:t>
            </w:r>
          </w:p>
        </w:tc>
        <w:tc>
          <w:tcPr>
            <w:tcW w:type="dxa" w:w="19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139,661</w:t>
            </w:r>
          </w:p>
        </w:tc>
        <w:tc>
          <w:tcPr>
            <w:tcW w:type="dxa" w:w="18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3.53%</w:t>
            </w:r>
          </w:p>
        </w:tc>
        <w:tc>
          <w:tcPr>
            <w:tcW w:type="dxa" w:w="19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63.69%</w:t>
            </w:r>
          </w:p>
        </w:tc>
      </w:tr>
      <w:tr>
        <w:trPr>
          <w:cantSplit/>
          <w:tblHeader w:val="false"/>
        </w:trPr>
        <w:tc>
          <w:tcPr>
            <w:tcW w:type="dxa" w:w="37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Equity (total equity)</w:t>
            </w:r>
          </w:p>
        </w:tc>
        <w:tc>
          <w:tcPr>
            <w:tcW w:type="dxa" w:w="19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79,634</w:t>
            </w:r>
          </w:p>
        </w:tc>
        <w:tc>
          <w:tcPr>
            <w:tcW w:type="dxa" w:w="18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10.61%</w:t>
            </w:r>
          </w:p>
        </w:tc>
        <w:tc>
          <w:tcPr>
            <w:tcW w:type="dxa" w:w="19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36.31%</w:t>
            </w:r>
          </w:p>
        </w:tc>
      </w:tr>
      <w:tr>
        <w:trPr>
          <w:cantSplit/>
          <w:tblHeader w:val="false"/>
        </w:trPr>
        <w:tc>
          <w:tcPr>
            <w:tcW w:type="dxa" w:w="37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Total</w:t>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219,295</w:t>
            </w:r>
          </w:p>
        </w:tc>
        <w:tc>
          <w:tcPr>
            <w:tcW w:type="dxa" w:w="18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
            </w:r>
          </w:p>
        </w:tc>
        <w:tc>
          <w:tcPr>
            <w:tcW w:type="dxa" w:w="19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100.00%</w:t>
            </w:r>
          </w:p>
        </w:tc>
      </w:tr>
    </w:tbl>
    <w:p>
      <w:pPr>
        <w:keepNext/>
        <w:keepLines/>
        <w:spacing w:after="60" w:before="240"/>
        <w:ind w:left="720"/>
        <w:jc w:val="left"/>
      </w:pPr>
      <w:r>
        <w:rPr>
          <w:rFonts w:ascii="Arial" w:cs="Arial" w:eastAsia="Arial" w:hAnsi="Arial"/>
          <w:color w:val="000000"/>
          <w:sz w:val="22"/>
          <w:szCs w:val="22"/>
        </w:rPr>
        <w:t xml:space="preserve">Debt-to-equity ratio = Debt ÷ Equity</w:t>
      </w:r>
    </w:p>
    <w:p>
      <w:pPr>
        <w:keepNext/>
        <w:keepLines/>
        <w:spacing w:after="60" w:before="0"/>
        <w:ind w:left="720"/>
        <w:jc w:val="left"/>
      </w:pPr>
      <w:r>
        <w:rPr>
          <w:rFonts w:ascii="Arial" w:cs="Arial" w:eastAsia="Arial" w:hAnsi="Arial"/>
          <w:color w:val="000000"/>
          <w:sz w:val="22"/>
          <w:szCs w:val="22"/>
        </w:rPr>
        <w:t xml:space="preserve">Debt-to-equity ratio = $139,661 ÷ $79,634</w:t>
      </w:r>
    </w:p>
    <w:p>
      <w:pPr>
        <w:keepNext w:val="false"/>
        <w:keepLines/>
        <w:spacing w:after="200" w:before="0"/>
        <w:ind w:left="720"/>
        <w:jc w:val="left"/>
      </w:pPr>
      <w:r>
        <w:rPr>
          <w:rFonts w:ascii="Arial" w:cs="Arial" w:eastAsia="Arial" w:hAnsi="Arial"/>
          <w:b/>
          <w:bCs/>
          <w:color w:val="000000"/>
          <w:sz w:val="22"/>
          <w:szCs w:val="22"/>
        </w:rPr>
        <w:t xml:space="preserve">Debt-to-equity ratio = 1.75</w:t>
      </w:r>
    </w:p>
    <w:p>
      <w:pPr>
        <w:keepLines/>
        <w:spacing w:after="160" w:before="0" w:line="276" w:lineRule="auto"/>
      </w:pPr>
      <w:r>
        <w:rPr>
          <w:rFonts w:ascii="Arial" w:cs="Arial" w:eastAsia="Arial" w:hAnsi="Arial"/>
          <w:color w:val="000000"/>
          <w:sz w:val="22"/>
          <w:szCs w:val="22"/>
        </w:rPr>
        <w:t xml:space="preserve">Walmart has $1.75 of debt for every $1.00 of equity. Put another way, debt funds 63.7% of the company and equity funds 36.3%. These percentages are the weights used in the WACC. Because debt here means total liabilities, the ratio counts accounts payable and other operating liabilities along with borrowed money.</w:t>
      </w:r>
    </w:p>
    <w:p>
      <w:pPr>
        <w:pStyle w:val="Heading1"/>
      </w:pPr>
      <w:r>
        <w:rPr>
          <w:rFonts w:ascii="Arial" w:cs="Arial" w:eastAsia="Arial" w:hAnsi="Arial"/>
          <w:b/>
          <w:bCs/>
          <w:color w:val="000000"/>
          <w:sz w:val="26"/>
          <w:szCs w:val="26"/>
        </w:rPr>
        <w:t xml:space="preserve">Question 6</w:t>
      </w:r>
    </w:p>
    <w:p>
      <w:pPr>
        <w:keepNext/>
        <w:keepLines/>
        <w:spacing w:after="120" w:before="0" w:line="276" w:lineRule="auto"/>
      </w:pPr>
      <w:r>
        <w:rPr>
          <w:rFonts w:ascii="Arial" w:cs="Arial" w:eastAsia="Arial" w:hAnsi="Arial"/>
          <w:color w:val="000000"/>
          <w:sz w:val="22"/>
          <w:szCs w:val="22"/>
        </w:rPr>
        <w:t xml:space="preserve">The weighted average cost of capital is calculated as:</w:t>
      </w:r>
    </w:p>
    <w:p>
      <w:pPr>
        <w:keepNext/>
        <w:keepLines/>
        <w:spacing w:after="200" w:before="0"/>
        <w:jc w:val="center"/>
      </w:pPr>
      <w:r>
        <w:rPr>
          <w:rFonts w:ascii="Arial" w:cs="Arial" w:eastAsia="Arial" w:hAnsi="Arial"/>
          <w:b/>
          <w:bCs/>
          <w:color w:val="000000"/>
          <w:sz w:val="22"/>
          <w:szCs w:val="22"/>
        </w:rPr>
        <w:t xml:space="preserve">WACC = W</w:t>
      </w:r>
      <w:r>
        <w:rPr>
          <w:rFonts w:ascii="Arial" w:cs="Arial" w:eastAsia="Arial" w:hAnsi="Arial"/>
          <w:b/>
          <w:bCs/>
          <w:color w:val="000000"/>
          <w:sz w:val="22"/>
          <w:szCs w:val="22"/>
          <w:vertAlign w:val="subscript"/>
        </w:rPr>
        <w:t xml:space="preserve">e</w:t>
      </w:r>
      <w:r>
        <w:rPr>
          <w:rFonts w:ascii="Arial" w:cs="Arial" w:eastAsia="Arial" w:hAnsi="Arial"/>
          <w:b/>
          <w:bCs/>
          <w:color w:val="000000"/>
          <w:sz w:val="22"/>
          <w:szCs w:val="22"/>
        </w:rPr>
        <w:t xml:space="preserve">K</w:t>
      </w:r>
      <w:r>
        <w:rPr>
          <w:rFonts w:ascii="Arial" w:cs="Arial" w:eastAsia="Arial" w:hAnsi="Arial"/>
          <w:b/>
          <w:bCs/>
          <w:color w:val="000000"/>
          <w:sz w:val="22"/>
          <w:szCs w:val="22"/>
          <w:vertAlign w:val="subscript"/>
        </w:rPr>
        <w:t xml:space="preserve">e</w:t>
      </w:r>
      <w:r>
        <w:rPr>
          <w:rFonts w:ascii="Arial" w:cs="Arial" w:eastAsia="Arial" w:hAnsi="Arial"/>
          <w:b/>
          <w:bCs/>
          <w:color w:val="000000"/>
          <w:sz w:val="22"/>
          <w:szCs w:val="22"/>
        </w:rPr>
        <w:t xml:space="preserve"> + W</w:t>
      </w:r>
      <w:r>
        <w:rPr>
          <w:rFonts w:ascii="Arial" w:cs="Arial" w:eastAsia="Arial" w:hAnsi="Arial"/>
          <w:b/>
          <w:bCs/>
          <w:color w:val="000000"/>
          <w:sz w:val="22"/>
          <w:szCs w:val="22"/>
          <w:vertAlign w:val="subscript"/>
        </w:rPr>
        <w:t xml:space="preserve">d</w:t>
      </w:r>
      <w:r>
        <w:rPr>
          <w:rFonts w:ascii="Arial" w:cs="Arial" w:eastAsia="Arial" w:hAnsi="Arial"/>
          <w:b/>
          <w:bCs/>
          <w:color w:val="000000"/>
          <w:sz w:val="22"/>
          <w:szCs w:val="22"/>
        </w:rPr>
        <w:t xml:space="preserve">K</w:t>
      </w:r>
      <w:r>
        <w:rPr>
          <w:rFonts w:ascii="Arial" w:cs="Arial" w:eastAsia="Arial" w:hAnsi="Arial"/>
          <w:b/>
          <w:bCs/>
          <w:color w:val="000000"/>
          <w:sz w:val="22"/>
          <w:szCs w:val="22"/>
          <w:vertAlign w:val="subscript"/>
        </w:rPr>
        <w:t xml:space="preserve">d</w:t>
      </w:r>
      <w:r>
        <w:rPr>
          <w:rFonts w:ascii="Arial" w:cs="Arial" w:eastAsia="Arial" w:hAnsi="Arial"/>
          <w:b/>
          <w:bCs/>
          <w:color w:val="000000"/>
          <w:sz w:val="22"/>
          <w:szCs w:val="22"/>
        </w:rPr>
        <w:t xml:space="preserve">(1 − t)</w:t>
      </w:r>
    </w:p>
    <w:p>
      <w:pPr>
        <w:keepNext/>
        <w:keepLines/>
        <w:spacing w:after="80" w:before="120" w:line="276" w:lineRule="auto"/>
      </w:pPr>
      <w:r>
        <w:rPr>
          <w:rFonts w:ascii="Arial" w:cs="Arial" w:eastAsia="Arial" w:hAnsi="Arial"/>
          <w:b/>
          <w:bCs/>
          <w:color w:val="000000"/>
          <w:sz w:val="20"/>
          <w:szCs w:val="20"/>
        </w:rPr>
        <w:t xml:space="preserve">Table 6. WACC inputs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3760"/>
        <w:gridCol w:w="1800"/>
        <w:gridCol w:w="2500"/>
      </w:tblGrid>
      <w:tr>
        <w:trPr>
          <w:cantSplit/>
          <w:tblHeader/>
        </w:trPr>
        <w:tc>
          <w:tcPr>
            <w:tcW w:type="dxa" w:w="1300"/>
            <w:tcMar>
              <w:top w:type="dxa" w:w="60"/>
              <w:left w:type="dxa" w:w="110"/>
              <w:bottom w:type="dxa" w:w="60"/>
              <w:right w:type="dxa" w:w="110"/>
            </w:tcMar>
            <w:vAlign w:val="center"/>
          </w:tcPr>
          <w:p>
            <w:pPr>
              <w:keepNext/>
              <w:keepLines/>
              <w:spacing w:after="0" w:before="0"/>
              <w:jc w:val="left"/>
            </w:pPr>
            <w:r>
              <w:rPr>
                <w:rFonts w:ascii="Arial" w:cs="Arial" w:eastAsia="Arial" w:hAnsi="Arial"/>
                <w:b/>
                <w:bCs/>
                <w:color w:val="000000"/>
                <w:sz w:val="20"/>
                <w:szCs w:val="20"/>
              </w:rPr>
              <w:t xml:space="preserve">Symbol</w:t>
            </w:r>
          </w:p>
        </w:tc>
        <w:tc>
          <w:tcPr>
            <w:tcW w:type="dxa" w:w="376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Meaning</w:t>
            </w:r>
          </w:p>
        </w:tc>
        <w:tc>
          <w:tcPr>
            <w:tcW w:type="dxa" w:w="18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Value</w:t>
            </w:r>
          </w:p>
        </w:tc>
        <w:tc>
          <w:tcPr>
            <w:tcW w:type="dxa" w:w="25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From</w:t>
            </w:r>
          </w:p>
        </w:tc>
      </w:tr>
      <w:tr>
        <w:trPr>
          <w:cantSplit/>
          <w:tblHeader w:val="false"/>
        </w:trPr>
        <w:tc>
          <w:tcPr>
            <w:tcW w:type="dxa" w:w="1300"/>
            <w:tcMar>
              <w:top w:type="dxa" w:w="60"/>
              <w:left w:type="dxa" w:w="110"/>
              <w:bottom w:type="dxa" w:w="60"/>
              <w:right w:type="dxa" w:w="110"/>
            </w:tcMar>
            <w:vAlign w:val="center"/>
          </w:tcPr>
          <w:p>
            <w:pPr>
              <w:keepNext/>
              <w:keepLines/>
              <w:spacing w:after="0" w:before="0"/>
              <w:jc w:val="center"/>
            </w:pPr>
            <w:r>
              <w:rPr>
                <w:rFonts w:ascii="Arial" w:cs="Arial" w:eastAsia="Arial" w:hAnsi="Arial"/>
                <w:color w:val="000000"/>
                <w:sz w:val="20"/>
                <w:szCs w:val="20"/>
              </w:rPr>
              <w:t xml:space="preserve">W</w:t>
            </w:r>
            <w:r>
              <w:rPr>
                <w:rFonts w:ascii="Arial" w:cs="Arial" w:eastAsia="Arial" w:hAnsi="Arial"/>
                <w:color w:val="000000"/>
                <w:sz w:val="20"/>
                <w:szCs w:val="20"/>
                <w:vertAlign w:val="subscript"/>
              </w:rPr>
              <w:t xml:space="preserve">e</w:t>
            </w:r>
          </w:p>
        </w:tc>
        <w:tc>
          <w:tcPr>
            <w:tcW w:type="dxa" w:w="37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Weight of equity</w:t>
            </w:r>
          </w:p>
        </w:tc>
        <w:tc>
          <w:tcPr>
            <w:tcW w:type="dxa" w:w="18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36.31%</w:t>
            </w:r>
          </w:p>
        </w:tc>
        <w:tc>
          <w:tcPr>
            <w:tcW w:type="dxa" w:w="250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Question 5</w:t>
            </w:r>
          </w:p>
        </w:tc>
      </w:tr>
      <w:tr>
        <w:trPr>
          <w:cantSplit/>
          <w:tblHeader w:val="false"/>
        </w:trPr>
        <w:tc>
          <w:tcPr>
            <w:tcW w:type="dxa" w:w="1300"/>
            <w:tcMar>
              <w:top w:type="dxa" w:w="60"/>
              <w:left w:type="dxa" w:w="110"/>
              <w:bottom w:type="dxa" w:w="60"/>
              <w:right w:type="dxa" w:w="110"/>
            </w:tcMar>
            <w:vAlign w:val="center"/>
          </w:tcPr>
          <w:p>
            <w:pPr>
              <w:keepNext/>
              <w:keepLines/>
              <w:spacing w:after="0" w:before="0"/>
              <w:jc w:val="center"/>
            </w:pPr>
            <w:r>
              <w:rPr>
                <w:rFonts w:ascii="Arial" w:cs="Arial" w:eastAsia="Arial" w:hAnsi="Arial"/>
                <w:color w:val="000000"/>
                <w:sz w:val="20"/>
                <w:szCs w:val="20"/>
              </w:rPr>
              <w:t xml:space="preserve">K</w:t>
            </w:r>
            <w:r>
              <w:rPr>
                <w:rFonts w:ascii="Arial" w:cs="Arial" w:eastAsia="Arial" w:hAnsi="Arial"/>
                <w:color w:val="000000"/>
                <w:sz w:val="20"/>
                <w:szCs w:val="20"/>
                <w:vertAlign w:val="subscript"/>
              </w:rPr>
              <w:t xml:space="preserve">e</w:t>
            </w:r>
          </w:p>
        </w:tc>
        <w:tc>
          <w:tcPr>
            <w:tcW w:type="dxa" w:w="37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Cost of equity</w:t>
            </w:r>
          </w:p>
        </w:tc>
        <w:tc>
          <w:tcPr>
            <w:tcW w:type="dxa" w:w="18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10.61%</w:t>
            </w:r>
          </w:p>
        </w:tc>
        <w:tc>
          <w:tcPr>
            <w:tcW w:type="dxa" w:w="250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Question 4</w:t>
            </w:r>
          </w:p>
        </w:tc>
      </w:tr>
      <w:tr>
        <w:trPr>
          <w:cantSplit/>
          <w:tblHeader w:val="false"/>
        </w:trPr>
        <w:tc>
          <w:tcPr>
            <w:tcW w:type="dxa" w:w="1300"/>
            <w:tcMar>
              <w:top w:type="dxa" w:w="60"/>
              <w:left w:type="dxa" w:w="110"/>
              <w:bottom w:type="dxa" w:w="60"/>
              <w:right w:type="dxa" w:w="110"/>
            </w:tcMar>
            <w:vAlign w:val="center"/>
          </w:tcPr>
          <w:p>
            <w:pPr>
              <w:keepNext/>
              <w:keepLines/>
              <w:spacing w:after="0" w:before="0"/>
              <w:jc w:val="center"/>
            </w:pPr>
            <w:r>
              <w:rPr>
                <w:rFonts w:ascii="Arial" w:cs="Arial" w:eastAsia="Arial" w:hAnsi="Arial"/>
                <w:color w:val="000000"/>
                <w:sz w:val="20"/>
                <w:szCs w:val="20"/>
              </w:rPr>
              <w:t xml:space="preserve">W</w:t>
            </w:r>
            <w:r>
              <w:rPr>
                <w:rFonts w:ascii="Arial" w:cs="Arial" w:eastAsia="Arial" w:hAnsi="Arial"/>
                <w:color w:val="000000"/>
                <w:sz w:val="20"/>
                <w:szCs w:val="20"/>
                <w:vertAlign w:val="subscript"/>
              </w:rPr>
              <w:t xml:space="preserve">d</w:t>
            </w:r>
          </w:p>
        </w:tc>
        <w:tc>
          <w:tcPr>
            <w:tcW w:type="dxa" w:w="37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Weight of debt</w:t>
            </w:r>
          </w:p>
        </w:tc>
        <w:tc>
          <w:tcPr>
            <w:tcW w:type="dxa" w:w="18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63.69%</w:t>
            </w:r>
          </w:p>
        </w:tc>
        <w:tc>
          <w:tcPr>
            <w:tcW w:type="dxa" w:w="250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Question 5</w:t>
            </w:r>
          </w:p>
        </w:tc>
      </w:tr>
      <w:tr>
        <w:trPr>
          <w:cantSplit/>
          <w:tblHeader w:val="false"/>
        </w:trPr>
        <w:tc>
          <w:tcPr>
            <w:tcW w:type="dxa" w:w="1300"/>
            <w:tcMar>
              <w:top w:type="dxa" w:w="60"/>
              <w:left w:type="dxa" w:w="110"/>
              <w:bottom w:type="dxa" w:w="60"/>
              <w:right w:type="dxa" w:w="110"/>
            </w:tcMar>
            <w:vAlign w:val="center"/>
          </w:tcPr>
          <w:p>
            <w:pPr>
              <w:keepNext/>
              <w:keepLines/>
              <w:spacing w:after="0" w:before="0"/>
              <w:jc w:val="center"/>
            </w:pPr>
            <w:r>
              <w:rPr>
                <w:rFonts w:ascii="Arial" w:cs="Arial" w:eastAsia="Arial" w:hAnsi="Arial"/>
                <w:color w:val="000000"/>
                <w:sz w:val="20"/>
                <w:szCs w:val="20"/>
              </w:rPr>
              <w:t xml:space="preserve">K</w:t>
            </w:r>
            <w:r>
              <w:rPr>
                <w:rFonts w:ascii="Arial" w:cs="Arial" w:eastAsia="Arial" w:hAnsi="Arial"/>
                <w:color w:val="000000"/>
                <w:sz w:val="20"/>
                <w:szCs w:val="20"/>
                <w:vertAlign w:val="subscript"/>
              </w:rPr>
              <w:t xml:space="preserve">d</w:t>
            </w:r>
          </w:p>
        </w:tc>
        <w:tc>
          <w:tcPr>
            <w:tcW w:type="dxa" w:w="37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Pre-tax cost of debt</w:t>
            </w:r>
          </w:p>
        </w:tc>
        <w:tc>
          <w:tcPr>
            <w:tcW w:type="dxa" w:w="18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3.53%</w:t>
            </w:r>
          </w:p>
        </w:tc>
        <w:tc>
          <w:tcPr>
            <w:tcW w:type="dxa" w:w="250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Question 3</w:t>
            </w:r>
          </w:p>
        </w:tc>
      </w:tr>
      <w:tr>
        <w:trPr>
          <w:cantSplit/>
          <w:tblHeader w:val="false"/>
        </w:trPr>
        <w:tc>
          <w:tcPr>
            <w:tcW w:type="dxa" w:w="1300"/>
            <w:tcMar>
              <w:top w:type="dxa" w:w="60"/>
              <w:left w:type="dxa" w:w="110"/>
              <w:bottom w:type="dxa" w:w="60"/>
              <w:right w:type="dxa" w:w="110"/>
            </w:tcMar>
            <w:vAlign w:val="center"/>
          </w:tcPr>
          <w:p>
            <w:pPr>
              <w:keepNext w:val="false"/>
              <w:keepLines/>
              <w:spacing w:after="0" w:before="0"/>
              <w:jc w:val="center"/>
            </w:pPr>
            <w:r>
              <w:rPr>
                <w:rFonts w:ascii="Arial" w:cs="Arial" w:eastAsia="Arial" w:hAnsi="Arial"/>
                <w:color w:val="000000"/>
                <w:sz w:val="20"/>
                <w:szCs w:val="20"/>
              </w:rPr>
              <w:t xml:space="preserve">t</w:t>
            </w:r>
          </w:p>
        </w:tc>
        <w:tc>
          <w:tcPr>
            <w:tcW w:type="dxa" w:w="3760"/>
            <w:tcMar>
              <w:top w:type="dxa" w:w="60"/>
              <w:left w:type="dxa" w:w="110"/>
              <w:bottom w:type="dxa" w:w="60"/>
              <w:right w:type="dxa" w:w="110"/>
            </w:tcMar>
            <w:vAlign w:val="center"/>
          </w:tcPr>
          <w:p>
            <w:pPr>
              <w:keepNext w:val="false"/>
              <w:keepLines/>
              <w:spacing w:after="0" w:before="0"/>
              <w:jc w:val="left"/>
            </w:pPr>
            <w:r>
              <w:rPr>
                <w:rFonts w:ascii="Arial" w:cs="Arial" w:eastAsia="Arial" w:hAnsi="Arial"/>
                <w:color w:val="000000"/>
                <w:sz w:val="20"/>
                <w:szCs w:val="20"/>
              </w:rPr>
              <w:t xml:space="preserve">Effective tax rate</w:t>
            </w:r>
          </w:p>
        </w:tc>
        <w:tc>
          <w:tcPr>
            <w:tcW w:type="dxa" w:w="1800"/>
            <w:tcMar>
              <w:top w:type="dxa" w:w="60"/>
              <w:left w:type="dxa" w:w="110"/>
              <w:bottom w:type="dxa" w:w="60"/>
              <w:right w:type="dxa" w:w="110"/>
            </w:tcMar>
            <w:vAlign w:val="center"/>
          </w:tcPr>
          <w:p>
            <w:pPr>
              <w:keepNext w:val="false"/>
              <w:keepLines/>
              <w:spacing w:after="0" w:before="0"/>
              <w:jc w:val="right"/>
            </w:pPr>
            <w:r>
              <w:rPr>
                <w:rFonts w:ascii="Arial" w:cs="Arial" w:eastAsia="Arial" w:hAnsi="Arial"/>
                <w:color w:val="000000"/>
                <w:sz w:val="20"/>
                <w:szCs w:val="20"/>
              </w:rPr>
              <w:t xml:space="preserve">27.00%</w:t>
            </w:r>
          </w:p>
        </w:tc>
        <w:tc>
          <w:tcPr>
            <w:tcW w:type="dxa" w:w="2500"/>
            <w:tcMar>
              <w:top w:type="dxa" w:w="60"/>
              <w:left w:type="dxa" w:w="110"/>
              <w:bottom w:type="dxa" w:w="60"/>
              <w:right w:type="dxa" w:w="110"/>
            </w:tcMar>
            <w:vAlign w:val="center"/>
          </w:tcPr>
          <w:p>
            <w:pPr>
              <w:keepNext w:val="false"/>
              <w:keepLines/>
              <w:spacing w:after="0" w:before="0"/>
              <w:jc w:val="left"/>
            </w:pPr>
            <w:r>
              <w:rPr>
                <w:rFonts w:ascii="Arial" w:cs="Arial" w:eastAsia="Arial" w:hAnsi="Arial"/>
                <w:color w:val="000000"/>
                <w:sz w:val="20"/>
                <w:szCs w:val="20"/>
              </w:rPr>
              <w:t xml:space="preserve">Walmart case study</w:t>
            </w:r>
          </w:p>
        </w:tc>
      </w:tr>
    </w:tbl>
    <w:p>
      <w:pPr>
        <w:keepNext/>
        <w:keepLines/>
        <w:spacing w:after="60" w:before="240"/>
        <w:ind w:left="720"/>
        <w:jc w:val="left"/>
      </w:pPr>
      <w:r>
        <w:rPr>
          <w:rFonts w:ascii="Arial" w:cs="Arial" w:eastAsia="Arial" w:hAnsi="Arial"/>
          <w:color w:val="000000"/>
          <w:sz w:val="22"/>
          <w:szCs w:val="22"/>
        </w:rPr>
        <w:t xml:space="preserve">WACC = (0.3631)(10.61%) + (0.6369)(3.53%)(1 − 0.27)</w:t>
      </w:r>
    </w:p>
    <w:p>
      <w:pPr>
        <w:keepNext/>
        <w:keepLines/>
        <w:spacing w:after="60" w:before="0"/>
        <w:ind w:left="720"/>
        <w:jc w:val="left"/>
      </w:pPr>
      <w:r>
        <w:rPr>
          <w:rFonts w:ascii="Arial" w:cs="Arial" w:eastAsia="Arial" w:hAnsi="Arial"/>
          <w:color w:val="000000"/>
          <w:sz w:val="22"/>
          <w:szCs w:val="22"/>
        </w:rPr>
        <w:t xml:space="preserve">WACC = 3.85% + 1.64%</w:t>
      </w:r>
    </w:p>
    <w:p>
      <w:pPr>
        <w:keepNext/>
        <w:keepLines/>
        <w:spacing w:after="200" w:before="0"/>
        <w:ind w:left="720"/>
        <w:jc w:val="left"/>
      </w:pPr>
      <w:r>
        <w:rPr>
          <w:rFonts w:ascii="Arial" w:cs="Arial" w:eastAsia="Arial" w:hAnsi="Arial"/>
          <w:b/>
          <w:bCs/>
          <w:color w:val="000000"/>
          <w:sz w:val="22"/>
          <w:szCs w:val="22"/>
        </w:rPr>
        <w:t xml:space="preserve">WACC = 5.49%</w:t>
      </w:r>
    </w:p>
    <w:p>
      <w:pPr>
        <w:keepNext/>
        <w:keepLines/>
        <w:spacing w:after="80" w:before="120" w:line="276" w:lineRule="auto"/>
      </w:pPr>
      <w:r>
        <w:rPr>
          <w:rFonts w:ascii="Arial" w:cs="Arial" w:eastAsia="Arial" w:hAnsi="Arial"/>
          <w:b/>
          <w:bCs/>
          <w:color w:val="000000"/>
          <w:sz w:val="20"/>
          <w:szCs w:val="20"/>
        </w:rPr>
        <w:t xml:space="preserve">Table 7. WACC by source of financing</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60"/>
        <w:gridCol w:w="2000"/>
        <w:gridCol w:w="2250"/>
        <w:gridCol w:w="2250"/>
      </w:tblGrid>
      <w:tr>
        <w:trPr>
          <w:cantSplit/>
          <w:tblHeader/>
        </w:trPr>
        <w:tc>
          <w:tcPr>
            <w:tcW w:type="dxa" w:w="2860"/>
            <w:tcMar>
              <w:top w:type="dxa" w:w="60"/>
              <w:left w:type="dxa" w:w="110"/>
              <w:bottom w:type="dxa" w:w="60"/>
              <w:right w:type="dxa" w:w="110"/>
            </w:tcMar>
            <w:vAlign w:val="center"/>
          </w:tcPr>
          <w:p>
            <w:pPr>
              <w:keepNext/>
              <w:keepLines/>
              <w:spacing w:after="0" w:before="0"/>
              <w:jc w:val="left"/>
            </w:pPr>
            <w:r>
              <w:rPr>
                <w:rFonts w:ascii="Arial" w:cs="Arial" w:eastAsia="Arial" w:hAnsi="Arial"/>
                <w:b/>
                <w:bCs/>
                <w:color w:val="000000"/>
                <w:sz w:val="20"/>
                <w:szCs w:val="20"/>
              </w:rPr>
              <w:t xml:space="preserve">Source of financing</w:t>
            </w:r>
          </w:p>
        </w:tc>
        <w:tc>
          <w:tcPr>
            <w:tcW w:type="dxa" w:w="200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Weight</w:t>
            </w:r>
          </w:p>
        </w:tc>
        <w:tc>
          <w:tcPr>
            <w:tcW w:type="dxa" w:w="225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After-tax cost</w:t>
            </w:r>
          </w:p>
        </w:tc>
        <w:tc>
          <w:tcPr>
            <w:tcW w:type="dxa" w:w="2250"/>
            <w:tcMar>
              <w:top w:type="dxa" w:w="60"/>
              <w:left w:type="dxa" w:w="110"/>
              <w:bottom w:type="dxa" w:w="60"/>
              <w:right w:type="dxa" w:w="110"/>
            </w:tcMar>
            <w:vAlign w:val="center"/>
          </w:tcPr>
          <w:p>
            <w:pPr>
              <w:keepNext/>
              <w:keepLines/>
              <w:spacing w:after="0" w:before="0"/>
              <w:jc w:val="center"/>
            </w:pPr>
            <w:r>
              <w:rPr>
                <w:rFonts w:ascii="Arial" w:cs="Arial" w:eastAsia="Arial" w:hAnsi="Arial"/>
                <w:b/>
                <w:bCs/>
                <w:color w:val="000000"/>
                <w:sz w:val="20"/>
                <w:szCs w:val="20"/>
              </w:rPr>
              <w:t xml:space="preserve">Weighted cost</w:t>
            </w:r>
          </w:p>
        </w:tc>
      </w:tr>
      <w:tr>
        <w:trPr>
          <w:cantSplit/>
          <w:tblHeader w:val="false"/>
        </w:trPr>
        <w:tc>
          <w:tcPr>
            <w:tcW w:type="dxa" w:w="28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Equity</w:t>
            </w:r>
          </w:p>
        </w:tc>
        <w:tc>
          <w:tcPr>
            <w:tcW w:type="dxa" w:w="20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36.31%</w:t>
            </w:r>
          </w:p>
        </w:tc>
        <w:tc>
          <w:tcPr>
            <w:tcW w:type="dxa" w:w="225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10.61%</w:t>
            </w:r>
          </w:p>
        </w:tc>
        <w:tc>
          <w:tcPr>
            <w:tcW w:type="dxa" w:w="225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3.85%</w:t>
            </w:r>
          </w:p>
        </w:tc>
      </w:tr>
      <w:tr>
        <w:trPr>
          <w:cantSplit/>
          <w:tblHeader w:val="false"/>
        </w:trPr>
        <w:tc>
          <w:tcPr>
            <w:tcW w:type="dxa" w:w="2860"/>
            <w:tcMar>
              <w:top w:type="dxa" w:w="60"/>
              <w:left w:type="dxa" w:w="110"/>
              <w:bottom w:type="dxa" w:w="60"/>
              <w:right w:type="dxa" w:w="110"/>
            </w:tcMar>
            <w:vAlign w:val="center"/>
          </w:tcPr>
          <w:p>
            <w:pPr>
              <w:keepNext/>
              <w:keepLines/>
              <w:spacing w:after="0" w:before="0"/>
              <w:jc w:val="left"/>
            </w:pPr>
            <w:r>
              <w:rPr>
                <w:rFonts w:ascii="Arial" w:cs="Arial" w:eastAsia="Arial" w:hAnsi="Arial"/>
                <w:color w:val="000000"/>
                <w:sz w:val="20"/>
                <w:szCs w:val="20"/>
              </w:rPr>
              <w:t xml:space="preserve">Debt</w:t>
            </w:r>
          </w:p>
        </w:tc>
        <w:tc>
          <w:tcPr>
            <w:tcW w:type="dxa" w:w="200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63.69%</w:t>
            </w:r>
          </w:p>
        </w:tc>
        <w:tc>
          <w:tcPr>
            <w:tcW w:type="dxa" w:w="225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2.58%</w:t>
            </w:r>
          </w:p>
        </w:tc>
        <w:tc>
          <w:tcPr>
            <w:tcW w:type="dxa" w:w="2250"/>
            <w:tcMar>
              <w:top w:type="dxa" w:w="60"/>
              <w:left w:type="dxa" w:w="110"/>
              <w:bottom w:type="dxa" w:w="60"/>
              <w:right w:type="dxa" w:w="110"/>
            </w:tcMar>
            <w:vAlign w:val="center"/>
          </w:tcPr>
          <w:p>
            <w:pPr>
              <w:keepNext/>
              <w:keepLines/>
              <w:spacing w:after="0" w:before="0"/>
              <w:jc w:val="right"/>
            </w:pPr>
            <w:r>
              <w:rPr>
                <w:rFonts w:ascii="Arial" w:cs="Arial" w:eastAsia="Arial" w:hAnsi="Arial"/>
                <w:color w:val="000000"/>
                <w:sz w:val="20"/>
                <w:szCs w:val="20"/>
              </w:rPr>
              <w:t xml:space="preserve">1.64%</w:t>
            </w:r>
          </w:p>
        </w:tc>
      </w:tr>
      <w:tr>
        <w:trPr>
          <w:cantSplit/>
          <w:tblHeader w:val="false"/>
        </w:trPr>
        <w:tc>
          <w:tcPr>
            <w:tcW w:type="dxa" w:w="2860"/>
            <w:tcMar>
              <w:top w:type="dxa" w:w="60"/>
              <w:left w:type="dxa" w:w="110"/>
              <w:bottom w:type="dxa" w:w="60"/>
              <w:right w:type="dxa" w:w="110"/>
            </w:tcMar>
            <w:vAlign w:val="center"/>
          </w:tcPr>
          <w:p>
            <w:pPr>
              <w:keepNext w:val="false"/>
              <w:keepLines/>
              <w:spacing w:after="0" w:before="0"/>
              <w:jc w:val="left"/>
            </w:pPr>
            <w:r>
              <w:rPr>
                <w:rFonts w:ascii="Arial" w:cs="Arial" w:eastAsia="Arial" w:hAnsi="Arial"/>
                <w:b/>
                <w:bCs/>
                <w:color w:val="000000"/>
                <w:sz w:val="20"/>
                <w:szCs w:val="20"/>
              </w:rPr>
              <w:t xml:space="preserve">WACC</w:t>
            </w:r>
          </w:p>
        </w:tc>
        <w:tc>
          <w:tcPr>
            <w:tcW w:type="dxa" w:w="200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100.00%</w:t>
            </w:r>
          </w:p>
        </w:tc>
        <w:tc>
          <w:tcPr>
            <w:tcW w:type="dxa" w:w="225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
            </w:r>
          </w:p>
        </w:tc>
        <w:tc>
          <w:tcPr>
            <w:tcW w:type="dxa" w:w="2250"/>
            <w:tcMar>
              <w:top w:type="dxa" w:w="60"/>
              <w:left w:type="dxa" w:w="110"/>
              <w:bottom w:type="dxa" w:w="60"/>
              <w:right w:type="dxa" w:w="110"/>
            </w:tcMar>
            <w:vAlign w:val="center"/>
          </w:tcPr>
          <w:p>
            <w:pPr>
              <w:keepNext w:val="false"/>
              <w:keepLines/>
              <w:spacing w:after="0" w:before="0"/>
              <w:jc w:val="right"/>
            </w:pPr>
            <w:r>
              <w:rPr>
                <w:rFonts w:ascii="Arial" w:cs="Arial" w:eastAsia="Arial" w:hAnsi="Arial"/>
                <w:b/>
                <w:bCs/>
                <w:color w:val="000000"/>
                <w:sz w:val="20"/>
                <w:szCs w:val="20"/>
              </w:rPr>
              <w:t xml:space="preserve">5.49%</w:t>
            </w:r>
          </w:p>
        </w:tc>
      </w:tr>
    </w:tbl>
    <w:p>
      <w:pPr>
        <w:keepLines/>
        <w:spacing w:after="160" w:before="240" w:line="276" w:lineRule="auto"/>
      </w:pPr>
      <w:r>
        <w:rPr>
          <w:rFonts w:ascii="Arial" w:cs="Arial" w:eastAsia="Arial" w:hAnsi="Arial"/>
          <w:color w:val="000000"/>
          <w:sz w:val="22"/>
          <w:szCs w:val="22"/>
        </w:rPr>
        <w:t xml:space="preserve">Walmart's WACC is 5.49%. It sits much closer to the cost of debt than to the cost of equity for two reasons: debt supplies almost two-thirds of Walmart's financing, and the tax deduction on interest lowers the cost of debt from 3.53% to 2.58%.</w:t>
      </w:r>
    </w:p>
    <w:p>
      <w:pPr>
        <w:pStyle w:val="Heading1"/>
      </w:pPr>
      <w:r>
        <w:rPr>
          <w:rFonts w:ascii="Arial" w:cs="Arial" w:eastAsia="Arial" w:hAnsi="Arial"/>
          <w:b/>
          <w:bCs/>
          <w:color w:val="000000"/>
          <w:sz w:val="26"/>
          <w:szCs w:val="26"/>
        </w:rPr>
        <w:t xml:space="preserve">Question 7</w:t>
      </w:r>
    </w:p>
    <w:p>
      <w:pPr>
        <w:keepLines/>
        <w:spacing w:after="160" w:before="0" w:line="276" w:lineRule="auto"/>
      </w:pPr>
      <w:r>
        <w:rPr>
          <w:rFonts w:ascii="Arial" w:cs="Arial" w:eastAsia="Arial" w:hAnsi="Arial"/>
          <w:color w:val="000000"/>
          <w:sz w:val="22"/>
          <w:szCs w:val="22"/>
        </w:rPr>
        <w:t xml:space="preserve">The MARR should be 5.49%, equal to the WACC. The WACC is the cost of using capital (cash). It already combines what lenders charge and what shareholders expect, weighted by how much each one supplies, so it's the lowest return a project can earn and still pay for the money behind it.</w:t>
      </w:r>
    </w:p>
    <w:p>
      <w:pPr>
        <w:keepLines/>
        <w:spacing w:after="160" w:before="0" w:line="276" w:lineRule="auto"/>
      </w:pPr>
      <w:r>
        <w:rPr>
          <w:rFonts w:ascii="Arial" w:cs="Arial" w:eastAsia="Arial" w:hAnsi="Arial"/>
          <w:color w:val="000000"/>
          <w:sz w:val="22"/>
          <w:szCs w:val="22"/>
        </w:rPr>
        <w:t xml:space="preserve">A project that earns more than 5.49% covers that cost and adds value for Walmart's shareholders. A project that earns less costs more to fund than it brings in, and Walmart should turn it down. In practice, Dale and Lee can discount each project's cash flows at 5.49% and accept only the ones with a positive net present value.</w:t>
      </w:r>
    </w:p>
    <w:sectPr>
      <w:footerReference w:type="default" r:id="rId7"/>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360"/>
      <w:outlineLvl w:val="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Walmart's Cost of Capital</dc:title>
  <dc:creator>Paolo Safady</dc:creator>
  <cp:lastModifiedBy>Un-named</cp:lastModifiedBy>
  <cp:revision>1</cp:revision>
  <dcterms:created xsi:type="dcterms:W3CDTF">2026-10-21T09:35:23.016Z</dcterms:created>
  <dcterms:modified xsi:type="dcterms:W3CDTF">2026-10-21T09:35:23.018Z</dcterms:modified>
</cp:coreProperties>
</file>

<file path=docProps/custom.xml><?xml version="1.0" encoding="utf-8"?>
<Properties xmlns="http://schemas.openxmlformats.org/officeDocument/2006/custom-properties" xmlns:vt="http://schemas.openxmlformats.org/officeDocument/2006/docPropsVTypes"/>
</file>