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Dugmore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Luke Wybar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Waylen Watts [ncw]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7BD3457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2D7337">
        <w:rPr>
          <w:rFonts w:ascii="Times New Roman" w:hAnsi="Times New Roman" w:cs="Times New Roman"/>
          <w:sz w:val="20"/>
          <w:szCs w:val="20"/>
        </w:rPr>
        <w:t>29th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04F03A15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1.0</w:t>
      </w:r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4B1EC0CC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588D542B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57E1B7AD" w:rsidR="009B7885" w:rsidRPr="009B7885" w:rsidRDefault="003B0FEC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E02F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6967726A" w:rsidR="009B7885" w:rsidRPr="009B7885" w:rsidRDefault="003B0FEC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E02F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6B1C503D" w:rsidR="009B7885" w:rsidRPr="009B7885" w:rsidRDefault="003B0FEC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FE02F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699AFE9E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436A8BF8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37AEBE7E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8483150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1B035290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674521E9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53D31A13" w:rsidR="009B7885" w:rsidRPr="009B7885" w:rsidRDefault="003B0FEC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4043124"/>
      <w:r>
        <w:lastRenderedPageBreak/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4043125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4043126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4043127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4043128"/>
      <w:r w:rsidRPr="008A4526">
        <w:t>2 R</w:t>
      </w:r>
      <w:r w:rsidR="00CF64C3">
        <w:t>ELEVANT QA DOCUMENTS</w:t>
      </w:r>
      <w:bookmarkEnd w:id="5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6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7" w:name="_Toc34043130"/>
      <w:r w:rsidRPr="008A4526">
        <w:lastRenderedPageBreak/>
        <w:t>4</w:t>
      </w:r>
      <w:r w:rsidR="00415DE7" w:rsidRPr="008A4526">
        <w:t xml:space="preserve"> </w:t>
      </w:r>
      <w:r w:rsidR="00CF64C3">
        <w:t>TEST PLAN</w:t>
      </w:r>
      <w:bookmarkEnd w:id="7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weather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8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8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8"/>
        <w:gridCol w:w="1672"/>
        <w:gridCol w:w="1461"/>
        <w:gridCol w:w="1423"/>
        <w:gridCol w:w="1468"/>
        <w:gridCol w:w="1442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Welsh words should show weather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68BE17D1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59C83E52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</w:t>
            </w:r>
            <w:r w:rsidR="00A60A9B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430C7">
              <w:rPr>
                <w:rFonts w:ascii="Times New Roman" w:hAnsi="Times New Roman" w:cs="Times New Roman"/>
                <w:sz w:val="20"/>
                <w:szCs w:val="20"/>
              </w:rPr>
              <w:t xml:space="preserve"> a flash card based on </w:t>
            </w:r>
            <w:r w:rsidR="00005291">
              <w:rPr>
                <w:rFonts w:ascii="Times New Roman" w:hAnsi="Times New Roman" w:cs="Times New Roman"/>
                <w:sz w:val="20"/>
                <w:szCs w:val="20"/>
              </w:rPr>
              <w:t xml:space="preserve">the sorting of the dictionary. i.e. English if set to </w:t>
            </w:r>
            <w:r w:rsidR="00052F74">
              <w:rPr>
                <w:rFonts w:ascii="Times New Roman" w:hAnsi="Times New Roman" w:cs="Times New Roman"/>
                <w:sz w:val="20"/>
                <w:szCs w:val="20"/>
              </w:rPr>
              <w:t>English, Welsh if set to Welsh.</w:t>
            </w:r>
          </w:p>
        </w:tc>
        <w:tc>
          <w:tcPr>
            <w:tcW w:w="1481" w:type="dxa"/>
          </w:tcPr>
          <w:p w14:paraId="37BC7390" w14:textId="2B2D957A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0EAF825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5EBED0DF" w:rsidR="006D7BA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4F0D82FE" w:rsidR="00B4314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14E112B3" w:rsidR="008D56BB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55D67A36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31554526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feedback of 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26CBD3D1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Navigate to “</w:t>
            </w:r>
            <w:r w:rsidR="003B0FEC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and complete one of them using both known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correct and 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outcome along 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562C449E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“R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andom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54DC78C" w:rsidR="000D4868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6DDCC58E" w:rsidR="001C07EB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  <w:bookmarkStart w:id="9" w:name="_GoBack"/>
            <w:bookmarkEnd w:id="9"/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605D4B" w14:textId="636C687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0EFC8B6" w14:textId="19F3CC28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38EBCC6F" w14:textId="490E971D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4FC816BD" w14:textId="4A1D3D6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9ABF" w14:textId="77777777" w:rsidR="00656712" w:rsidRDefault="00656712" w:rsidP="000B06E8">
      <w:pPr>
        <w:spacing w:after="0" w:line="240" w:lineRule="auto"/>
      </w:pPr>
      <w:r>
        <w:separator/>
      </w:r>
    </w:p>
  </w:endnote>
  <w:endnote w:type="continuationSeparator" w:id="0">
    <w:p w14:paraId="799A6D10" w14:textId="77777777" w:rsidR="00656712" w:rsidRDefault="00656712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6182" w14:textId="77777777" w:rsidR="00656712" w:rsidRDefault="00656712" w:rsidP="000B06E8">
      <w:pPr>
        <w:spacing w:after="0" w:line="240" w:lineRule="auto"/>
      </w:pPr>
      <w:r>
        <w:separator/>
      </w:r>
    </w:p>
  </w:footnote>
  <w:footnote w:type="continuationSeparator" w:id="0">
    <w:p w14:paraId="6578AB44" w14:textId="77777777" w:rsidR="00656712" w:rsidRDefault="00656712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1CA7646D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.0</w:t>
    </w:r>
    <w:r w:rsidRPr="00DE38AD">
      <w:rPr>
        <w:rFonts w:ascii="Times New Roman" w:hAnsi="Times New Roman" w:cs="Times New Roman"/>
        <w:i/>
        <w:iCs/>
        <w:sz w:val="20"/>
        <w:szCs w:val="20"/>
      </w:rPr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5291"/>
    <w:rsid w:val="00006BE0"/>
    <w:rsid w:val="00013809"/>
    <w:rsid w:val="00023860"/>
    <w:rsid w:val="00035728"/>
    <w:rsid w:val="0004114A"/>
    <w:rsid w:val="00047C6A"/>
    <w:rsid w:val="00052F74"/>
    <w:rsid w:val="000630E9"/>
    <w:rsid w:val="00065770"/>
    <w:rsid w:val="00071929"/>
    <w:rsid w:val="00081707"/>
    <w:rsid w:val="00087FEB"/>
    <w:rsid w:val="000A19CC"/>
    <w:rsid w:val="000B06E8"/>
    <w:rsid w:val="000C3669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30C7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3A17"/>
    <w:rsid w:val="001C588B"/>
    <w:rsid w:val="001E27E1"/>
    <w:rsid w:val="001F3463"/>
    <w:rsid w:val="001F7D9D"/>
    <w:rsid w:val="0020423C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337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0FEC"/>
    <w:rsid w:val="003B6FA6"/>
    <w:rsid w:val="003C1CA3"/>
    <w:rsid w:val="003C7E66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6712"/>
    <w:rsid w:val="006721B1"/>
    <w:rsid w:val="006830CF"/>
    <w:rsid w:val="00686448"/>
    <w:rsid w:val="00692F6C"/>
    <w:rsid w:val="006C09D1"/>
    <w:rsid w:val="006D115A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B1401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900350"/>
    <w:rsid w:val="00920865"/>
    <w:rsid w:val="009227E6"/>
    <w:rsid w:val="00923C9F"/>
    <w:rsid w:val="00923F7E"/>
    <w:rsid w:val="009253D5"/>
    <w:rsid w:val="009542F6"/>
    <w:rsid w:val="00966849"/>
    <w:rsid w:val="00975405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0A9B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7F69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5655"/>
    <w:rsid w:val="00D2646D"/>
    <w:rsid w:val="00D33E3B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EF11FB"/>
    <w:rsid w:val="00F00F0B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2e75bad-49d2-4fb7-a771-f4873e563e0c"/>
    <ds:schemaRef ds:uri="http://schemas.openxmlformats.org/package/2006/metadata/core-properties"/>
    <ds:schemaRef ds:uri="4c4ab678-25b9-478a-abc3-ff792265b977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51CBD5-CA81-437B-BE84-4A748B63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 Watts</cp:lastModifiedBy>
  <cp:revision>52</cp:revision>
  <cp:lastPrinted>2020-04-29T09:38:00Z</cp:lastPrinted>
  <dcterms:created xsi:type="dcterms:W3CDTF">2020-03-01T14:16:00Z</dcterms:created>
  <dcterms:modified xsi:type="dcterms:W3CDTF">2020-05-04T11:23:00Z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