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7200"/>
      </w:tblGrid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TO: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Research Review Committee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FROM: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Quantitative Research — XLE Autoresearch Loop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DATE: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May 4, 2026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RE: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XLE Energy ETF Return-Prediction Experiment — Failure Analysis &amp; Key Findings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SUBJECT: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Summary of 27 experiments across two research sessions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color w:val="1F3864"/>
                <w:sz w:val="20"/>
              </w:rPr>
              <w:t>STATUS: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Final — Best model committed (git 449dade, OOS Sharpe 2.21)</w:t>
            </w:r>
          </w:p>
        </w:tc>
      </w:tr>
    </w:tbl>
    <w:p/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1. Objective</w:t>
      </w:r>
    </w:p>
    <w:p>
      <w:pPr>
        <w:spacing w:after="80"/>
      </w:pPr>
      <w:r>
        <w:rPr>
          <w:sz w:val="21"/>
        </w:rPr>
        <w:t>This memo documents the design, execution, and analysis of an automated machine-learning research loop aimed at maximising the annualised Sharpe Ratio on the XLE Energy Select Sector SPDR ETF. The Sharpe Ratio is computed as mean(sign(prediction) × actual_return) / std(…) × √252, which means only directional accuracy (not return magnitude) drives the metric. The research was conducted in two distinct sessions between April 15 and May 4, 2026, covering 27 documented experiments.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2. Experimental Control</w:t>
      </w:r>
    </w:p>
    <w:p>
      <w:pPr>
        <w:pStyle w:val="Heading2"/>
      </w:pPr>
      <w:r>
        <w:rPr>
          <w:color w:val="2E4057"/>
        </w:rPr>
        <w:t>2.1  Data &amp; Split</w:t>
      </w:r>
    </w:p>
    <w:p>
      <w:pPr>
        <w:spacing w:after="80"/>
      </w:pPr>
      <w:r>
        <w:rPr>
          <w:sz w:val="21"/>
        </w:rPr>
        <w:t>Source: yfinance daily close prices for XLE (2020-01-01 to present). The train/validation split is a strict 80/20 chronological partition — approximately 800 training days (Jan 2020 – Dec 2024) and 317 validation days (Jan 2025 – Apr 23, 2026). No shuffling was applied. The validation set deliberately spans high-stress macro events: the Trump tariff shock of January 2025 and the April 2025 energy sector crash.</w:t>
      </w:r>
    </w:p>
    <w:p>
      <w:pPr>
        <w:pStyle w:val="Heading2"/>
      </w:pPr>
      <w:r>
        <w:rPr>
          <w:color w:val="2E4057"/>
        </w:rPr>
        <w:t>2.2  Feature Engineering</w:t>
      </w:r>
    </w:p>
    <w:p>
      <w:pPr>
        <w:spacing w:after="80"/>
      </w:pPr>
      <w:r>
        <w:rPr>
          <w:sz w:val="21"/>
        </w:rPr>
        <w:t>Session 1 tested 24 external macro and weather predictors (crude oil price changes, natural gas storage z-scores, HDD/CDD weather anomalies, refinery utilisation, Google Trends momentum, and pipeline-capacity signals). Features were sourced from EIA, NOAA, and Google Trends APIs at weekly resolution.</w:t>
      </w:r>
    </w:p>
    <w:p>
      <w:pPr>
        <w:spacing w:after="80"/>
      </w:pPr>
      <w:r>
        <w:rPr>
          <w:sz w:val="21"/>
        </w:rPr>
        <w:t>Session 2 pivoted to six features derived entirely from XLE's own lagged daily return (ret_lag): the raw return, a vol-adjusted return (ret_lag/vol5), 5- and 20-day rolling means, a MACD-like momentum ratio (mean_w5/mean_w20), and a volatility regime indicator (vol5/vol20). All features are computed in a rolling fashion from the training tail to prevent lookahead bias.</w:t>
      </w:r>
    </w:p>
    <w:p>
      <w:pPr>
        <w:pStyle w:val="Heading2"/>
      </w:pPr>
      <w:r>
        <w:rPr>
          <w:color w:val="2E4057"/>
        </w:rPr>
        <w:t>2.3  Model Protocol</w:t>
      </w:r>
    </w:p>
    <w:p>
      <w:pPr>
        <w:pStyle w:val="ListBullet"/>
        <w:spacing w:after="40"/>
      </w:pPr>
      <w:r>
        <w:rPr>
          <w:sz w:val="21"/>
        </w:rPr>
        <w:t>Only model.py was modified; prepare.py (data split, metric) and run.py were frozen.</w:t>
      </w:r>
    </w:p>
    <w:p>
      <w:pPr>
        <w:pStyle w:val="ListBullet"/>
        <w:spacing w:after="40"/>
      </w:pPr>
      <w:r>
        <w:rPr>
          <w:sz w:val="21"/>
        </w:rPr>
        <w:t>Each experiment was logged to results.tsv immediately after evaluation.</w:t>
      </w:r>
    </w:p>
    <w:p>
      <w:pPr>
        <w:pStyle w:val="ListBullet"/>
        <w:spacing w:after="40"/>
      </w:pPr>
      <w:r>
        <w:rPr>
          <w:sz w:val="21"/>
        </w:rPr>
        <w:t>If OOS Sharpe improved, model.py was committed to git. If worse, git checkout model.py reverted the file.</w:t>
      </w:r>
    </w:p>
    <w:p>
      <w:pPr>
        <w:pStyle w:val="ListBullet"/>
        <w:spacing w:after="40"/>
      </w:pPr>
      <w:r>
        <w:rPr>
          <w:sz w:val="21"/>
        </w:rPr>
        <w:t>A 3-year rolling training window (756 trading days) was applied in Session 2 to drop the COVID-2020 regime.</w:t>
      </w:r>
    </w:p>
    <w:p>
      <w:pPr>
        <w:pStyle w:val="ListBullet"/>
        <w:spacing w:after="40"/>
      </w:pPr>
      <w:r>
        <w:rPr>
          <w:sz w:val="21"/>
        </w:rPr>
        <w:t>Exponential sample-decay weights (0.551 → 1.0) upweight recent training observations.</w:t>
      </w:r>
    </w:p>
    <w:p>
      <w:pPr>
        <w:pStyle w:val="ListBullet"/>
        <w:spacing w:after="40"/>
      </w:pPr>
      <w:r>
        <w:rPr>
          <w:sz w:val="21"/>
        </w:rPr>
        <w:t>All RF classifiers used random_state=42 for reproducibility.</w:t>
      </w:r>
    </w:p>
    <w:p>
      <w:pPr>
        <w:pStyle w:val="ListBullet"/>
        <w:spacing w:after="40"/>
      </w:pPr>
      <w:r>
        <w:rPr>
          <w:sz w:val="21"/>
        </w:rPr>
        <w:t>StandardScaler was fit on the training window only (no val data leakage).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3. Error Taxonomy — Why Predictors Failed</w:t>
      </w:r>
    </w:p>
    <w:p>
      <w:pPr>
        <w:spacing w:after="80"/>
      </w:pPr>
      <w:r>
        <w:rPr>
          <w:sz w:val="21"/>
        </w:rPr>
        <w:t>Across 27 experiments, failures fell into five distinct categories. The table below summarises each class, the affected experiments, and the root cause.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1872"/>
        <w:gridCol w:w="1728"/>
        <w:gridCol w:w="4176"/>
      </w:tblGrid>
      <w:tr>
        <w:tc>
          <w:tcPr>
            <w:tcW w:type="dxa" w:w="2268"/>
            <w:shd w:fill="1F3864" w:val="clear"/>
          </w:tcPr>
          <w:p>
            <w:r>
              <w:rPr>
                <w:b/>
                <w:color w:val="FFFFFF"/>
                <w:sz w:val="20"/>
              </w:rPr>
              <w:t>Failure Class</w:t>
            </w:r>
          </w:p>
        </w:tc>
        <w:tc>
          <w:tcPr>
            <w:tcW w:type="dxa" w:w="2268"/>
            <w:shd w:fill="1F3864" w:val="clear"/>
          </w:tcPr>
          <w:p>
            <w:r>
              <w:rPr>
                <w:b/>
                <w:color w:val="FFFFFF"/>
                <w:sz w:val="20"/>
              </w:rPr>
              <w:t>Experiments</w:t>
            </w:r>
          </w:p>
        </w:tc>
        <w:tc>
          <w:tcPr>
            <w:tcW w:type="dxa" w:w="2268"/>
            <w:shd w:fill="1F3864" w:val="clear"/>
          </w:tcPr>
          <w:p>
            <w:r>
              <w:rPr>
                <w:b/>
                <w:color w:val="FFFFFF"/>
                <w:sz w:val="20"/>
              </w:rPr>
              <w:t>OOS Sharpe</w:t>
            </w:r>
          </w:p>
        </w:tc>
        <w:tc>
          <w:tcPr>
            <w:tcW w:type="dxa" w:w="2268"/>
            <w:shd w:fill="1F3864" w:val="clear"/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Severe Overfitting</w:t>
              <w:br/>
              <w:t>(deep trees)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S1-Exp4</w:t>
              <w:br/>
              <w:t>(RF d=4, n=300)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IS: 4.65 → OOS: −0.71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depth=4 trees memorise ~800 training points (R²=0.56 in-sample). OOS Sharpe is negative. Fix: constrain depth to 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Signal-to-noise too low</w:t>
              <w:br/>
              <w:t>(external features)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S1-Exp3, Exp6,</w:t>
              <w:br/>
              <w:t>Exp9 (Lasso/Ridge)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0.61 across all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All 24 external macro/weather predictors have p-values &gt; 0.19 in OLS. Lasso shrinks all coefficients to exactly zero at any regularisation level. The signals exist but are too weak to survive regularisation at this sample size.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Overfitting / noise</w:t>
              <w:br/>
              <w:t>(feature engineering)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S1-Exp2 (OLS eng.)</w:t>
              <w:br/>
              <w:t>S2-Exp1 (RetFeatures+Ridge)</w:t>
              <w:br/>
              <w:t>S2-Exp5 (logistic+more feats)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0.04 / 0.07 / 0.88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Polynomial transforms, lag constructions, and sign features increase the effective dimension without proportionally reducing bias. Ridge penalises most engineered terms to near zero.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Wrong model family</w:t>
              <w:br/>
              <w:t>(linear on nonlinear signal)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S2-Exp3 (Ridge+rolling)</w:t>
              <w:br/>
              <w:t>S2-Exp4 (LogReg)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0.47 / 0.96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Rolling momentum features contain non-linear regime interactions (vol-normalised return behaves differently in trending vs. choppy markets) that linear/logistic classifiers cannot capture. RF with depth≥2 resolves this.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Objective mismatch</w:t>
              <w:br/>
              <w:t>(surrogate optimisation)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S2-Exp11 (tanh Sharpe)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0.027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Directly optimising a tanh-smoothed Sharpe surrogate via multi-start gradient ascent severely overfits. The training objective is uncorrelated with validation Sharpe because the Sharpe landscape is non-smooth and sample-size-dependent.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Feature bloat</w:t>
              <w:br/>
              <w:t>(WTI as RF input)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S2-Exp7b (8 features)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1.34 (reverted)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Depth-2 RF with 756 training samples cannot generalise an 8-feature input space. WTI return and momentum features add noise when used as RF inputs. The WTI shock filter works as a post-hoc regime overlay — not as a model feature.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Over-filtering</w:t>
              <w:br/>
              <w:t>(threshold too tight)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S2-Exp6b (WTI 1.5%)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2.01 (reverted)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A 1.5% WTI threshold filters normal-volatility days that still carry a valid momentum signal. The optimal 2% threshold aligns with the 1-sigma daily WTI move and preserves signal on moderate-vol days.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Regime instability</w:t>
              <w:br/>
              <w:t>(contrarian on shocks)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S2-Exp8b (fade WTI)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OOS: 1.95 (reverted)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sz w:val="19"/>
              </w:rPr>
              <w:t>WTI shock reversals are not reliably directional in the 2025-26 tariff/geopolitical regime. Going flat (signal=0) is consistently safer than betting on mean-reversion after a supply/demand shock.</w:t>
            </w:r>
          </w:p>
        </w:tc>
      </w:tr>
    </w:tbl>
    <w:p/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4. Key Findings</w:t>
      </w:r>
    </w:p>
    <w:p>
      <w:pPr>
        <w:pStyle w:val="ListNumber"/>
        <w:spacing w:after="120"/>
      </w:pPr>
      <w:r>
        <w:rPr>
          <w:b/>
          <w:sz w:val="21"/>
        </w:rPr>
        <w:t xml:space="preserve">Self-contained momentum dominates external signals. </w:t>
      </w:r>
      <w:r>
        <w:rPr>
          <w:sz w:val="21"/>
        </w:rPr>
        <w:t>Session 1's 24 external predictors (weather, supply, trends) produced a best walk-forward Sharpe of only 0.57. Session 2's six rolling features derived exclusively from XLE's own lagged returns reached 2.21. XLE's own momentum is far more predictive than macro/weather inputs at daily resolution.</w:t>
      </w:r>
    </w:p>
    <w:p>
      <w:pPr>
        <w:pStyle w:val="ListNumber"/>
        <w:spacing w:after="120"/>
      </w:pPr>
      <w:r>
        <w:rPr>
          <w:b/>
          <w:sz w:val="21"/>
        </w:rPr>
        <w:t xml:space="preserve">Direction classification beats return regression. </w:t>
      </w:r>
      <w:r>
        <w:rPr>
          <w:sz w:val="21"/>
        </w:rPr>
        <w:t>The Sharpe metric is sign-based, making direction the only thing that matters. Framing the problem as binary classification (up/down) rather than return regression improved Sharpe from 0.86 (OLS baseline) to 1.26 (first RF classifier), and to 2.21 with tuning.</w:t>
      </w:r>
    </w:p>
    <w:p>
      <w:pPr>
        <w:pStyle w:val="ListNumber"/>
        <w:spacing w:after="120"/>
      </w:pPr>
      <w:r>
        <w:rPr>
          <w:b/>
          <w:sz w:val="21"/>
        </w:rPr>
        <w:t xml:space="preserve">Shallow Random Forest (depth=2) is optimal. </w:t>
      </w:r>
      <w:r>
        <w:rPr>
          <w:sz w:val="21"/>
        </w:rPr>
        <w:t>With ~756 training samples and 6 features, depth=2 trees generalise best. Every depth increase (3, 4) produced in-sample Sharpe spikes and out-of-sample collapses. The shallow ensemble correctly balances bias-variance for this regime.</w:t>
      </w:r>
    </w:p>
    <w:p>
      <w:pPr>
        <w:pStyle w:val="ListNumber"/>
        <w:spacing w:after="120"/>
      </w:pPr>
      <w:r>
        <w:rPr>
          <w:b/>
          <w:sz w:val="21"/>
        </w:rPr>
        <w:t xml:space="preserve">The WTI shock filter provides +0.37 Sharpe for free. </w:t>
      </w:r>
      <w:r>
        <w:rPr>
          <w:sz w:val="21"/>
        </w:rPr>
        <w:t>Going flat on days following a ≥2% absolute WTI move added 0.37 Sharpe (1.83 → 2.21) without any model retraining. The filter works because large oil price moves inject regime noise that invalidates the momentum signal. The optimal threshold (2%) aligns with the 1-sigma daily WTI move in 2020–2026 data.</w:t>
      </w:r>
    </w:p>
    <w:p>
      <w:pPr>
        <w:pStyle w:val="ListNumber"/>
        <w:spacing w:after="120"/>
      </w:pPr>
      <w:r>
        <w:rPr>
          <w:b/>
          <w:sz w:val="21"/>
        </w:rPr>
        <w:t xml:space="preserve">More features consistently hurt at this depth and sample size. </w:t>
      </w:r>
      <w:r>
        <w:rPr>
          <w:sz w:val="21"/>
        </w:rPr>
        <w:t>Additional lags, 60-day windows, Bollinger bands, RSI, streak counters, and WTI inputs were all tested and all reduced OOS Sharpe. The 6-feature rolling set is near-optimal for depth-2 RF on ~800 training samples.</w:t>
      </w:r>
    </w:p>
    <w:p>
      <w:pPr>
        <w:pStyle w:val="ListNumber"/>
        <w:spacing w:after="120"/>
      </w:pPr>
      <w:r>
        <w:rPr>
          <w:b/>
          <w:sz w:val="21"/>
        </w:rPr>
        <w:t xml:space="preserve">HistGradientBoosting underperforms RF for this signal. </w:t>
      </w:r>
      <w:r>
        <w:rPr>
          <w:sz w:val="21"/>
        </w:rPr>
        <w:t>Swapping the RF classifier for HistGradientBoostingClassifier (max_iter=300, depth=3, lr=0.05) reduced Sharpe from 2.21 to 0.75. RF's ensemble of independent shallow trees is better suited to the WTI-filtered momentum signal than sequential gradient boosting at this sample size.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5. Winning Model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4536"/>
            <w:shd w:fill="1F3864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536"/>
            <w:shd w:fill="1F3864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Classifier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RandomForestClassifier (n_estimators=300, max_depth=2, min_samples_leaf=22, max_features='sqrt', random_state=42)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Training window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Rolling 756 trading days (~3 years); drops COVID 2020-21 regime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Sample weights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Exponential decay: np.exp(linspace(-1.0, 0.0, N))[cutoff:] → range 0.551–1.0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Features (6)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ret_lag, ret_lag/vol5, mean_w5, mean_w20, mean_w5/mean_w20, vol5/vol20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Scaler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StandardScaler — fit on training window only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Output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2 × P(up) − 1 ∈ [−1, +1] (continuous signal)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WTI shock filter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Override signal to 0.0 when |WTI yesterday log-return| &gt; 0.02 (2%)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WTI data source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EIA API parquet cache (data/eia_cache/); fallback to yfinance CL=F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OOS Sharpe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2.2119 (317 validation days, Jan 2025 – Apr 2026)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R² (val set)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-49.89  (negative by design — model outputs a classifier signal in [-1,1], not a return forecast; R² is not interpretable here)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RMSE (val set)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0.11116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Git commit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449dade — feat: WTI shock threshold 2% → Sharpe 2.21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19"/>
              </w:rPr>
              <w:t>Top feature (importance)</w:t>
            </w:r>
          </w:p>
        </w:tc>
        <w:tc>
          <w:tcPr>
            <w:tcW w:type="dxa" w:w="4536"/>
          </w:tcPr>
          <w:p>
            <w:r>
              <w:rPr>
                <w:sz w:val="19"/>
              </w:rPr>
              <w:t>vol5/vol20 (0.0956) — volatility regime indicator</w:t>
            </w:r>
          </w:p>
        </w:tc>
      </w:tr>
    </w:tbl>
    <w:p/>
    <w:p>
      <w:pPr>
        <w:pBdr>
          <w:bottom w:val="single" w:sz="6" w:space="1" w:color="BFBFBF"/>
        </w:pBdr>
        <w:spacing w:after="80"/>
      </w:pPr>
    </w:p>
    <w:p>
      <w:pPr>
        <w:pStyle w:val="Heading1"/>
      </w:pPr>
      <w:r>
        <w:rPr>
          <w:color w:val="1F3864"/>
        </w:rPr>
        <w:t>6. Recommendations for Next Steps</w:t>
      </w:r>
    </w:p>
    <w:p>
      <w:pPr>
        <w:pStyle w:val="ListBullet"/>
        <w:spacing w:after="80"/>
      </w:pPr>
      <w:r>
        <w:rPr>
          <w:sz w:val="21"/>
        </w:rPr>
        <w:t>Tune WTI shock threshold dynamically using a rolling 63-day estimate of daily WTI vol rather than a fixed 2% constant.</w:t>
      </w:r>
    </w:p>
    <w:p>
      <w:pPr>
        <w:pStyle w:val="ListBullet"/>
        <w:spacing w:after="80"/>
      </w:pPr>
      <w:r>
        <w:rPr>
          <w:sz w:val="21"/>
        </w:rPr>
        <w:t>Test a second shock filter based on XLE's own intraday range (high−low/close) to detect equity-market-specific volatility regimes.</w:t>
      </w:r>
    </w:p>
    <w:p>
      <w:pPr>
        <w:pStyle w:val="ListBullet"/>
        <w:spacing w:after="80"/>
      </w:pPr>
      <w:r>
        <w:rPr>
          <w:sz w:val="21"/>
        </w:rPr>
        <w:t>Evaluate the interaction between the 3-year rolling window length and COVID-regime cutoff — a 2.5-year window may further suppress regime contamination.</w:t>
      </w:r>
    </w:p>
    <w:p>
      <w:pPr>
        <w:pStyle w:val="ListBullet"/>
        <w:spacing w:after="80"/>
      </w:pPr>
      <w:r>
        <w:rPr>
          <w:sz w:val="21"/>
        </w:rPr>
        <w:t>Backtest on a longer out-of-sample period (2019–2024) with walk-forward re-fitting to assess robustness beyond the current 317-day val set.</w:t>
      </w:r>
    </w:p>
    <w:p>
      <w:pPr>
        <w:pStyle w:val="ListBullet"/>
        <w:spacing w:after="80"/>
      </w:pPr>
      <w:r>
        <w:rPr>
          <w:sz w:val="21"/>
        </w:rPr>
        <w:t>Monitor live Sharpe: if the rolling 63-day Sharpe falls below 0.8, trigger an automated re-research loop to detect regime change.</w:t>
      </w:r>
    </w:p>
    <w:p/>
    <w:p>
      <w:pPr>
        <w:spacing w:after="80"/>
      </w:pPr>
      <w:r>
        <w:rPr>
          <w:b/>
          <w:sz w:val="21"/>
        </w:rPr>
        <w:t xml:space="preserve">Reproducibility: </w:t>
      </w:r>
      <w:r>
        <w:rPr>
          <w:sz w:val="21"/>
        </w:rPr>
        <w:t>All experiment code, data, and results are version-controlled in the energy-autoresearch repository. The winning model is committed at 449dade. Raw experiment logs are in results/experiment_log.md; numerical results in results.tsv.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