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keepLines/>
        <w:spacing w:before="3000" w:after="160" w:line="240" w:lineRule="auto"/>
        <w:ind w:left="0" w:firstLine="0"/>
      </w:pPr>
      <w:r>
        <w:rPr>
          <w:rFonts w:ascii="Helvetica Neue Light" w:hAnsi="Helvetica Neue Light" w:eastAsia="Helvetica Neue Light" w:cs="Helvetica Neue Light"/>
          <w:color w:val="5B7085"/>
          <w:sz w:val="68"/>
        </w:rPr>
        <w:t>CellSim</w:t>
      </w:r>
    </w:p>
    <w:p>
      <w:pPr>
        <w:pStyle w:val="Title"/>
        <w:keepNext w:val="0"/>
        <w:keepLines/>
        <w:spacing w:before="0" w:after="240" w:line="230" w:lineRule="auto"/>
        <w:ind w:left="0" w:firstLine="0"/>
      </w:pPr>
      <w:r>
        <w:rPr>
          <w:rFonts w:ascii="Helvetica Neue" w:hAnsi="Helvetica Neue" w:eastAsia="Helvetica Neue" w:cs="Helvetica Neue"/>
          <w:b/>
          <w:color w:val="000000"/>
          <w:sz w:val="68"/>
        </w:rPr>
        <w:t>Species Stat Line Currency and Predictive AI Meeting Brief</w:t>
      </w:r>
    </w:p>
    <w:p>
      <w:pPr>
        <w:keepNext w:val="0"/>
        <w:keepLines/>
        <w:spacing w:before="0" w:after="2300" w:line="264" w:lineRule="auto"/>
        <w:ind w:left="0" w:firstLine="0"/>
      </w:pPr>
      <w:r>
        <w:rPr>
          <w:rFonts w:ascii="Helvetica Neue" w:hAnsi="Helvetica Neue" w:eastAsia="Helvetica Neue" w:cs="Helvetica Neue"/>
          <w:color w:val="5B7085"/>
          <w:sz w:val="26"/>
        </w:rPr>
        <w:t>Decision brief for the project planning meeting during the week of 21 September 2026</w:t>
      </w:r>
    </w:p>
    <w:tbl>
      <w:tblPr>
        <w:tblW w:type="auto" w:w="0"/>
        <w:jc w:val="center"/>
        <w:tblLayout w:type="fixed"/>
        <w:tblLook w:firstColumn="1" w:firstRow="1" w:lastColumn="0" w:lastRow="0" w:noHBand="0" w:noVBand="1" w:val="04A0"/>
      </w:tblPr>
      <w:tblGrid>
        <w:gridCol w:w="3413"/>
        <w:gridCol w:w="3413"/>
        <w:gridCol w:w="3413"/>
      </w:tblGrid>
      <w:tr>
        <w:tc>
          <w:tcPr>
            <w:tcW w:type="dxa" w:w="3408"/>
            <w:vAlign w:val="center"/>
            <w:tcMar>
              <w:top w:w="20" w:type="dxa"/>
              <w:start w:w="0" w:type="dxa"/>
              <w:bottom w:w="20" w:type="dxa"/>
              <w:end w:w="10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Borders>
              <w:top w:val="nil"/>
              <w:left w:val="nil"/>
              <w:bottom w:val="nil"/>
              <w:right w:val="nil"/>
            </w:tcBorders>
          </w:tcPr>
          <w:p>
            <w:pPr>
              <w:keepNext w:val="0"/>
              <w:keepLines/>
              <w:spacing w:before="0" w:after="0" w:line="259" w:lineRule="auto"/>
              <w:ind w:left="0" w:firstLine="0"/>
              <w:jc w:val="left"/>
            </w:pPr>
            <w:r/>
            <w:r>
              <w:rPr>
                <w:rFonts w:ascii="Helvetica Neue" w:hAnsi="Helvetica Neue" w:eastAsia="Helvetica Neue" w:cs="Helvetica Neue"/>
                <w:b/>
                <w:color w:val="5B7085"/>
                <w:sz w:val="18"/>
              </w:rPr>
              <w:t>STATUS</w:t>
            </w:r>
          </w:p>
        </w:tc>
        <w:tc>
          <w:tcPr>
            <w:tcW w:type="dxa" w:w="3408"/>
            <w:vAlign w:val="center"/>
            <w:tcMar>
              <w:top w:w="20" w:type="dxa"/>
              <w:start w:w="0" w:type="dxa"/>
              <w:bottom w:w="20" w:type="dxa"/>
              <w:end w:w="10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Borders>
              <w:top w:val="nil"/>
              <w:left w:val="nil"/>
              <w:bottom w:val="nil"/>
              <w:right w:val="nil"/>
            </w:tcBorders>
          </w:tcPr>
          <w:p>
            <w:pPr>
              <w:keepNext w:val="0"/>
              <w:keepLines/>
              <w:spacing w:before="0" w:after="0" w:line="259" w:lineRule="auto"/>
              <w:ind w:left="0" w:firstLine="0"/>
              <w:jc w:val="left"/>
            </w:pPr>
            <w:r/>
            <w:r>
              <w:rPr>
                <w:rFonts w:ascii="Helvetica Neue" w:hAnsi="Helvetica Neue" w:eastAsia="Helvetica Neue" w:cs="Helvetica Neue"/>
                <w:b/>
                <w:color w:val="5B7085"/>
                <w:sz w:val="18"/>
              </w:rPr>
              <w:t>OWNER</w:t>
            </w:r>
          </w:p>
        </w:tc>
        <w:tc>
          <w:tcPr>
            <w:tcW w:type="dxa" w:w="3408"/>
            <w:vAlign w:val="center"/>
            <w:tcMar>
              <w:top w:w="20" w:type="dxa"/>
              <w:start w:w="0" w:type="dxa"/>
              <w:bottom w:w="20" w:type="dxa"/>
              <w:end w:w="10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Borders>
              <w:top w:val="nil"/>
              <w:left w:val="nil"/>
              <w:bottom w:val="nil"/>
              <w:right w:val="nil"/>
            </w:tcBorders>
          </w:tcPr>
          <w:p>
            <w:pPr>
              <w:keepNext w:val="0"/>
              <w:keepLines/>
              <w:spacing w:before="0" w:after="0" w:line="259" w:lineRule="auto"/>
              <w:ind w:left="0" w:firstLine="0"/>
              <w:jc w:val="left"/>
            </w:pPr>
            <w:r/>
            <w:r>
              <w:rPr>
                <w:rFonts w:ascii="Helvetica Neue" w:hAnsi="Helvetica Neue" w:eastAsia="Helvetica Neue" w:cs="Helvetica Neue"/>
                <w:b/>
                <w:color w:val="5B7085"/>
                <w:sz w:val="18"/>
              </w:rPr>
              <w:t>LAST UPDATED</w:t>
            </w:r>
          </w:p>
        </w:tc>
      </w:tr>
      <w:tr>
        <w:tc>
          <w:tcPr>
            <w:tcW w:type="dxa" w:w="3408"/>
            <w:vAlign w:val="center"/>
            <w:tcMar>
              <w:top w:w="20" w:type="dxa"/>
              <w:start w:w="0" w:type="dxa"/>
              <w:bottom w:w="20" w:type="dxa"/>
              <w:end w:w="10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Borders>
              <w:top w:val="nil"/>
              <w:left w:val="nil"/>
              <w:bottom w:val="nil"/>
              <w:right w:val="nil"/>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21"/>
              </w:rPr>
              <w:t>Proposed for planning decision</w:t>
            </w:r>
          </w:p>
        </w:tc>
        <w:tc>
          <w:tcPr>
            <w:tcW w:type="dxa" w:w="3408"/>
            <w:vAlign w:val="center"/>
            <w:tcMar>
              <w:top w:w="20" w:type="dxa"/>
              <w:start w:w="0" w:type="dxa"/>
              <w:bottom w:w="20" w:type="dxa"/>
              <w:end w:w="10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Borders>
              <w:top w:val="nil"/>
              <w:left w:val="nil"/>
              <w:bottom w:val="nil"/>
              <w:right w:val="nil"/>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21"/>
              </w:rPr>
              <w:t>CellSim project</w:t>
            </w:r>
          </w:p>
        </w:tc>
        <w:tc>
          <w:tcPr>
            <w:tcW w:type="dxa" w:w="3408"/>
            <w:vAlign w:val="center"/>
            <w:tcMar>
              <w:top w:w="20" w:type="dxa"/>
              <w:start w:w="0" w:type="dxa"/>
              <w:bottom w:w="20" w:type="dxa"/>
              <w:end w:w="10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Borders>
              <w:top w:val="nil"/>
              <w:left w:val="nil"/>
              <w:bottom w:val="nil"/>
              <w:right w:val="nil"/>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21"/>
              </w:rPr>
              <w:t>17 September 2026</w:t>
            </w:r>
          </w:p>
        </w:tc>
      </w:tr>
    </w:tbl>
    <w:p/>
    <w:tbl>
      <w:tblPr>
        <w:tblW w:type="auto" w:w="0"/>
        <w:jc w:val="center"/>
        <w:tblLayout w:type="fixed"/>
        <w:tblLook w:firstColumn="1" w:firstRow="1" w:lastColumn="0" w:lastRow="0" w:noHBand="0" w:noVBand="1" w:val="04A0"/>
      </w:tblPr>
      <w:tblGrid>
        <w:gridCol w:w="5112"/>
        <w:gridCol w:w="5112"/>
      </w:tblGrid>
      <w:tr>
        <w:tc>
          <w:tcPr>
            <w:tcW w:type="dxa" w:w="208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000000"/>
                <w:sz w:val="19"/>
              </w:rPr>
              <w:t>Prepared for</w:t>
            </w:r>
          </w:p>
        </w:tc>
        <w:tc>
          <w:tcPr>
            <w:tcW w:type="dxa" w:w="8136"/>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Josh and Sim</w:t>
            </w:r>
          </w:p>
        </w:tc>
      </w:tr>
      <w:tr>
        <w:tc>
          <w:tcPr>
            <w:tcW w:type="dxa" w:w="208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000000"/>
                <w:sz w:val="19"/>
              </w:rPr>
              <w:t>Evidence baseline</w:t>
            </w:r>
          </w:p>
        </w:tc>
        <w:tc>
          <w:tcPr>
            <w:tcW w:type="dxa" w:w="8136"/>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Current ProjectMain working-tree planning and implementation state reviewed 17 September 2026</w:t>
            </w:r>
          </w:p>
        </w:tc>
      </w:tr>
      <w:tr>
        <w:tc>
          <w:tcPr>
            <w:tcW w:type="dxa" w:w="208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000000"/>
                <w:sz w:val="19"/>
              </w:rPr>
              <w:t>Related records</w:t>
            </w:r>
          </w:p>
        </w:tc>
        <w:tc>
          <w:tcPr>
            <w:tcW w:type="dxa" w:w="8136"/>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Roadmap, Sprint 3 control record, Stat Line contracts, Scientific Data Economy, and Predictive AI research plan</w:t>
            </w:r>
          </w:p>
        </w:tc>
      </w:tr>
      <w:tr>
        <w:tc>
          <w:tcPr>
            <w:tcW w:type="dxa" w:w="208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000000"/>
                <w:sz w:val="19"/>
              </w:rPr>
              <w:t>Decision sought</w:t>
            </w:r>
          </w:p>
        </w:tc>
        <w:tc>
          <w:tcPr>
            <w:tcW w:type="dxa" w:w="8136"/>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Approve the operating boundary, near-term prerequisites, sequencing, and ownership for shared evidence work</w:t>
            </w:r>
          </w:p>
        </w:tc>
      </w:tr>
    </w:tbl>
    <w:p>
      <w:pPr>
        <w:pStyle w:val="Heading1"/>
        <w:keepNext/>
        <w:keepLines/>
        <w:spacing w:before="60" w:after="200" w:line="240" w:lineRule="auto"/>
        <w:ind w:left="0" w:firstLine="0"/>
        <w:pageBreakBefore w:val="1"/>
      </w:pPr>
      <w:r>
        <w:rPr>
          <w:rFonts w:ascii="Helvetica Neue" w:hAnsi="Helvetica Neue" w:eastAsia="Helvetica Neue" w:cs="Helvetica Neue"/>
          <w:b/>
          <w:color w:val="000000"/>
          <w:sz w:val="36"/>
        </w:rPr>
        <w:t>1 Executive summary</w:t>
      </w:r>
    </w:p>
    <w:p>
      <w:pPr>
        <w:keepNext w:val="0"/>
        <w:keepLines/>
        <w:spacing w:before="0" w:after="160" w:line="276" w:lineRule="auto"/>
        <w:ind w:left="0" w:firstLine="0"/>
      </w:pPr>
      <w:r>
        <w:rPr>
          <w:rFonts w:ascii="Helvetica Neue" w:hAnsi="Helvetica Neue" w:eastAsia="Helvetica Neue" w:cs="Helvetica Neue"/>
          <w:b/>
          <w:color w:val="233447"/>
          <w:sz w:val="23"/>
        </w:rPr>
        <w:t>Recommendation:</w:t>
      </w:r>
      <w:r>
        <w:rPr>
          <w:rFonts w:ascii="Helvetica Neue" w:hAnsi="Helvetica Neue" w:eastAsia="Helvetica Neue" w:cs="Helvetica Neue"/>
          <w:color w:val="233447"/>
          <w:sz w:val="23"/>
        </w:rPr>
        <w:t xml:space="preserve"> keep the Species Stat Line, scientific-data currency, and Predictive AI on one evidence spine but in separate authority layers. The Stat Line records what happened. A versioned currency policy decides what selected observations are worth. Predictive AI forecasts and explains outcomes. Josh and Sim retain the authority to decide what is balanced, understandable, and ready for production.</w:t>
      </w:r>
    </w:p>
    <w:p>
      <w:pPr>
        <w:keepNext w:val="0"/>
        <w:keepLines w:val="0"/>
        <w:spacing w:before="0" w:after="180" w:line="276" w:lineRule="auto"/>
        <w:ind w:left="0" w:firstLine="0"/>
      </w:pPr>
      <w:r>
        <w:rPr>
          <w:rFonts w:ascii="Helvetica Neue" w:hAnsi="Helvetica Neue" w:eastAsia="Helvetica Neue" w:cs="Helvetica Neue"/>
          <w:color w:val="233447"/>
          <w:sz w:val="23"/>
        </w:rPr>
        <w:t>This boundary lets the three efforts reinforce one another without allowing a payout formula or an AI score to redefine the simulation evidence. It also matches the current roadmap: Sprint 3 is closing the expedition contract and readability gaps; build and species calibration follow in Sprint 4; player comprehension follows in Sprint 5; production settlement and the first persistent Genome unlock remain Sprint 6 work. Predictive AI feature F20 stays on hold until the core loop, economy, and metric meaning are stable. [1][2]</w:t>
      </w:r>
    </w:p>
    <w:p>
      <w:pPr>
        <w:pStyle w:val="Heading2"/>
        <w:keepNext/>
        <w:keepLines/>
        <w:spacing w:before="160" w:after="140" w:line="240" w:lineRule="auto"/>
        <w:ind w:left="0" w:firstLine="0"/>
      </w:pPr>
      <w:r>
        <w:rPr>
          <w:rFonts w:ascii="Helvetica Neue" w:hAnsi="Helvetica Neue" w:eastAsia="Helvetica Neue" w:cs="Helvetica Neue"/>
          <w:b/>
          <w:color w:val="000000"/>
          <w:sz w:val="23"/>
        </w:rPr>
        <w:t>Goals and non goals</w:t>
      </w:r>
    </w:p>
    <w:tbl>
      <w:tblPr>
        <w:tblW w:type="auto" w:w="0"/>
        <w:jc w:val="center"/>
        <w:tblLayout w:type="fixed"/>
        <w:tblLook w:firstColumn="1" w:firstRow="1" w:lastColumn="0" w:lastRow="0" w:noHBand="0" w:noVBand="1" w:val="04A0"/>
      </w:tblPr>
      <w:tblGrid>
        <w:gridCol w:w="5112"/>
        <w:gridCol w:w="5112"/>
      </w:tblGrid>
      <w:tr>
        <w:trPr>
          <w:tblHeader w:val="1"/>
          <w:cantSplit/>
        </w:trPr>
        <w:tc>
          <w:tcPr>
            <w:tcW w:type="dxa" w:w="5112"/>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20"/>
              </w:rPr>
              <w:t>Goals</w:t>
            </w:r>
          </w:p>
        </w:tc>
        <w:tc>
          <w:tcPr>
            <w:tcW w:type="dxa" w:w="5112"/>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20"/>
              </w:rPr>
              <w:t>Non goals</w:t>
            </w:r>
          </w:p>
        </w:tc>
      </w:tr>
      <w:tr>
        <w:trPr>
          <w:cantSplit/>
        </w:trPr>
        <w:tc>
          <w:tcPr>
            <w:tcW w:type="dxa" w:w="511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20"/>
              </w:rPr>
              <w:t>Keep one trustworthy source for simulation facts and metric validity.</w:t>
            </w:r>
          </w:p>
        </w:tc>
        <w:tc>
          <w:tcPr>
            <w:tcW w:type="dxa" w:w="511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20"/>
              </w:rPr>
              <w:t>Choose a final payout formula in this meeting.</w:t>
            </w:r>
          </w:p>
        </w:tc>
      </w:tr>
      <w:tr>
        <w:trPr>
          <w:cantSplit/>
        </w:trPr>
        <w:tc>
          <w:tcPr>
            <w:tcW w:type="dxa" w:w="511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20"/>
              </w:rPr>
              <w:t>Make currency valuation versioned, replayable, and replaceable without changing historical reports.</w:t>
            </w:r>
          </w:p>
        </w:tc>
        <w:tc>
          <w:tcPr>
            <w:tcW w:type="dxa" w:w="511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20"/>
              </w:rPr>
              <w:t>Turn APS, AHS, RFS, or final population into an overall species rating.</w:t>
            </w:r>
          </w:p>
        </w:tc>
      </w:tr>
      <w:tr>
        <w:trPr>
          <w:cantSplit/>
        </w:trPr>
        <w:tc>
          <w:tcPr>
            <w:tcW w:type="dxa" w:w="511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20"/>
              </w:rPr>
              <w:t>Give upgrade authors a matched-seed evidence loop for prediction, design, and balance.</w:t>
            </w:r>
          </w:p>
        </w:tc>
        <w:tc>
          <w:tcPr>
            <w:tcW w:type="dxa" w:w="511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20"/>
              </w:rPr>
              <w:t>Reopen P3 or claim generalized predictive capability from bounded experiments.</w:t>
            </w:r>
          </w:p>
        </w:tc>
      </w:tr>
      <w:tr>
        <w:trPr>
          <w:cantSplit/>
        </w:trPr>
        <w:tc>
          <w:tcPr>
            <w:tcW w:type="dxa" w:w="511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20"/>
              </w:rPr>
              <w:t>Define the gate for one future P4 design-translation experiment.</w:t>
            </w:r>
          </w:p>
        </w:tc>
        <w:tc>
          <w:tcPr>
            <w:tcW w:type="dxa" w:w="511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20"/>
              </w:rPr>
              <w:t>Implement production Genome effects, costs, settlement, or persistence ahead of their roadmap gates.</w:t>
            </w:r>
          </w:p>
        </w:tc>
      </w:tr>
    </w:tbl>
    <w:p>
      <w:pPr>
        <w:keepNext w:val="0"/>
        <w:keepLines w:val="0"/>
        <w:spacing w:before="0" w:after="80" w:line="240" w:lineRule="auto"/>
        <w:ind w:left="0" w:firstLine="0"/>
      </w:pPr>
    </w:p>
    <w:p>
      <w:pPr>
        <w:pStyle w:val="Heading2"/>
        <w:keepNext/>
        <w:keepLines/>
        <w:spacing w:before="160" w:after="140" w:line="240" w:lineRule="auto"/>
        <w:ind w:left="0" w:firstLine="0"/>
      </w:pPr>
      <w:r>
        <w:rPr>
          <w:rFonts w:ascii="Helvetica Neue" w:hAnsi="Helvetica Neue" w:eastAsia="Helvetica Neue" w:cs="Helvetica Neue"/>
          <w:b/>
          <w:color w:val="000000"/>
          <w:sz w:val="23"/>
        </w:rPr>
        <w:t>Decisions requested</w:t>
      </w:r>
    </w:p>
    <w:p>
      <w:pPr>
        <w:keepNext w:val="0"/>
        <w:keepLines/>
        <w:spacing w:before="0" w:after="60" w:line="259" w:lineRule="auto"/>
        <w:ind w:left="374" w:hanging="288"/>
      </w:pPr>
      <w:r>
        <w:rPr>
          <w:rFonts w:ascii="Helvetica Neue" w:hAnsi="Helvetica Neue" w:eastAsia="Helvetica Neue" w:cs="Helvetica Neue"/>
          <w:color w:val="233447"/>
          <w:sz w:val="21"/>
        </w:rPr>
        <w:t>1. Adopt the four-layer boundary: measurement, valuation, prediction, and human decision.</w:t>
      </w:r>
    </w:p>
    <w:p>
      <w:pPr>
        <w:keepNext w:val="0"/>
        <w:keepLines/>
        <w:spacing w:before="0" w:after="60" w:line="259" w:lineRule="auto"/>
        <w:ind w:left="374" w:hanging="288"/>
      </w:pPr>
      <w:r>
        <w:rPr>
          <w:rFonts w:ascii="Helvetica Neue" w:hAnsi="Helvetica Neue" w:eastAsia="Helvetica Neue" w:cs="Helvetica Neue"/>
          <w:color w:val="233447"/>
          <w:sz w:val="21"/>
        </w:rPr>
        <w:t>2. Authorize a small contract package before economy tuning: metric definitions, a currency-policy-v1 interface, a predator dictionary, and a historical EX-007 erratum.</w:t>
      </w:r>
    </w:p>
    <w:p>
      <w:pPr>
        <w:keepNext w:val="0"/>
        <w:keepLines/>
        <w:spacing w:before="0" w:after="60" w:line="259" w:lineRule="auto"/>
        <w:ind w:left="374" w:hanging="288"/>
      </w:pPr>
      <w:r>
        <w:rPr>
          <w:rFonts w:ascii="Helvetica Neue" w:hAnsi="Helvetica Neue" w:eastAsia="Helvetica Neue" w:cs="Helvetica Neue"/>
          <w:color w:val="233447"/>
          <w:sz w:val="21"/>
        </w:rPr>
        <w:t>3. Keep survivor-count currency as prototype plumbing only until a Forest Edge reference panel is approved and candidate policies are compared offline.</w:t>
      </w:r>
    </w:p>
    <w:p>
      <w:pPr>
        <w:keepNext w:val="0"/>
        <w:keepLines/>
        <w:spacing w:before="0" w:after="60" w:line="259" w:lineRule="auto"/>
        <w:ind w:left="374" w:hanging="288"/>
      </w:pPr>
      <w:r>
        <w:rPr>
          <w:rFonts w:ascii="Helvetica Neue" w:hAnsi="Helvetica Neue" w:eastAsia="Helvetica Neue" w:cs="Helvetica Neue"/>
          <w:color w:val="233447"/>
          <w:sz w:val="21"/>
        </w:rPr>
        <w:t>4. Keep F20 paused during Sprint 3; after the contract gate, either select one bounded P4 translation question or explicitly continue the pause.</w:t>
      </w:r>
    </w:p>
    <w:p>
      <w:pPr>
        <w:pStyle w:val="Heading1"/>
        <w:keepNext/>
        <w:keepLines/>
        <w:spacing w:before="60" w:after="200" w:line="240" w:lineRule="auto"/>
        <w:ind w:left="0" w:firstLine="0"/>
        <w:pageBreakBefore w:val="1"/>
      </w:pPr>
      <w:r>
        <w:rPr>
          <w:rFonts w:ascii="Helvetica Neue" w:hAnsi="Helvetica Neue" w:eastAsia="Helvetica Neue" w:cs="Helvetica Neue"/>
          <w:b/>
          <w:color w:val="000000"/>
          <w:sz w:val="36"/>
        </w:rPr>
        <w:t>2 Roadmap position</w:t>
      </w:r>
    </w:p>
    <w:p>
      <w:pPr>
        <w:keepNext w:val="0"/>
        <w:keepLines w:val="0"/>
        <w:spacing w:before="0" w:after="160" w:line="276" w:lineRule="auto"/>
        <w:ind w:left="0" w:firstLine="0"/>
      </w:pPr>
      <w:r>
        <w:rPr>
          <w:rFonts w:ascii="Helvetica Neue" w:hAnsi="Helvetica Neue" w:eastAsia="Helvetica Neue" w:cs="Helvetica Neue"/>
          <w:color w:val="233447"/>
          <w:sz w:val="23"/>
        </w:rPr>
        <w:t>The work is technically connected but scheduled across different gates. The measurement foundation already exists. The economic meaning, player comprehension, and persistent Genome loop do not. Treating those as separate readiness states prevents an implemented field from being mistaken for an approved game rule.</w:t>
      </w:r>
    </w:p>
    <w:tbl>
      <w:tblPr>
        <w:tblW w:type="auto" w:w="0"/>
        <w:jc w:val="center"/>
        <w:tblLayout w:type="fixed"/>
        <w:tblLook w:firstColumn="1" w:firstRow="1" w:lastColumn="0" w:lastRow="0" w:noHBand="0" w:noVBand="1" w:val="04A0"/>
      </w:tblPr>
      <w:tblGrid>
        <w:gridCol w:w="2556"/>
        <w:gridCol w:w="2556"/>
        <w:gridCol w:w="2556"/>
        <w:gridCol w:w="2556"/>
      </w:tblGrid>
      <w:tr>
        <w:trPr>
          <w:tblHeader w:val="1"/>
          <w:cantSplit/>
        </w:trPr>
        <w:tc>
          <w:tcPr>
            <w:tcW w:type="dxa" w:w="1800"/>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Workstream</w:t>
            </w:r>
          </w:p>
        </w:tc>
        <w:tc>
          <w:tcPr>
            <w:tcW w:type="dxa" w:w="2664"/>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Current state</w:t>
            </w:r>
          </w:p>
        </w:tc>
        <w:tc>
          <w:tcPr>
            <w:tcW w:type="dxa" w:w="2952"/>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Role in this brief</w:t>
            </w:r>
          </w:p>
        </w:tc>
        <w:tc>
          <w:tcPr>
            <w:tcW w:type="dxa" w:w="2808"/>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Next gate</w:t>
            </w:r>
          </w:p>
        </w:tc>
      </w:tr>
      <w:tr>
        <w:trPr>
          <w:cantSplit/>
        </w:trPr>
        <w:tc>
          <w:tcPr>
            <w:tcW w:type="dxa" w:w="180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9"/>
              </w:rPr>
              <w:t>Species Stat Line</w:t>
            </w:r>
          </w:p>
        </w:tc>
        <w:tc>
          <w:tcPr>
            <w:tcW w:type="dxa" w:w="266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Implemented role-specific calculation and export paths</w:t>
            </w:r>
          </w:p>
        </w:tc>
        <w:tc>
          <w:tcPr>
            <w:tcW w:type="dxa" w:w="295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Measurement authority</w:t>
            </w:r>
          </w:p>
        </w:tc>
        <w:tc>
          <w:tcPr>
            <w:tcW w:type="dxa" w:w="280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Freeze the metrics used by currency and forecasts</w:t>
            </w:r>
          </w:p>
        </w:tc>
      </w:tr>
      <w:tr>
        <w:trPr>
          <w:cantSplit/>
        </w:trPr>
        <w:tc>
          <w:tcPr>
            <w:tcW w:type="dxa" w:w="180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9"/>
              </w:rPr>
              <w:t>Scientific-data currency</w:t>
            </w:r>
          </w:p>
        </w:tc>
        <w:tc>
          <w:tcPr>
            <w:tcW w:type="dxa" w:w="266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Approved direction; survivor-count reward is prototype</w:t>
            </w:r>
          </w:p>
        </w:tc>
        <w:tc>
          <w:tcPr>
            <w:tcW w:type="dxa" w:w="295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Human-authored valuation policy</w:t>
            </w:r>
          </w:p>
        </w:tc>
        <w:tc>
          <w:tcPr>
            <w:tcW w:type="dxa" w:w="280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Approve reward and settlement contract</w:t>
            </w:r>
          </w:p>
        </w:tc>
      </w:tr>
      <w:tr>
        <w:trPr>
          <w:cantSplit/>
        </w:trPr>
        <w:tc>
          <w:tcPr>
            <w:tcW w:type="dxa" w:w="180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9"/>
              </w:rPr>
              <w:t>Upgrade design and balance</w:t>
            </w:r>
          </w:p>
        </w:tc>
        <w:tc>
          <w:tcPr>
            <w:tcW w:type="dxa" w:w="266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Mutation foundation exists; broader promotion review remains</w:t>
            </w:r>
          </w:p>
        </w:tc>
        <w:tc>
          <w:tcPr>
            <w:tcW w:type="dxa" w:w="295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Uses matched evidence to author tradeoffs and costs</w:t>
            </w:r>
          </w:p>
        </w:tc>
        <w:tc>
          <w:tcPr>
            <w:tcW w:type="dxa" w:w="280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Forest Edge reference panel and S4 co-design</w:t>
            </w:r>
          </w:p>
        </w:tc>
      </w:tr>
      <w:tr>
        <w:trPr>
          <w:cantSplit/>
        </w:trPr>
        <w:tc>
          <w:tcPr>
            <w:tcW w:type="dxa" w:w="180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9"/>
              </w:rPr>
              <w:t>Predictive AI</w:t>
            </w:r>
          </w:p>
        </w:tc>
        <w:tc>
          <w:tcPr>
            <w:tcW w:type="dxa" w:w="266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P0-P3 bounded complete; P4-P6 not started</w:t>
            </w:r>
          </w:p>
        </w:tc>
        <w:tc>
          <w:tcPr>
            <w:tcW w:type="dxa" w:w="295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Advisory forecast and diagnosis</w:t>
            </w:r>
          </w:p>
        </w:tc>
        <w:tc>
          <w:tcPr>
            <w:tcW w:type="dxa" w:w="280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One new human-owned P4 contract</w:t>
            </w:r>
          </w:p>
        </w:tc>
      </w:tr>
      <w:tr>
        <w:trPr>
          <w:cantSplit/>
        </w:trPr>
        <w:tc>
          <w:tcPr>
            <w:tcW w:type="dxa" w:w="180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9"/>
              </w:rPr>
              <w:t>Genome progression</w:t>
            </w:r>
          </w:p>
        </w:tc>
        <w:tc>
          <w:tcPr>
            <w:tcW w:type="dxa" w:w="266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Identity, profile snapshot, catalog, and UI foundation exist</w:t>
            </w:r>
          </w:p>
        </w:tc>
        <w:tc>
          <w:tcPr>
            <w:tcW w:type="dxa" w:w="295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Later consumer of approved settlement and balance</w:t>
            </w:r>
          </w:p>
        </w:tc>
        <w:tc>
          <w:tcPr>
            <w:tcW w:type="dxa" w:w="280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S6 persistent unlock and activation</w:t>
            </w:r>
          </w:p>
        </w:tc>
      </w:tr>
    </w:tbl>
    <w:p>
      <w:pPr>
        <w:keepNext w:val="0"/>
        <w:keepLines w:val="0"/>
        <w:spacing w:before="0" w:after="80" w:line="240" w:lineRule="auto"/>
        <w:ind w:left="0" w:firstLine="0"/>
      </w:pPr>
    </w:p>
    <w:p>
      <w:pPr>
        <w:pStyle w:val="Heading2"/>
        <w:keepNext/>
        <w:keepLines/>
        <w:spacing w:before="160" w:after="140" w:line="240" w:lineRule="auto"/>
        <w:ind w:left="0" w:firstLine="0"/>
      </w:pPr>
      <w:r>
        <w:rPr>
          <w:rFonts w:ascii="Helvetica Neue" w:hAnsi="Helvetica Neue" w:eastAsia="Helvetica Neue" w:cs="Helvetica Neue"/>
          <w:b/>
          <w:color w:val="000000"/>
          <w:sz w:val="23"/>
        </w:rPr>
        <w:t>What is already implemented</w:t>
      </w:r>
    </w:p>
    <w:p>
      <w:pPr>
        <w:keepNext w:val="0"/>
        <w:keepLines/>
        <w:spacing w:before="0" w:after="60" w:line="259" w:lineRule="auto"/>
        <w:ind w:left="374" w:hanging="288"/>
      </w:pPr>
      <w:r>
        <w:rPr>
          <w:rFonts w:ascii="Helvetica Neue" w:hAnsi="Helvetica Neue" w:eastAsia="Helvetica Neue" w:cs="Helvetica Neue"/>
          <w:color w:val="233447"/>
          <w:sz w:val="21"/>
        </w:rPr>
        <w:t>- Herbivore and predator Stat Lines use shared domain calculations for game display and export; phase and final windows are separate in the continued-world runtime. [4][5]</w:t>
      </w:r>
    </w:p>
    <w:p>
      <w:pPr>
        <w:keepNext w:val="0"/>
        <w:keepLines/>
        <w:spacing w:before="0" w:after="60" w:line="259" w:lineRule="auto"/>
        <w:ind w:left="374" w:hanging="288"/>
      </w:pPr>
      <w:r>
        <w:rPr>
          <w:rFonts w:ascii="Helvetica Neue" w:hAnsi="Helvetica Neue" w:eastAsia="Helvetica Neue" w:cs="Helvetica Neue"/>
          <w:color w:val="233447"/>
          <w:sz w:val="21"/>
        </w:rPr>
        <w:t>- The run result carries player population and currency earned, and the preview applies that value at phase boundaries and terminal completion. [10]</w:t>
      </w:r>
    </w:p>
    <w:p>
      <w:pPr>
        <w:keepNext w:val="0"/>
        <w:keepLines/>
        <w:spacing w:before="0" w:after="60" w:line="259" w:lineRule="auto"/>
        <w:ind w:left="374" w:hanging="288"/>
      </w:pPr>
      <w:r>
        <w:rPr>
          <w:rFonts w:ascii="Helvetica Neue" w:hAnsi="Helvetica Neue" w:eastAsia="Helvetica Neue" w:cs="Helvetica Neue"/>
          <w:color w:val="233447"/>
          <w:sz w:val="21"/>
        </w:rPr>
        <w:t>- The current factory sets currency earned equal to the surviving player population. This proves the reward path, not a validated economy. [3][10]</w:t>
      </w:r>
    </w:p>
    <w:p>
      <w:pPr>
        <w:keepNext w:val="0"/>
        <w:keepLines/>
        <w:spacing w:before="0" w:after="60" w:line="259" w:lineRule="auto"/>
        <w:ind w:left="374" w:hanging="288"/>
      </w:pPr>
      <w:r>
        <w:rPr>
          <w:rFonts w:ascii="Helvetica Neue" w:hAnsi="Helvetica Neue" w:eastAsia="Helvetica Neue" w:cs="Helvetica Neue"/>
          <w:color w:val="233447"/>
          <w:sz w:val="21"/>
        </w:rPr>
        <w:t>- The Genome identity, per-species profile, immutable launch snapshot, catalog, and Gene Lab display foundation are already recorded as complete. Production content, actions, costs, and persistence remain later work. [1][2]</w:t>
      </w:r>
    </w:p>
    <w:p>
      <w:pPr>
        <w:pStyle w:val="Heading2"/>
        <w:keepNext/>
        <w:keepLines/>
        <w:spacing w:before="160" w:after="140" w:line="240" w:lineRule="auto"/>
        <w:ind w:left="0" w:firstLine="0"/>
      </w:pPr>
      <w:r>
        <w:rPr>
          <w:rFonts w:ascii="Helvetica Neue" w:hAnsi="Helvetica Neue" w:eastAsia="Helvetica Neue" w:cs="Helvetica Neue"/>
          <w:b/>
          <w:color w:val="000000"/>
          <w:sz w:val="23"/>
        </w:rPr>
        <w:t>Readiness judgment</w:t>
      </w:r>
    </w:p>
    <w:p>
      <w:pPr>
        <w:keepNext w:val="0"/>
        <w:keepLines/>
        <w:spacing w:before="0" w:after="0" w:line="276" w:lineRule="auto"/>
        <w:ind w:left="0" w:firstLine="0"/>
      </w:pPr>
      <w:r>
        <w:rPr>
          <w:rFonts w:ascii="Helvetica Neue" w:hAnsi="Helvetica Neue" w:eastAsia="Helvetica Neue" w:cs="Helvetica Neue"/>
          <w:b/>
          <w:color w:val="233447"/>
          <w:sz w:val="23"/>
        </w:rPr>
        <w:t>The project is ready</w:t>
      </w:r>
      <w:r>
        <w:rPr>
          <w:rFonts w:ascii="Helvetica Neue" w:hAnsi="Helvetica Neue" w:eastAsia="Helvetica Neue" w:cs="Helvetica Neue"/>
          <w:color w:val="233447"/>
          <w:sz w:val="23"/>
        </w:rPr>
        <w:t xml:space="preserve"> to define and test policy contracts against existing reports. It is not ready to lock final earning rates, use composite Stat Line scores as payout multipliers, or promote Predictive AI into production design authority.</w:t>
      </w:r>
    </w:p>
    <w:p>
      <w:pPr>
        <w:pStyle w:val="Heading1"/>
        <w:keepNext/>
        <w:keepLines/>
        <w:spacing w:before="60" w:after="200" w:line="240" w:lineRule="auto"/>
        <w:ind w:left="0" w:firstLine="0"/>
        <w:pageBreakBefore w:val="1"/>
      </w:pPr>
      <w:r>
        <w:rPr>
          <w:rFonts w:ascii="Helvetica Neue" w:hAnsi="Helvetica Neue" w:eastAsia="Helvetica Neue" w:cs="Helvetica Neue"/>
          <w:b/>
          <w:color w:val="000000"/>
          <w:sz w:val="36"/>
        </w:rPr>
        <w:t>3 Stat Line and currency</w:t>
      </w:r>
    </w:p>
    <w:p>
      <w:pPr>
        <w:keepNext w:val="0"/>
        <w:keepLines w:val="0"/>
        <w:spacing w:before="0" w:after="160" w:line="276" w:lineRule="auto"/>
        <w:ind w:left="0" w:firstLine="0"/>
      </w:pPr>
      <w:r>
        <w:rPr>
          <w:rFonts w:ascii="Helvetica Neue" w:hAnsi="Helvetica Neue" w:eastAsia="Helvetica Neue" w:cs="Helvetica Neue"/>
          <w:color w:val="233447"/>
          <w:sz w:val="23"/>
        </w:rPr>
        <w:t>The Stat Line is most valuable when it remains descriptive. It tells designers what happened, over which window, with which inputs, and whether a derived value is valid. Currency is prescriptive: it decides which observations deserve reward and how much. The policy can read immutable Stat Line evidence, but it must not change metric meaning or overwrite a report.</w:t>
      </w:r>
    </w:p>
    <w:tbl>
      <w:tblPr>
        <w:tblW w:type="auto" w:w="0"/>
        <w:jc w:val="center"/>
        <w:tblLayout w:type="fixed"/>
        <w:tblLook w:firstColumn="1" w:firstRow="1" w:lastColumn="0" w:lastRow="0" w:noHBand="0" w:noVBand="1" w:val="04A0"/>
      </w:tblPr>
      <w:tblGrid>
        <w:gridCol w:w="2556"/>
        <w:gridCol w:w="2556"/>
        <w:gridCol w:w="2556"/>
        <w:gridCol w:w="2556"/>
      </w:tblGrid>
      <w:tr>
        <w:trPr>
          <w:tblHeader w:val="1"/>
          <w:cantSplit/>
        </w:trPr>
        <w:tc>
          <w:tcPr>
            <w:tcW w:type="dxa" w:w="1728"/>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9"/>
              </w:rPr>
              <w:t>Layer</w:t>
            </w:r>
          </w:p>
        </w:tc>
        <w:tc>
          <w:tcPr>
            <w:tcW w:type="dxa" w:w="2664"/>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9"/>
              </w:rPr>
              <w:t>Question answered</w:t>
            </w:r>
          </w:p>
        </w:tc>
        <w:tc>
          <w:tcPr>
            <w:tcW w:type="dxa" w:w="3024"/>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9"/>
              </w:rPr>
              <w:t>Owned output</w:t>
            </w:r>
          </w:p>
        </w:tc>
        <w:tc>
          <w:tcPr>
            <w:tcW w:type="dxa" w:w="2808"/>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9"/>
              </w:rPr>
              <w:t>Must not become</w:t>
            </w:r>
          </w:p>
        </w:tc>
      </w:tr>
      <w:tr>
        <w:trPr>
          <w:cantSplit/>
        </w:trPr>
        <w:tc>
          <w:tcPr>
            <w:tcW w:type="dxa" w:w="172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9"/>
              </w:rPr>
              <w:t>Raw evidence</w:t>
            </w:r>
          </w:p>
        </w:tc>
        <w:tc>
          <w:tcPr>
            <w:tcW w:type="dxa" w:w="266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What events and counts occurred?</w:t>
            </w:r>
          </w:p>
        </w:tc>
        <w:tc>
          <w:tcPr>
            <w:tcW w:type="dxa" w:w="302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Deaths, births, encounters, attempts, populations</w:t>
            </w:r>
          </w:p>
        </w:tc>
        <w:tc>
          <w:tcPr>
            <w:tcW w:type="dxa" w:w="280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A reward decision</w:t>
            </w:r>
          </w:p>
        </w:tc>
      </w:tr>
      <w:tr>
        <w:trPr>
          <w:cantSplit/>
        </w:trPr>
        <w:tc>
          <w:tcPr>
            <w:tcW w:type="dxa" w:w="172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9"/>
              </w:rPr>
              <w:t>Derived diagnostics</w:t>
            </w:r>
          </w:p>
        </w:tc>
        <w:tc>
          <w:tcPr>
            <w:tcW w:type="dxa" w:w="266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How should related facts be summarized?</w:t>
            </w:r>
          </w:p>
        </w:tc>
        <w:tc>
          <w:tcPr>
            <w:tcW w:type="dxa" w:w="302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Ratios, composites, and validity states</w:t>
            </w:r>
          </w:p>
        </w:tc>
        <w:tc>
          <w:tcPr>
            <w:tcW w:type="dxa" w:w="280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A universal quality score</w:t>
            </w:r>
          </w:p>
        </w:tc>
      </w:tr>
      <w:tr>
        <w:trPr>
          <w:cantSplit/>
        </w:trPr>
        <w:tc>
          <w:tcPr>
            <w:tcW w:type="dxa" w:w="172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9"/>
              </w:rPr>
              <w:t>Currency policy</w:t>
            </w:r>
          </w:p>
        </w:tc>
        <w:tc>
          <w:tcPr>
            <w:tcW w:type="dxa" w:w="266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What player behavior is worth data?</w:t>
            </w:r>
          </w:p>
        </w:tc>
        <w:tc>
          <w:tcPr>
            <w:tcW w:type="dxa" w:w="302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Versioned payout with caps and settlement</w:t>
            </w:r>
          </w:p>
        </w:tc>
        <w:tc>
          <w:tcPr>
            <w:tcW w:type="dxa" w:w="280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A second metric definition</w:t>
            </w:r>
          </w:p>
        </w:tc>
      </w:tr>
      <w:tr>
        <w:trPr>
          <w:cantSplit/>
        </w:trPr>
        <w:tc>
          <w:tcPr>
            <w:tcW w:type="dxa" w:w="172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9"/>
              </w:rPr>
              <w:t>Human review</w:t>
            </w:r>
          </w:p>
        </w:tc>
        <w:tc>
          <w:tcPr>
            <w:tcW w:type="dxa" w:w="266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Is the outcome balanced and fun?</w:t>
            </w:r>
          </w:p>
        </w:tc>
        <w:tc>
          <w:tcPr>
            <w:tcW w:type="dxa" w:w="302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Accept, revise, reject, or defer</w:t>
            </w:r>
          </w:p>
        </w:tc>
        <w:tc>
          <w:tcPr>
            <w:tcW w:type="dxa" w:w="280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An automatic consequence of one number</w:t>
            </w:r>
          </w:p>
        </w:tc>
      </w:tr>
    </w:tbl>
    <w:p>
      <w:pPr>
        <w:keepNext w:val="0"/>
        <w:keepLines w:val="0"/>
        <w:spacing w:before="0" w:after="80" w:line="240" w:lineRule="auto"/>
        <w:ind w:left="0" w:firstLine="0"/>
      </w:pPr>
    </w:p>
    <w:p>
      <w:pPr>
        <w:pStyle w:val="Heading2"/>
        <w:keepNext/>
        <w:keepLines/>
        <w:spacing w:before="160" w:after="140" w:line="240" w:lineRule="auto"/>
        <w:ind w:left="0" w:firstLine="0"/>
      </w:pPr>
      <w:r>
        <w:rPr>
          <w:rFonts w:ascii="Helvetica Neue" w:hAnsi="Helvetica Neue" w:eastAsia="Helvetica Neue" w:cs="Helvetica Neue"/>
          <w:b/>
          <w:color w:val="000000"/>
          <w:sz w:val="23"/>
        </w:rPr>
        <w:t>Minimum currency policy contract</w:t>
      </w:r>
    </w:p>
    <w:p>
      <w:pPr>
        <w:keepNext w:val="0"/>
        <w:keepLines w:val="0"/>
        <w:spacing w:before="0" w:after="80" w:line="276" w:lineRule="auto"/>
        <w:ind w:left="0" w:firstLine="0"/>
      </w:pPr>
      <w:r>
        <w:rPr>
          <w:rFonts w:ascii="Helvetica Neue" w:hAnsi="Helvetica Neue" w:eastAsia="Helvetica Neue" w:cs="Helvetica Neue"/>
          <w:color w:val="233447"/>
          <w:sz w:val="23"/>
        </w:rPr>
        <w:t>A small currency-policy-v1 record should make tuning explicit and reproducible. It should contain:</w:t>
      </w:r>
    </w:p>
    <w:p>
      <w:pPr>
        <w:keepNext w:val="0"/>
        <w:keepLines/>
        <w:spacing w:before="0" w:after="60" w:line="259" w:lineRule="auto"/>
        <w:ind w:left="374" w:hanging="288"/>
      </w:pPr>
      <w:r>
        <w:rPr>
          <w:rFonts w:ascii="Helvetica Neue" w:hAnsi="Helvetica Neue" w:eastAsia="Helvetica Neue" w:cs="Helvetica Neue"/>
          <w:color w:val="233447"/>
          <w:sz w:val="21"/>
        </w:rPr>
        <w:t>- A policy ID and version tied to the ruleset, scenario, metric dictionary, and window.</w:t>
      </w:r>
    </w:p>
    <w:p>
      <w:pPr>
        <w:keepNext w:val="0"/>
        <w:keepLines/>
        <w:spacing w:before="0" w:after="60" w:line="259" w:lineRule="auto"/>
        <w:ind w:left="374" w:hanging="288"/>
      </w:pPr>
      <w:r>
        <w:rPr>
          <w:rFonts w:ascii="Helvetica Neue" w:hAnsi="Helvetica Neue" w:eastAsia="Helvetica Neue" w:cs="Helvetica Neue"/>
          <w:color w:val="233447"/>
          <w:sz w:val="21"/>
        </w:rPr>
        <w:t>- Exact metric IDs with validity, not-applicable, and role handling.</w:t>
      </w:r>
    </w:p>
    <w:p>
      <w:pPr>
        <w:keepNext w:val="0"/>
        <w:keepLines/>
        <w:spacing w:before="0" w:after="60" w:line="259" w:lineRule="auto"/>
        <w:ind w:left="374" w:hanging="288"/>
      </w:pPr>
      <w:r>
        <w:rPr>
          <w:rFonts w:ascii="Helvetica Neue" w:hAnsi="Helvetica Neue" w:eastAsia="Helvetica Neue" w:cs="Helvetica Neue"/>
          <w:color w:val="233447"/>
          <w:sz w:val="21"/>
        </w:rPr>
        <w:t>- Reward categories, thresholds, caps, diminishing returns, and discovery rules.</w:t>
      </w:r>
    </w:p>
    <w:p>
      <w:pPr>
        <w:keepNext w:val="0"/>
        <w:keepLines/>
        <w:spacing w:before="0" w:after="60" w:line="259" w:lineRule="auto"/>
        <w:ind w:left="374" w:hanging="288"/>
      </w:pPr>
      <w:r>
        <w:rPr>
          <w:rFonts w:ascii="Helvetica Neue" w:hAnsi="Helvetica Neue" w:eastAsia="Helvetica Neue" w:cs="Helvetica Neue"/>
          <w:color w:val="233447"/>
          <w:sz w:val="21"/>
        </w:rPr>
        <w:t>- Unique phase and final settlement IDs so repeated views cannot pay twice.</w:t>
      </w:r>
    </w:p>
    <w:p>
      <w:pPr>
        <w:keepNext w:val="0"/>
        <w:keepLines/>
        <w:spacing w:before="0" w:after="60" w:line="259" w:lineRule="auto"/>
        <w:ind w:left="374" w:hanging="288"/>
      </w:pPr>
      <w:r>
        <w:rPr>
          <w:rFonts w:ascii="Helvetica Neue" w:hAnsi="Helvetica Neue" w:eastAsia="Helvetica Neue" w:cs="Helvetica Neue"/>
          <w:color w:val="233447"/>
          <w:sz w:val="21"/>
        </w:rPr>
        <w:t>- A dry-run output from retained reports with no progression or simulation write.</w:t>
      </w:r>
    </w:p>
    <w:p>
      <w:pPr>
        <w:pStyle w:val="Heading2"/>
        <w:keepNext/>
        <w:keepLines/>
        <w:spacing w:before="160" w:after="140" w:line="240" w:lineRule="auto"/>
        <w:ind w:left="0" w:firstLine="0"/>
      </w:pPr>
      <w:r>
        <w:rPr>
          <w:rFonts w:ascii="Helvetica Neue" w:hAnsi="Helvetica Neue" w:eastAsia="Helvetica Neue" w:cs="Helvetica Neue"/>
          <w:b/>
          <w:color w:val="000000"/>
          <w:sz w:val="23"/>
        </w:rPr>
        <w:t>Currency design guardrails</w:t>
      </w:r>
    </w:p>
    <w:p>
      <w:pPr>
        <w:keepNext w:val="0"/>
        <w:keepLines/>
        <w:spacing w:before="0" w:after="60" w:line="259" w:lineRule="auto"/>
        <w:ind w:left="374" w:hanging="288"/>
      </w:pPr>
      <w:r>
        <w:rPr>
          <w:rFonts w:ascii="Helvetica Neue" w:hAnsi="Helvetica Neue" w:eastAsia="Helvetica Neue" w:cs="Helvetica Neue"/>
          <w:color w:val="233447"/>
          <w:sz w:val="21"/>
        </w:rPr>
        <w:t>- Do not pay raw tick count or uncapped common events.</w:t>
      </w:r>
    </w:p>
    <w:p>
      <w:pPr>
        <w:keepNext w:val="0"/>
        <w:keepLines/>
        <w:spacing w:before="0" w:after="60" w:line="259" w:lineRule="auto"/>
        <w:ind w:left="374" w:hanging="288"/>
      </w:pPr>
      <w:r>
        <w:rPr>
          <w:rFonts w:ascii="Helvetica Neue" w:hAnsi="Helvetica Neue" w:eastAsia="Helvetica Neue" w:cs="Helvetica Neue"/>
          <w:color w:val="233447"/>
          <w:sz w:val="21"/>
        </w:rPr>
        <w:t>- Do not treat final population as universally better; it needs a target band.</w:t>
      </w:r>
    </w:p>
    <w:p>
      <w:pPr>
        <w:keepNext w:val="0"/>
        <w:keepLines/>
        <w:spacing w:before="0" w:after="60" w:line="259" w:lineRule="auto"/>
        <w:ind w:left="374" w:hanging="288"/>
      </w:pPr>
      <w:r>
        <w:rPr>
          <w:rFonts w:ascii="Helvetica Neue" w:hAnsi="Helvetica Neue" w:eastAsia="Helvetica Neue" w:cs="Helvetica Neue"/>
          <w:color w:val="233447"/>
          <w:sz w:val="21"/>
        </w:rPr>
        <w:t>- Do not make APS, AHS, or RFS a direct multiplier.</w:t>
      </w:r>
    </w:p>
    <w:p>
      <w:pPr>
        <w:keepNext w:val="0"/>
        <w:keepLines/>
        <w:spacing w:before="0" w:after="60" w:line="259" w:lineRule="auto"/>
        <w:ind w:left="374" w:hanging="288"/>
      </w:pPr>
      <w:r>
        <w:rPr>
          <w:rFonts w:ascii="Helvetica Neue" w:hAnsi="Helvetica Neue" w:eastAsia="Helvetica Neue" w:cs="Helvetica Neue"/>
          <w:color w:val="233447"/>
          <w:sz w:val="21"/>
        </w:rPr>
        <w:t>- Compare candidate policies offline on the same retained seed panel.</w:t>
      </w:r>
    </w:p>
    <w:p>
      <w:pPr>
        <w:pStyle w:val="Heading2"/>
        <w:keepNext/>
        <w:keepLines/>
        <w:spacing w:before="160" w:after="140" w:line="240" w:lineRule="auto"/>
        <w:ind w:left="0" w:firstLine="0"/>
      </w:pPr>
      <w:r>
        <w:rPr>
          <w:rFonts w:ascii="Helvetica Neue" w:hAnsi="Helvetica Neue" w:eastAsia="Helvetica Neue" w:cs="Helvetica Neue"/>
          <w:b/>
          <w:color w:val="000000"/>
          <w:sz w:val="23"/>
        </w:rPr>
        <w:t>Known semantic debt</w:t>
      </w:r>
    </w:p>
    <w:p>
      <w:pPr>
        <w:keepNext w:val="0"/>
        <w:keepLines/>
        <w:spacing w:before="0" w:after="0" w:line="276" w:lineRule="auto"/>
        <w:ind w:left="0" w:firstLine="0"/>
      </w:pPr>
      <w:r>
        <w:rPr>
          <w:rFonts w:ascii="Helvetica Neue" w:hAnsi="Helvetica Neue" w:eastAsia="Helvetica Neue" w:cs="Helvetica Neue"/>
          <w:color w:val="233447"/>
          <w:sz w:val="23"/>
        </w:rPr>
        <w:t>The current machine-readable dictionary defines RFS as Replication fitness score and APS as Actual prey score. The historical EX-007 report instead labels them Resource-finding score and Activity per step. Its accepted direct-outcome findings remain bounded evidence, but those two composite interpretations should not be reused. Add a separate erratum and preserve the original package. The machine-readable dictionary is also herbivore-only; the predator contract exists in prose and should receive an equivalent versioned dictionary before cross-role consumers depend on it. [4][5][6][9]</w:t>
      </w:r>
    </w:p>
    <w:p>
      <w:pPr>
        <w:pStyle w:val="Heading1"/>
        <w:keepNext/>
        <w:keepLines/>
        <w:spacing w:before="60" w:after="260" w:line="240" w:lineRule="auto"/>
        <w:ind w:left="0" w:firstLine="0"/>
        <w:pageBreakBefore w:val="1"/>
      </w:pPr>
      <w:r>
        <w:rPr>
          <w:rFonts w:ascii="Helvetica Neue" w:hAnsi="Helvetica Neue" w:eastAsia="Helvetica Neue" w:cs="Helvetica Neue"/>
          <w:b/>
          <w:color w:val="000000"/>
          <w:sz w:val="36"/>
        </w:rPr>
        <w:t>4 Upgrade design and balance</w:t>
      </w:r>
    </w:p>
    <w:p>
      <w:pPr>
        <w:keepNext w:val="0"/>
        <w:keepLines w:val="0"/>
        <w:spacing w:before="0" w:after="160" w:line="276" w:lineRule="auto"/>
        <w:ind w:left="0" w:firstLine="0"/>
      </w:pPr>
      <w:r>
        <w:rPr>
          <w:rFonts w:ascii="Helvetica Neue" w:hAnsi="Helvetica Neue" w:eastAsia="Helvetica Neue" w:cs="Helvetica Neue"/>
          <w:color w:val="233447"/>
          <w:sz w:val="23"/>
        </w:rPr>
        <w:t>Stat Lines can make upgrade authoring more deliberate without reducing design to optimization. Their practical role is to show which tradeoff changed, where a benefit moved a cost, how variable the result is across seeds, and whether an effect survives a matched comparison. Designers still choose the desired play pattern and acceptable ecological consequences.</w:t>
      </w:r>
    </w:p>
    <w:tbl>
      <w:tblPr>
        <w:tblW w:type="auto" w:w="0"/>
        <w:jc w:val="center"/>
        <w:tblLayout w:type="fixed"/>
        <w:tblLook w:firstColumn="1" w:firstRow="1" w:lastColumn="0" w:lastRow="0" w:noHBand="0" w:noVBand="1" w:val="04A0"/>
      </w:tblPr>
      <w:tblGrid>
        <w:gridCol w:w="3408"/>
        <w:gridCol w:w="3408"/>
        <w:gridCol w:w="3408"/>
      </w:tblGrid>
      <w:tr>
        <w:trPr>
          <w:tblHeader w:val="1"/>
          <w:cantSplit/>
        </w:trPr>
        <w:tc>
          <w:tcPr>
            <w:tcW w:type="dxa" w:w="1224"/>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9"/>
              </w:rPr>
              <w:t>Step</w:t>
            </w:r>
          </w:p>
        </w:tc>
        <w:tc>
          <w:tcPr>
            <w:tcW w:type="dxa" w:w="4392"/>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9"/>
              </w:rPr>
              <w:t>Designer task</w:t>
            </w:r>
          </w:p>
        </w:tc>
        <w:tc>
          <w:tcPr>
            <w:tcW w:type="dxa" w:w="4608"/>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9"/>
              </w:rPr>
              <w:t>Evidence check</w:t>
            </w:r>
          </w:p>
        </w:tc>
      </w:tr>
      <w:tr>
        <w:trPr>
          <w:cantSplit/>
        </w:trPr>
        <w:tc>
          <w:tcPr>
            <w:tcW w:type="dxa" w:w="1224"/>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9"/>
              </w:rPr>
              <w:t>1 Intent</w:t>
            </w:r>
          </w:p>
        </w:tc>
        <w:tc>
          <w:tcPr>
            <w:tcW w:type="dxa" w:w="439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State the intended decision, benefit, cost, and species fantasy.</w:t>
            </w:r>
          </w:p>
        </w:tc>
        <w:tc>
          <w:tcPr>
            <w:tcW w:type="dxa" w:w="460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Define success and failure before the run.</w:t>
            </w:r>
          </w:p>
        </w:tc>
      </w:tr>
      <w:tr>
        <w:trPr>
          <w:cantSplit/>
        </w:trPr>
        <w:tc>
          <w:tcPr>
            <w:tcW w:type="dxa" w:w="1224"/>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9"/>
              </w:rPr>
              <w:t>2 Freeze</w:t>
            </w:r>
          </w:p>
        </w:tc>
        <w:tc>
          <w:tcPr>
            <w:tcW w:type="dxa" w:w="439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Author the upgrade, scenario, seed roles, timing, and comparison scope.</w:t>
            </w:r>
          </w:p>
        </w:tc>
        <w:tc>
          <w:tcPr>
            <w:tcW w:type="dxa" w:w="460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Capture ruleset and immutable launch snapshot.</w:t>
            </w:r>
          </w:p>
        </w:tc>
      </w:tr>
      <w:tr>
        <w:trPr>
          <w:cantSplit/>
        </w:trPr>
        <w:tc>
          <w:tcPr>
            <w:tcW w:type="dxa" w:w="1224"/>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9"/>
              </w:rPr>
              <w:t>3 Measure</w:t>
            </w:r>
          </w:p>
        </w:tc>
        <w:tc>
          <w:tcPr>
            <w:tcW w:type="dxa" w:w="439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Run baseline and variant on the same cases.</w:t>
            </w:r>
          </w:p>
        </w:tc>
        <w:tc>
          <w:tcPr>
            <w:tcW w:type="dxa" w:w="460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Use raw counts, validity states, distributions, and direct outcomes.</w:t>
            </w:r>
          </w:p>
        </w:tc>
      </w:tr>
      <w:tr>
        <w:trPr>
          <w:cantSplit/>
        </w:trPr>
        <w:tc>
          <w:tcPr>
            <w:tcW w:type="dxa" w:w="1224"/>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9"/>
              </w:rPr>
              <w:t>4 Interpret</w:t>
            </w:r>
          </w:p>
        </w:tc>
        <w:tc>
          <w:tcPr>
            <w:tcW w:type="dxa" w:w="439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Ask whether the effect is readable, viable, and ecologically acceptable.</w:t>
            </w:r>
          </w:p>
        </w:tc>
        <w:tc>
          <w:tcPr>
            <w:tcW w:type="dxa" w:w="460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Keep observed fact, inference, balance judgment, and player value separate.</w:t>
            </w:r>
          </w:p>
        </w:tc>
      </w:tr>
      <w:tr>
        <w:trPr>
          <w:cantSplit/>
        </w:trPr>
        <w:tc>
          <w:tcPr>
            <w:tcW w:type="dxa" w:w="1224"/>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9"/>
              </w:rPr>
              <w:t>5 Revise</w:t>
            </w:r>
          </w:p>
        </w:tc>
        <w:tc>
          <w:tcPr>
            <w:tcW w:type="dxa" w:w="439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Change data, costs, tradeoffs, or presentation and retest.</w:t>
            </w:r>
          </w:p>
        </w:tc>
        <w:tc>
          <w:tcPr>
            <w:tcW w:type="dxa" w:w="460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9"/>
              </w:rPr>
              <w:t>Create new evidence; do not rewrite the previous report.</w:t>
            </w:r>
          </w:p>
        </w:tc>
      </w:tr>
    </w:tbl>
    <w:p>
      <w:pPr>
        <w:keepNext w:val="0"/>
        <w:keepLines w:val="0"/>
        <w:spacing w:before="0" w:after="80" w:line="240" w:lineRule="auto"/>
        <w:ind w:left="0" w:firstLine="0"/>
      </w:pPr>
    </w:p>
    <w:p>
      <w:pPr>
        <w:pStyle w:val="Heading2"/>
        <w:keepNext/>
        <w:keepLines/>
        <w:spacing w:before="160" w:after="140" w:line="240" w:lineRule="auto"/>
        <w:ind w:left="0" w:firstLine="0"/>
      </w:pPr>
      <w:r>
        <w:rPr>
          <w:rFonts w:ascii="Helvetica Neue" w:hAnsi="Helvetica Neue" w:eastAsia="Helvetica Neue" w:cs="Helvetica Neue"/>
          <w:b/>
          <w:color w:val="000000"/>
          <w:sz w:val="23"/>
        </w:rPr>
        <w:t>Composite metric boundary</w:t>
      </w:r>
    </w:p>
    <w:tbl>
      <w:tblPr>
        <w:tblW w:type="auto" w:w="0"/>
        <w:jc w:val="center"/>
        <w:tblLayout w:type="fixed"/>
        <w:tblLook w:firstColumn="1" w:firstRow="1" w:lastColumn="0" w:lastRow="0" w:noHBand="0" w:noVBand="1" w:val="04A0"/>
      </w:tblPr>
      <w:tblGrid>
        <w:gridCol w:w="2556"/>
        <w:gridCol w:w="2556"/>
        <w:gridCol w:w="2556"/>
        <w:gridCol w:w="2556"/>
      </w:tblGrid>
      <w:tr>
        <w:trPr>
          <w:tblHeader w:val="1"/>
          <w:cantSplit/>
        </w:trPr>
        <w:tc>
          <w:tcPr>
            <w:tcW w:type="dxa" w:w="1080"/>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Metric</w:t>
            </w:r>
          </w:p>
        </w:tc>
        <w:tc>
          <w:tcPr>
            <w:tcW w:type="dxa" w:w="3168"/>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Current meaning</w:t>
            </w:r>
          </w:p>
        </w:tc>
        <w:tc>
          <w:tcPr>
            <w:tcW w:type="dxa" w:w="3384"/>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Useful for</w:t>
            </w:r>
          </w:p>
        </w:tc>
        <w:tc>
          <w:tcPr>
            <w:tcW w:type="dxa" w:w="2592"/>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Not approved for</w:t>
            </w:r>
          </w:p>
        </w:tc>
      </w:tr>
      <w:tr>
        <w:trPr>
          <w:cantSplit/>
        </w:trPr>
        <w:tc>
          <w:tcPr>
            <w:tcW w:type="dxa" w:w="108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8"/>
              </w:rPr>
              <w:t>RFS</w:t>
            </w:r>
          </w:p>
        </w:tc>
        <w:tc>
          <w:tcPr>
            <w:tcW w:type="dxa" w:w="316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Replication fitness score</w:t>
            </w:r>
          </w:p>
        </w:tc>
        <w:tc>
          <w:tcPr>
            <w:tcW w:type="dxa" w:w="338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Reading population change with birth conversion</w:t>
            </w:r>
          </w:p>
        </w:tc>
        <w:tc>
          <w:tcPr>
            <w:tcW w:type="dxa" w:w="259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Direct payout or universal fitness rank</w:t>
            </w:r>
          </w:p>
        </w:tc>
      </w:tr>
      <w:tr>
        <w:trPr>
          <w:cantSplit/>
        </w:trPr>
        <w:tc>
          <w:tcPr>
            <w:tcW w:type="dxa" w:w="108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8"/>
              </w:rPr>
              <w:t>APS</w:t>
            </w:r>
          </w:p>
        </w:tc>
        <w:tc>
          <w:tcPr>
            <w:tcW w:type="dxa" w:w="316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Actual prey score for herbivores</w:t>
            </w:r>
          </w:p>
        </w:tc>
        <w:tc>
          <w:tcPr>
            <w:tcW w:type="dxa" w:w="338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Summarizing applicable replication and survival components</w:t>
            </w:r>
          </w:p>
        </w:tc>
        <w:tc>
          <w:tcPr>
            <w:tcW w:type="dxa" w:w="259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Cross-role comparison or species verdict</w:t>
            </w:r>
          </w:p>
        </w:tc>
      </w:tr>
      <w:tr>
        <w:trPr>
          <w:cantSplit/>
        </w:trPr>
        <w:tc>
          <w:tcPr>
            <w:tcW w:type="dxa" w:w="108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8"/>
              </w:rPr>
              <w:t>AHS</w:t>
            </w:r>
          </w:p>
        </w:tc>
        <w:tc>
          <w:tcPr>
            <w:tcW w:type="dxa" w:w="316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Actual hunt score for predators</w:t>
            </w:r>
          </w:p>
        </w:tc>
        <w:tc>
          <w:tcPr>
            <w:tcW w:type="dxa" w:w="338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Summarizing hunt, replication, starvation, and crowding components</w:t>
            </w:r>
          </w:p>
        </w:tc>
        <w:tc>
          <w:tcPr>
            <w:tcW w:type="dxa" w:w="259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Pooling with APS without normalization</w:t>
            </w:r>
          </w:p>
        </w:tc>
      </w:tr>
      <w:tr>
        <w:trPr>
          <w:cantSplit/>
        </w:trPr>
        <w:tc>
          <w:tcPr>
            <w:tcW w:type="dxa" w:w="108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8"/>
              </w:rPr>
              <w:t>FPO</w:t>
            </w:r>
          </w:p>
        </w:tc>
        <w:tc>
          <w:tcPr>
            <w:tcW w:type="dxa" w:w="316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Final population in one window</w:t>
            </w:r>
          </w:p>
        </w:tc>
        <w:tc>
          <w:tcPr>
            <w:tcW w:type="dxa" w:w="338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Direct outcome and accounting reconciliation</w:t>
            </w:r>
          </w:p>
        </w:tc>
        <w:tc>
          <w:tcPr>
            <w:tcW w:type="dxa" w:w="259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Assuming that higher is always better</w:t>
            </w:r>
          </w:p>
        </w:tc>
      </w:tr>
    </w:tbl>
    <w:p>
      <w:pPr>
        <w:keepNext w:val="0"/>
        <w:keepLines w:val="0"/>
        <w:spacing w:before="0" w:after="80" w:line="240" w:lineRule="auto"/>
        <w:ind w:left="0" w:firstLine="0"/>
      </w:pPr>
    </w:p>
    <w:p>
      <w:pPr>
        <w:pStyle w:val="Heading1"/>
        <w:keepNext/>
        <w:keepLines/>
        <w:spacing w:before="60" w:after="200" w:line="240" w:lineRule="auto"/>
        <w:ind w:left="0" w:firstLine="0"/>
        <w:pageBreakBefore w:val="1"/>
      </w:pPr>
      <w:r>
        <w:rPr>
          <w:rFonts w:ascii="Helvetica Neue" w:hAnsi="Helvetica Neue" w:eastAsia="Helvetica Neue" w:cs="Helvetica Neue"/>
          <w:b/>
          <w:color w:val="000000"/>
          <w:sz w:val="36"/>
        </w:rPr>
        <w:t>5 Predictive AI research</w:t>
      </w:r>
    </w:p>
    <w:p>
      <w:pPr>
        <w:keepNext w:val="0"/>
        <w:keepLines w:val="0"/>
        <w:spacing w:before="0" w:after="160" w:line="276" w:lineRule="auto"/>
        <w:ind w:left="0" w:firstLine="0"/>
      </w:pPr>
      <w:r>
        <w:rPr>
          <w:rFonts w:ascii="Helvetica Neue" w:hAnsi="Helvetica Neue" w:eastAsia="Helvetica Neue" w:cs="Helvetica Neue"/>
          <w:color w:val="233447"/>
          <w:sz w:val="23"/>
        </w:rPr>
        <w:t>The research program asks whether deterministic simulation plus an auditable AI workflow can help a small team discover, test, explain, and promote better rules without surrendering human design authority. Its organization is intentionally evidence-first: Experiment, Run, Report, Analysis, and Human Decision are different artifacts with different owners. [7]</w:t>
      </w:r>
    </w:p>
    <w:tbl>
      <w:tblPr>
        <w:tblW w:type="auto" w:w="0"/>
        <w:jc w:val="center"/>
        <w:tblLayout w:type="fixed"/>
        <w:tblLook w:firstColumn="1" w:firstRow="1" w:lastColumn="0" w:lastRow="0" w:noHBand="0" w:noVBand="1" w:val="04A0"/>
      </w:tblPr>
      <w:tblGrid>
        <w:gridCol w:w="2556"/>
        <w:gridCol w:w="2556"/>
        <w:gridCol w:w="2556"/>
        <w:gridCol w:w="2556"/>
      </w:tblGrid>
      <w:tr>
        <w:trPr>
          <w:tblHeader w:val="1"/>
          <w:cantSplit/>
        </w:trPr>
        <w:tc>
          <w:tcPr>
            <w:tcW w:type="dxa" w:w="936"/>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Phase</w:t>
            </w:r>
          </w:p>
        </w:tc>
        <w:tc>
          <w:tcPr>
            <w:tcW w:type="dxa" w:w="1728"/>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Status</w:t>
            </w:r>
          </w:p>
        </w:tc>
        <w:tc>
          <w:tcPr>
            <w:tcW w:type="dxa" w:w="4536"/>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What it establishes</w:t>
            </w:r>
          </w:p>
        </w:tc>
        <w:tc>
          <w:tcPr>
            <w:tcW w:type="dxa" w:w="3024"/>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Promotion boundary</w:t>
            </w:r>
          </w:p>
        </w:tc>
      </w:tr>
      <w:tr>
        <w:trPr>
          <w:cantSplit/>
        </w:trPr>
        <w:tc>
          <w:tcPr>
            <w:tcW w:type="dxa" w:w="936"/>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P0</w:t>
            </w:r>
          </w:p>
        </w:tc>
        <w:tc>
          <w:tcPr>
            <w:tcW w:type="dxa" w:w="172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Complete</w:t>
            </w:r>
          </w:p>
        </w:tc>
        <w:tc>
          <w:tcPr>
            <w:tcW w:type="dxa" w:w="4536"/>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IDs, hypothesis framing, ownership, and decision protocol</w:t>
            </w:r>
          </w:p>
        </w:tc>
        <w:tc>
          <w:tcPr>
            <w:tcW w:type="dxa" w:w="302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Program can run bounded studies</w:t>
            </w:r>
          </w:p>
        </w:tc>
      </w:tr>
      <w:tr>
        <w:trPr>
          <w:cantSplit/>
        </w:trPr>
        <w:tc>
          <w:tcPr>
            <w:tcW w:type="dxa" w:w="936"/>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P1</w:t>
            </w:r>
          </w:p>
        </w:tc>
        <w:tc>
          <w:tcPr>
            <w:tcW w:type="dxa" w:w="172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Complete within bounds</w:t>
            </w:r>
          </w:p>
        </w:tc>
        <w:tc>
          <w:tcPr>
            <w:tcW w:type="dxa" w:w="4536"/>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Reproducibility, fingerprints, replay, and known telemetry limits</w:t>
            </w:r>
          </w:p>
        </w:tc>
        <w:tc>
          <w:tcPr>
            <w:tcW w:type="dxa" w:w="302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Instrument trusted only within recorded coverage</w:t>
            </w:r>
          </w:p>
        </w:tc>
      </w:tr>
      <w:tr>
        <w:trPr>
          <w:cantSplit/>
        </w:trPr>
        <w:tc>
          <w:tcPr>
            <w:tcW w:type="dxa" w:w="936"/>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P2</w:t>
            </w:r>
          </w:p>
        </w:tc>
        <w:tc>
          <w:tcPr>
            <w:tcW w:type="dxa" w:w="172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Complete within bounds</w:t>
            </w:r>
          </w:p>
        </w:tc>
        <w:tc>
          <w:tcPr>
            <w:tcW w:type="dxa" w:w="4536"/>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Evidence-backed diagnosis of a bounded ecology outcome</w:t>
            </w:r>
          </w:p>
        </w:tc>
        <w:tc>
          <w:tcPr>
            <w:tcW w:type="dxa" w:w="302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Explanation does not imply general cause</w:t>
            </w:r>
          </w:p>
        </w:tc>
      </w:tr>
      <w:tr>
        <w:trPr>
          <w:cantSplit/>
        </w:trPr>
        <w:tc>
          <w:tcPr>
            <w:tcW w:type="dxa" w:w="936"/>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P3</w:t>
            </w:r>
          </w:p>
        </w:tc>
        <w:tc>
          <w:tcPr>
            <w:tcW w:type="dxa" w:w="172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Closed as bounded</w:t>
            </w:r>
          </w:p>
        </w:tc>
        <w:tc>
          <w:tcPr>
            <w:tcW w:type="dxa" w:w="4536"/>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Forecasts, order effects, thresholds, and human approval workflow</w:t>
            </w:r>
          </w:p>
        </w:tc>
        <w:tc>
          <w:tcPr>
            <w:tcW w:type="dxa" w:w="302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No generalized predictive or balance capability</w:t>
            </w:r>
          </w:p>
        </w:tc>
      </w:tr>
      <w:tr>
        <w:trPr>
          <w:cantSplit/>
        </w:trPr>
        <w:tc>
          <w:tcPr>
            <w:tcW w:type="dxa" w:w="936"/>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P4</w:t>
            </w:r>
          </w:p>
        </w:tc>
        <w:tc>
          <w:tcPr>
            <w:tcW w:type="dxa" w:w="172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Not started</w:t>
            </w:r>
          </w:p>
        </w:tc>
        <w:tc>
          <w:tcPr>
            <w:tcW w:type="dxa" w:w="4536"/>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Translation into upgrade, event, explanation, or curator candidates</w:t>
            </w:r>
          </w:p>
        </w:tc>
        <w:tc>
          <w:tcPr>
            <w:tcW w:type="dxa" w:w="302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Needs a fresh human-owned contract</w:t>
            </w:r>
          </w:p>
        </w:tc>
      </w:tr>
      <w:tr>
        <w:trPr>
          <w:cantSplit/>
        </w:trPr>
        <w:tc>
          <w:tcPr>
            <w:tcW w:type="dxa" w:w="936"/>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P5</w:t>
            </w:r>
          </w:p>
        </w:tc>
        <w:tc>
          <w:tcPr>
            <w:tcW w:type="dxa" w:w="172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Not started</w:t>
            </w:r>
          </w:p>
        </w:tc>
        <w:tc>
          <w:tcPr>
            <w:tcW w:type="dxa" w:w="4536"/>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Repeatability across scenarios and contributors</w:t>
            </w:r>
          </w:p>
        </w:tc>
        <w:tc>
          <w:tcPr>
            <w:tcW w:type="dxa" w:w="302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No automatic promotion from P4</w:t>
            </w:r>
          </w:p>
        </w:tc>
      </w:tr>
      <w:tr>
        <w:trPr>
          <w:cantSplit/>
        </w:trPr>
        <w:tc>
          <w:tcPr>
            <w:tcW w:type="dxa" w:w="936"/>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P6</w:t>
            </w:r>
          </w:p>
        </w:tc>
        <w:tc>
          <w:tcPr>
            <w:tcW w:type="dxa" w:w="172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Not started</w:t>
            </w:r>
          </w:p>
        </w:tc>
        <w:tc>
          <w:tcPr>
            <w:tcW w:type="dxa" w:w="4536"/>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Decision on product, tooling, process, or external review</w:t>
            </w:r>
          </w:p>
        </w:tc>
        <w:tc>
          <w:tcPr>
            <w:tcW w:type="dxa" w:w="302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Production use remains a new gate</w:t>
            </w:r>
          </w:p>
        </w:tc>
      </w:tr>
    </w:tbl>
    <w:p>
      <w:pPr>
        <w:keepNext w:val="0"/>
        <w:keepLines w:val="0"/>
        <w:spacing w:before="0" w:after="80" w:line="240" w:lineRule="auto"/>
        <w:ind w:left="0" w:firstLine="0"/>
      </w:pPr>
    </w:p>
    <w:p>
      <w:pPr>
        <w:pStyle w:val="Heading2"/>
        <w:keepNext/>
        <w:keepLines/>
        <w:spacing w:before="160" w:after="140" w:line="240" w:lineRule="auto"/>
        <w:ind w:left="0" w:firstLine="0"/>
      </w:pPr>
      <w:r>
        <w:rPr>
          <w:rFonts w:ascii="Helvetica Neue" w:hAnsi="Helvetica Neue" w:eastAsia="Helvetica Neue" w:cs="Helvetica Neue"/>
          <w:b/>
          <w:color w:val="000000"/>
          <w:sz w:val="23"/>
        </w:rPr>
        <w:t>What the research can provide</w:t>
      </w:r>
    </w:p>
    <w:p>
      <w:pPr>
        <w:keepNext w:val="0"/>
        <w:keepLines/>
        <w:spacing w:before="0" w:after="60" w:line="259" w:lineRule="auto"/>
        <w:ind w:left="374" w:hanging="288"/>
      </w:pPr>
      <w:r>
        <w:rPr>
          <w:rFonts w:ascii="Helvetica Neue" w:hAnsi="Helvetica Neue" w:eastAsia="Helvetica Neue" w:cs="Helvetica Neue"/>
          <w:color w:val="233447"/>
          <w:sz w:val="21"/>
        </w:rPr>
        <w:t>- Faster evidence: track time, manual steps, reruns, review burden, and decision rate.</w:t>
      </w:r>
    </w:p>
    <w:p>
      <w:pPr>
        <w:keepNext w:val="0"/>
        <w:keepLines/>
        <w:spacing w:before="0" w:after="60" w:line="259" w:lineRule="auto"/>
        <w:ind w:left="374" w:hanging="288"/>
      </w:pPr>
      <w:r>
        <w:rPr>
          <w:rFonts w:ascii="Helvetica Neue" w:hAnsi="Helvetica Neue" w:eastAsia="Helvetica Neue" w:cs="Helvetica Neue"/>
          <w:color w:val="233447"/>
          <w:sz w:val="21"/>
        </w:rPr>
        <w:t>- Better diagnosis: cite reports, run controlled follow-ups, and measure unsupported-cause errors.</w:t>
      </w:r>
    </w:p>
    <w:p>
      <w:pPr>
        <w:keepNext w:val="0"/>
        <w:keepLines/>
        <w:spacing w:before="0" w:after="60" w:line="259" w:lineRule="auto"/>
        <w:ind w:left="374" w:hanging="288"/>
      </w:pPr>
      <w:r>
        <w:rPr>
          <w:rFonts w:ascii="Helvetica Neue" w:hAnsi="Helvetica Neue" w:eastAsia="Helvetica Neue" w:cs="Helvetica Neue"/>
          <w:color w:val="233447"/>
          <w:sz w:val="21"/>
        </w:rPr>
        <w:t>- Earlier warnings: use held-out tests, range coverage, confidence, and out-of-distribution checks.</w:t>
      </w:r>
    </w:p>
    <w:p>
      <w:pPr>
        <w:keepNext w:val="0"/>
        <w:keepLines/>
        <w:spacing w:before="0" w:after="60" w:line="259" w:lineRule="auto"/>
        <w:ind w:left="374" w:hanging="288"/>
      </w:pPr>
      <w:r>
        <w:rPr>
          <w:rFonts w:ascii="Helvetica Neue" w:hAnsi="Helvetica Neue" w:eastAsia="Helvetica Neue" w:cs="Helvetica Neue"/>
          <w:color w:val="233447"/>
          <w:sz w:val="21"/>
        </w:rPr>
        <w:t>- Clearer player explanations: translate accepted evidence and validate comprehension in playtests.</w:t>
      </w:r>
    </w:p>
    <w:p>
      <w:pPr>
        <w:pStyle w:val="Heading2"/>
        <w:keepNext/>
        <w:keepLines/>
        <w:spacing w:before="160" w:after="140" w:line="240" w:lineRule="auto"/>
        <w:ind w:left="0" w:firstLine="0"/>
      </w:pPr>
      <w:r>
        <w:rPr>
          <w:rFonts w:ascii="Helvetica Neue" w:hAnsi="Helvetica Neue" w:eastAsia="Helvetica Neue" w:cs="Helvetica Neue"/>
          <w:b/>
          <w:color w:val="000000"/>
          <w:sz w:val="23"/>
        </w:rPr>
        <w:t>Conditions before the next predictive study</w:t>
      </w:r>
    </w:p>
    <w:p>
      <w:pPr>
        <w:keepNext w:val="0"/>
        <w:keepLines/>
        <w:spacing w:before="0" w:after="0" w:line="276" w:lineRule="auto"/>
        <w:ind w:left="0" w:firstLine="0"/>
      </w:pPr>
      <w:r>
        <w:rPr>
          <w:rFonts w:ascii="Helvetica Neue" w:hAnsi="Helvetica Neue" w:eastAsia="Helvetica Neue" w:cs="Helvetica Neue"/>
          <w:color w:val="233447"/>
          <w:sz w:val="23"/>
        </w:rPr>
        <w:t>Before another confirmatory study, either close or explicitly accept the remaining evidence-hygiene gaps: versioned metric definitions, a sealed AI context manifest, a seed registry, event-level scoring, endpoint families, complete provenance, and raw-artifact retention. The roadmap adds a production gate: core loop, economy, and metric meaning must be stable enough to make the result useful. [1][7]</w:t>
      </w:r>
    </w:p>
    <w:p>
      <w:pPr>
        <w:pStyle w:val="Heading1"/>
        <w:keepNext/>
        <w:keepLines/>
        <w:spacing w:before="60" w:after="260" w:line="240" w:lineRule="auto"/>
        <w:ind w:left="0" w:firstLine="0"/>
        <w:pageBreakBefore w:val="1"/>
      </w:pPr>
      <w:r>
        <w:rPr>
          <w:rFonts w:ascii="Helvetica Neue" w:hAnsi="Helvetica Neue" w:eastAsia="Helvetica Neue" w:cs="Helvetica Neue"/>
          <w:b/>
          <w:color w:val="000000"/>
          <w:sz w:val="36"/>
        </w:rPr>
        <w:t>6 Overlap opportunity and risk</w:t>
      </w:r>
    </w:p>
    <w:p>
      <w:pPr>
        <w:keepNext w:val="0"/>
        <w:keepLines w:val="0"/>
        <w:spacing w:before="0" w:after="160" w:line="276" w:lineRule="auto"/>
        <w:ind w:left="0" w:firstLine="0"/>
      </w:pPr>
      <w:r>
        <w:rPr>
          <w:rFonts w:ascii="Helvetica Neue" w:hAnsi="Helvetica Neue" w:eastAsia="Helvetica Neue" w:cs="Helvetica Neue"/>
          <w:color w:val="233447"/>
          <w:sz w:val="23"/>
        </w:rPr>
        <w:t>The strongest overlap is shared evidence and experimental machinery. The weakest overlap should remain decision authority. Currency and Predictive AI may consume the same immutable reports, but they answer different questions and should not share one opaque score. [8]</w:t>
      </w:r>
    </w:p>
    <w:tbl>
      <w:tblPr>
        <w:tblW w:type="auto" w:w="0"/>
        <w:jc w:val="center"/>
        <w:tblLayout w:type="fixed"/>
        <w:tblLook w:firstColumn="1" w:firstRow="1" w:lastColumn="0" w:lastRow="0" w:noHBand="0" w:noVBand="1" w:val="04A0"/>
      </w:tblPr>
      <w:tblGrid>
        <w:gridCol w:w="2556"/>
        <w:gridCol w:w="2556"/>
        <w:gridCol w:w="2556"/>
        <w:gridCol w:w="2556"/>
      </w:tblGrid>
      <w:tr>
        <w:trPr>
          <w:tblHeader w:val="1"/>
          <w:cantSplit/>
        </w:trPr>
        <w:tc>
          <w:tcPr>
            <w:tcW w:type="dxa" w:w="1800"/>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Dimension</w:t>
            </w:r>
          </w:p>
        </w:tc>
        <w:tc>
          <w:tcPr>
            <w:tcW w:type="dxa" w:w="1080"/>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Overlap</w:t>
            </w:r>
          </w:p>
        </w:tc>
        <w:tc>
          <w:tcPr>
            <w:tcW w:type="dxa" w:w="4464"/>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Shared value</w:t>
            </w:r>
          </w:p>
        </w:tc>
        <w:tc>
          <w:tcPr>
            <w:tcW w:type="dxa" w:w="2880"/>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Boundary</w:t>
            </w:r>
          </w:p>
        </w:tc>
      </w:tr>
      <w:tr>
        <w:trPr>
          <w:cantSplit/>
        </w:trPr>
        <w:tc>
          <w:tcPr>
            <w:tcW w:type="dxa" w:w="180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8"/>
              </w:rPr>
              <w:t>Metrics and provenance</w:t>
            </w:r>
          </w:p>
        </w:tc>
        <w:tc>
          <w:tcPr>
            <w:tcW w:type="dxa" w:w="1080"/>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High</w:t>
            </w:r>
          </w:p>
        </w:tc>
        <w:tc>
          <w:tcPr>
            <w:tcW w:type="dxa" w:w="446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One dictionary, seed, ruleset, window, and validity contract</w:t>
            </w:r>
          </w:p>
        </w:tc>
        <w:tc>
          <w:tcPr>
            <w:tcW w:type="dxa" w:w="2880"/>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Consumers do not recalculate formulas</w:t>
            </w:r>
          </w:p>
        </w:tc>
      </w:tr>
      <w:tr>
        <w:trPr>
          <w:cantSplit/>
        </w:trPr>
        <w:tc>
          <w:tcPr>
            <w:tcW w:type="dxa" w:w="180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8"/>
              </w:rPr>
              <w:t>Batch and comparison tooling</w:t>
            </w:r>
          </w:p>
        </w:tc>
        <w:tc>
          <w:tcPr>
            <w:tcW w:type="dxa" w:w="1080"/>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High</w:t>
            </w:r>
          </w:p>
        </w:tc>
        <w:tc>
          <w:tcPr>
            <w:tcW w:type="dxa" w:w="446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Matched panels support payout tests, balance tests, and forecasts</w:t>
            </w:r>
          </w:p>
        </w:tc>
        <w:tc>
          <w:tcPr>
            <w:tcW w:type="dxa" w:w="2880"/>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Each consumer keeps separate outputs</w:t>
            </w:r>
          </w:p>
        </w:tc>
      </w:tr>
      <w:tr>
        <w:trPr>
          <w:cantSplit/>
        </w:trPr>
        <w:tc>
          <w:tcPr>
            <w:tcW w:type="dxa" w:w="180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8"/>
              </w:rPr>
              <w:t>Hypothesis formation</w:t>
            </w:r>
          </w:p>
        </w:tc>
        <w:tc>
          <w:tcPr>
            <w:tcW w:type="dxa" w:w="1080"/>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Medium</w:t>
            </w:r>
          </w:p>
        </w:tc>
        <w:tc>
          <w:tcPr>
            <w:tcW w:type="dxa" w:w="446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Prediction misses can expose missing telemetry or unclear labels</w:t>
            </w:r>
          </w:p>
        </w:tc>
        <w:tc>
          <w:tcPr>
            <w:tcW w:type="dxa" w:w="2880"/>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AI proposals need human pre-approval</w:t>
            </w:r>
          </w:p>
        </w:tc>
      </w:tr>
      <w:tr>
        <w:trPr>
          <w:cantSplit/>
        </w:trPr>
        <w:tc>
          <w:tcPr>
            <w:tcW w:type="dxa" w:w="180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8"/>
              </w:rPr>
              <w:t>Player explanation</w:t>
            </w:r>
          </w:p>
        </w:tc>
        <w:tc>
          <w:tcPr>
            <w:tcW w:type="dxa" w:w="1080"/>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Medium</w:t>
            </w:r>
          </w:p>
        </w:tc>
        <w:tc>
          <w:tcPr>
            <w:tcW w:type="dxa" w:w="446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Accepted evidence can support readable cause and effect</w:t>
            </w:r>
          </w:p>
        </w:tc>
        <w:tc>
          <w:tcPr>
            <w:tcW w:type="dxa" w:w="2880"/>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Research scores stay out of player UI</w:t>
            </w:r>
          </w:p>
        </w:tc>
      </w:tr>
      <w:tr>
        <w:trPr>
          <w:cantSplit/>
        </w:trPr>
        <w:tc>
          <w:tcPr>
            <w:tcW w:type="dxa" w:w="180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8"/>
              </w:rPr>
              <w:t>Design authority</w:t>
            </w:r>
          </w:p>
        </w:tc>
        <w:tc>
          <w:tcPr>
            <w:tcW w:type="dxa" w:w="1080"/>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Low by design</w:t>
            </w:r>
          </w:p>
        </w:tc>
        <w:tc>
          <w:tcPr>
            <w:tcW w:type="dxa" w:w="446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Evidence informs the decision</w:t>
            </w:r>
          </w:p>
        </w:tc>
        <w:tc>
          <w:tcPr>
            <w:tcW w:type="dxa" w:w="2880"/>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Humans approve balance, payout, fun, and promotion</w:t>
            </w:r>
          </w:p>
        </w:tc>
      </w:tr>
    </w:tbl>
    <w:p>
      <w:pPr>
        <w:keepNext w:val="0"/>
        <w:keepLines w:val="0"/>
        <w:spacing w:before="0" w:after="80" w:line="240" w:lineRule="auto"/>
        <w:ind w:left="0" w:firstLine="0"/>
      </w:pPr>
    </w:p>
    <w:p>
      <w:pPr>
        <w:pStyle w:val="Heading2"/>
        <w:keepNext/>
        <w:keepLines/>
        <w:spacing w:before="160" w:after="140" w:line="240" w:lineRule="auto"/>
        <w:ind w:left="0" w:firstLine="0"/>
      </w:pPr>
      <w:r>
        <w:rPr>
          <w:rFonts w:ascii="Helvetica Neue" w:hAnsi="Helvetica Neue" w:eastAsia="Helvetica Neue" w:cs="Helvetica Neue"/>
          <w:b/>
          <w:color w:val="000000"/>
          <w:sz w:val="23"/>
        </w:rPr>
        <w:t>Primary risks and controls</w:t>
      </w:r>
    </w:p>
    <w:tbl>
      <w:tblPr>
        <w:tblW w:type="auto" w:w="0"/>
        <w:jc w:val="center"/>
        <w:tblLayout w:type="fixed"/>
        <w:tblLook w:firstColumn="1" w:firstRow="1" w:lastColumn="0" w:lastRow="0" w:noHBand="0" w:noVBand="1" w:val="04A0"/>
      </w:tblPr>
      <w:tblGrid>
        <w:gridCol w:w="3408"/>
        <w:gridCol w:w="3408"/>
        <w:gridCol w:w="3408"/>
      </w:tblGrid>
      <w:tr>
        <w:trPr>
          <w:tblHeader w:val="1"/>
          <w:cantSplit/>
        </w:trPr>
        <w:tc>
          <w:tcPr>
            <w:tcW w:type="dxa" w:w="1008"/>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Priority</w:t>
            </w:r>
          </w:p>
        </w:tc>
        <w:tc>
          <w:tcPr>
            <w:tcW w:type="dxa" w:w="4608"/>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Risk</w:t>
            </w:r>
          </w:p>
        </w:tc>
        <w:tc>
          <w:tcPr>
            <w:tcW w:type="dxa" w:w="4608"/>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Smallest control</w:t>
            </w:r>
          </w:p>
        </w:tc>
      </w:tr>
      <w:tr>
        <w:trPr>
          <w:cantSplit/>
        </w:trPr>
        <w:tc>
          <w:tcPr>
            <w:tcW w:type="dxa" w:w="100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8"/>
              </w:rPr>
              <w:t>P0</w:t>
            </w:r>
          </w:p>
        </w:tc>
        <w:tc>
          <w:tcPr>
            <w:tcW w:type="dxa" w:w="460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Metric semantic drift produces official-looking but wrong scoring.</w:t>
            </w:r>
          </w:p>
        </w:tc>
        <w:tc>
          <w:tcPr>
            <w:tcW w:type="dxa" w:w="460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Version definitions; add an EX-007 erratum; reject unknown versions.</w:t>
            </w:r>
          </w:p>
        </w:tc>
      </w:tr>
      <w:tr>
        <w:trPr>
          <w:cantSplit/>
        </w:trPr>
        <w:tc>
          <w:tcPr>
            <w:tcW w:type="dxa" w:w="100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8"/>
              </w:rPr>
              <w:t>P0</w:t>
            </w:r>
          </w:p>
        </w:tc>
        <w:tc>
          <w:tcPr>
            <w:tcW w:type="dxa" w:w="460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One composite becomes a payout, species verdict, or AI success score.</w:t>
            </w:r>
          </w:p>
        </w:tc>
        <w:tc>
          <w:tcPr>
            <w:tcW w:type="dxa" w:w="460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Show raw and per-stat outcomes first; keep composites secondary.</w:t>
            </w:r>
          </w:p>
        </w:tc>
      </w:tr>
      <w:tr>
        <w:trPr>
          <w:cantSplit/>
        </w:trPr>
        <w:tc>
          <w:tcPr>
            <w:tcW w:type="dxa" w:w="100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8"/>
              </w:rPr>
              <w:t>P0</w:t>
            </w:r>
          </w:p>
        </w:tc>
        <w:tc>
          <w:tcPr>
            <w:tcW w:type="dxa" w:w="460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Policy or evaluation writes back into run state or past evidence.</w:t>
            </w:r>
          </w:p>
        </w:tc>
        <w:tc>
          <w:tcPr>
            <w:tcW w:type="dxa" w:w="460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Run consumers after completion and save separate versioned outputs.</w:t>
            </w:r>
          </w:p>
        </w:tc>
      </w:tr>
      <w:tr>
        <w:trPr>
          <w:cantSplit/>
        </w:trPr>
        <w:tc>
          <w:tcPr>
            <w:tcW w:type="dxa" w:w="100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8"/>
              </w:rPr>
              <w:t>P1</w:t>
            </w:r>
          </w:p>
        </w:tc>
        <w:tc>
          <w:tcPr>
            <w:tcW w:type="dxa" w:w="460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APS and AHS are pooled across roles without normalization.</w:t>
            </w:r>
          </w:p>
        </w:tc>
        <w:tc>
          <w:tcPr>
            <w:tcW w:type="dxa" w:w="460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Keep role-specific contracts and require an explicit comparison design.</w:t>
            </w:r>
          </w:p>
        </w:tc>
      </w:tr>
      <w:tr>
        <w:trPr>
          <w:cantSplit/>
        </w:trPr>
        <w:tc>
          <w:tcPr>
            <w:tcW w:type="dxa" w:w="100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8"/>
              </w:rPr>
              <w:t>P1</w:t>
            </w:r>
          </w:p>
        </w:tc>
        <w:tc>
          <w:tcPr>
            <w:tcW w:type="dxa" w:w="460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A reference panel is overfit and treated as general balance.</w:t>
            </w:r>
          </w:p>
        </w:tc>
        <w:tc>
          <w:tcPr>
            <w:tcW w:type="dxa" w:w="4608"/>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Rotate held-out seeds and scenarios; label valid ranges and freshness.</w:t>
            </w:r>
          </w:p>
        </w:tc>
      </w:tr>
      <w:tr>
        <w:trPr>
          <w:cantSplit/>
        </w:trPr>
        <w:tc>
          <w:tcPr>
            <w:tcW w:type="dxa" w:w="100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8"/>
              </w:rPr>
              <w:t>P2</w:t>
            </w:r>
          </w:p>
        </w:tc>
        <w:tc>
          <w:tcPr>
            <w:tcW w:type="dxa" w:w="460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Research diagnostics leak into player UI as species ratings.</w:t>
            </w:r>
          </w:p>
        </w:tc>
        <w:tc>
          <w:tcPr>
            <w:tcW w:type="dxa" w:w="4608"/>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Use only human-approved explanations in player surfaces.</w:t>
            </w:r>
          </w:p>
        </w:tc>
      </w:tr>
    </w:tbl>
    <w:p>
      <w:pPr>
        <w:keepNext w:val="0"/>
        <w:keepLines w:val="0"/>
        <w:spacing w:before="0" w:after="80" w:line="240" w:lineRule="auto"/>
        <w:ind w:left="0" w:firstLine="0"/>
      </w:pPr>
    </w:p>
    <w:p>
      <w:pPr>
        <w:pStyle w:val="Heading1"/>
        <w:keepNext/>
        <w:keepLines/>
        <w:spacing w:before="60" w:after="200" w:line="240" w:lineRule="auto"/>
        <w:ind w:left="0" w:firstLine="0"/>
        <w:pageBreakBefore w:val="1"/>
      </w:pPr>
      <w:r>
        <w:rPr>
          <w:rFonts w:ascii="Helvetica Neue" w:hAnsi="Helvetica Neue" w:eastAsia="Helvetica Neue" w:cs="Helvetica Neue"/>
          <w:b/>
          <w:color w:val="000000"/>
          <w:sz w:val="36"/>
        </w:rPr>
        <w:t>7 Combined operating model</w:t>
      </w:r>
    </w:p>
    <w:p>
      <w:pPr>
        <w:keepNext w:val="0"/>
        <w:keepLines w:val="0"/>
        <w:spacing w:before="0" w:after="160" w:line="276" w:lineRule="auto"/>
        <w:ind w:left="0" w:firstLine="0"/>
      </w:pPr>
      <w:r>
        <w:rPr>
          <w:rFonts w:ascii="Helvetica Neue" w:hAnsi="Helvetica Neue" w:eastAsia="Helvetica Neue" w:cs="Helvetica Neue"/>
          <w:color w:val="233447"/>
          <w:sz w:val="23"/>
        </w:rPr>
        <w:t>The combined model uses one immutable evidence spine and several narrow consumers. It creates leverage because every new trustworthy report can support explanation, economy calibration, upgrade review, and future prediction without duplicating the simulation formulas.</w:t>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descr="Evidence-to-decision operating model: simulation produces immutable evidence consumed separately by currency policy, Predictive AI, and player explanation before human approval." title="Evidence to decision operating model"/>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pPr>
        <w:keepNext w:val="0"/>
        <w:keepLines/>
        <w:spacing w:before="40" w:after="200" w:line="240" w:lineRule="auto"/>
        <w:ind w:left="0" w:firstLine="0"/>
      </w:pPr>
      <w:r>
        <w:rPr>
          <w:rFonts w:ascii="Helvetica Neue" w:hAnsi="Helvetica Neue" w:eastAsia="Helvetica Neue" w:cs="Helvetica Neue"/>
          <w:b/>
          <w:color w:val="082A4A"/>
          <w:sz w:val="20"/>
        </w:rPr>
        <w:t>Figure 1  Evidence to decision operating model</w:t>
      </w:r>
    </w:p>
    <w:p>
      <w:pPr>
        <w:pStyle w:val="Heading2"/>
        <w:keepNext/>
        <w:keepLines/>
        <w:spacing w:before="160" w:after="140" w:line="240" w:lineRule="auto"/>
        <w:ind w:left="0" w:firstLine="0"/>
      </w:pPr>
      <w:r>
        <w:rPr>
          <w:rFonts w:ascii="Helvetica Neue" w:hAnsi="Helvetica Neue" w:eastAsia="Helvetica Neue" w:cs="Helvetica Neue"/>
          <w:b/>
          <w:color w:val="000000"/>
          <w:sz w:val="23"/>
        </w:rPr>
        <w:t>Recommended delivery sequence</w:t>
      </w:r>
    </w:p>
    <w:tbl>
      <w:tblPr>
        <w:tblW w:type="auto" w:w="0"/>
        <w:jc w:val="center"/>
        <w:tblLayout w:type="fixed"/>
        <w:tblLook w:firstColumn="1" w:firstRow="1" w:lastColumn="0" w:lastRow="0" w:noHBand="0" w:noVBand="1" w:val="04A0"/>
      </w:tblPr>
      <w:tblGrid>
        <w:gridCol w:w="3408"/>
        <w:gridCol w:w="3408"/>
        <w:gridCol w:w="3408"/>
      </w:tblGrid>
      <w:tr>
        <w:trPr>
          <w:tblHeader w:val="1"/>
          <w:cantSplit/>
        </w:trPr>
        <w:tc>
          <w:tcPr>
            <w:tcW w:type="dxa" w:w="1368"/>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When</w:t>
            </w:r>
          </w:p>
        </w:tc>
        <w:tc>
          <w:tcPr>
            <w:tcW w:type="dxa" w:w="4824"/>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Deliverable</w:t>
            </w:r>
          </w:p>
        </w:tc>
        <w:tc>
          <w:tcPr>
            <w:tcW w:type="dxa" w:w="4032"/>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Exit evidence</w:t>
            </w:r>
          </w:p>
        </w:tc>
      </w:tr>
      <w:tr>
        <w:trPr>
          <w:cantSplit/>
        </w:trPr>
        <w:tc>
          <w:tcPr>
            <w:tcW w:type="dxa" w:w="136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Now in S3</w:t>
            </w:r>
          </w:p>
        </w:tc>
        <w:tc>
          <w:tcPr>
            <w:tcW w:type="dxa" w:w="482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Freeze consumed metric meanings; draft currency-policy-v1; add predator dictionary and EX-007 erratum.</w:t>
            </w:r>
          </w:p>
        </w:tc>
        <w:tc>
          <w:tcPr>
            <w:tcW w:type="dxa" w:w="403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Every policy input has a stable ID, window, unit, status rule, and provenance.</w:t>
            </w:r>
          </w:p>
        </w:tc>
      </w:tr>
      <w:tr>
        <w:trPr>
          <w:cantSplit/>
        </w:trPr>
        <w:tc>
          <w:tcPr>
            <w:tcW w:type="dxa" w:w="136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S4</w:t>
            </w:r>
          </w:p>
        </w:tc>
        <w:tc>
          <w:tcPr>
            <w:tcW w:type="dxa" w:w="482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Approve a Forest Edge reference panel; compare payout candidates offline; run matched-seed upgrade reviews.</w:t>
            </w:r>
          </w:p>
        </w:tc>
        <w:tc>
          <w:tcPr>
            <w:tcW w:type="dxa" w:w="403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Human decision records select or reject candidate policies and upgrade changes.</w:t>
            </w:r>
          </w:p>
        </w:tc>
      </w:tr>
      <w:tr>
        <w:trPr>
          <w:cantSplit/>
        </w:trPr>
        <w:tc>
          <w:tcPr>
            <w:tcW w:type="dxa" w:w="136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S5</w:t>
            </w:r>
          </w:p>
        </w:tc>
        <w:tc>
          <w:tcPr>
            <w:tcW w:type="dxa" w:w="482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Validate player-facing cause and effect language.</w:t>
            </w:r>
          </w:p>
        </w:tc>
        <w:tc>
          <w:tcPr>
            <w:tcW w:type="dxa" w:w="403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A comprehension playtest can identify role, pressure, selected effect, and outcome cause.</w:t>
            </w:r>
          </w:p>
        </w:tc>
      </w:tr>
      <w:tr>
        <w:trPr>
          <w:cantSplit/>
        </w:trPr>
        <w:tc>
          <w:tcPr>
            <w:tcW w:type="dxa" w:w="136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S6</w:t>
            </w:r>
          </w:p>
        </w:tc>
        <w:tc>
          <w:tcPr>
            <w:tcW w:type="dxa" w:w="482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Implement versioned settlement and the first persistent Genome unlock.</w:t>
            </w:r>
          </w:p>
        </w:tc>
        <w:tc>
          <w:tcPr>
            <w:tcW w:type="dxa" w:w="403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One Hare unlock survives restart, toggles between runs, and applies only when active.</w:t>
            </w:r>
          </w:p>
        </w:tc>
      </w:tr>
      <w:tr>
        <w:trPr>
          <w:cantSplit/>
        </w:trPr>
        <w:tc>
          <w:tcPr>
            <w:tcW w:type="dxa" w:w="136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Later gate</w:t>
            </w:r>
          </w:p>
        </w:tc>
        <w:tc>
          <w:tcPr>
            <w:tcW w:type="dxa" w:w="482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Run one P4 question, then P5 or P6 only if separately approved.</w:t>
            </w:r>
          </w:p>
        </w:tc>
        <w:tc>
          <w:tcPr>
            <w:tcW w:type="dxa" w:w="403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Evidence shows workflow value beyond one fixture before production promotion.</w:t>
            </w:r>
          </w:p>
        </w:tc>
      </w:tr>
    </w:tbl>
    <w:p>
      <w:pPr>
        <w:keepNext w:val="0"/>
        <w:keepLines w:val="0"/>
        <w:spacing w:before="0" w:after="80" w:line="240" w:lineRule="auto"/>
        <w:ind w:left="0" w:firstLine="0"/>
      </w:pPr>
    </w:p>
    <w:p>
      <w:pPr>
        <w:pStyle w:val="Heading1"/>
        <w:keepNext/>
        <w:keepLines/>
        <w:spacing w:before="60" w:after="200" w:line="240" w:lineRule="auto"/>
        <w:ind w:left="0" w:firstLine="0"/>
        <w:pageBreakBefore w:val="1"/>
      </w:pPr>
      <w:r>
        <w:rPr>
          <w:rFonts w:ascii="Helvetica Neue" w:hAnsi="Helvetica Neue" w:eastAsia="Helvetica Neue" w:cs="Helvetica Neue"/>
          <w:b/>
          <w:color w:val="000000"/>
          <w:sz w:val="36"/>
        </w:rPr>
        <w:t>8 Meeting decisions and evidence register</w:t>
      </w:r>
    </w:p>
    <w:p>
      <w:pPr>
        <w:keepNext w:val="0"/>
        <w:keepLines w:val="0"/>
        <w:spacing w:before="0" w:after="140" w:line="276" w:lineRule="auto"/>
        <w:ind w:left="0" w:firstLine="0"/>
      </w:pPr>
      <w:r>
        <w:rPr>
          <w:rFonts w:ascii="Helvetica Neue" w:hAnsi="Helvetica Neue" w:eastAsia="Helvetica Neue" w:cs="Helvetica Neue"/>
          <w:color w:val="233447"/>
          <w:sz w:val="23"/>
        </w:rPr>
        <w:t>A useful meeting outcome is a small set of explicit approvals, not a final balance model. Record each decision with its scope and the evidence it authorizes.</w:t>
      </w:r>
    </w:p>
    <w:tbl>
      <w:tblPr>
        <w:tblW w:type="auto" w:w="0"/>
        <w:jc w:val="center"/>
        <w:tblLayout w:type="fixed"/>
        <w:tblLook w:firstColumn="1" w:firstRow="1" w:lastColumn="0" w:lastRow="0" w:noHBand="0" w:noVBand="1" w:val="04A0"/>
      </w:tblPr>
      <w:tblGrid>
        <w:gridCol w:w="3408"/>
        <w:gridCol w:w="3408"/>
        <w:gridCol w:w="3408"/>
      </w:tblGrid>
      <w:tr>
        <w:trPr>
          <w:tblHeader w:val="1"/>
          <w:cantSplit/>
        </w:trPr>
        <w:tc>
          <w:tcPr>
            <w:tcW w:type="dxa" w:w="1800"/>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Decision</w:t>
            </w:r>
          </w:p>
        </w:tc>
        <w:tc>
          <w:tcPr>
            <w:tcW w:type="dxa" w:w="6120"/>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Recommended disposition</w:t>
            </w:r>
          </w:p>
        </w:tc>
        <w:tc>
          <w:tcPr>
            <w:tcW w:type="dxa" w:w="2304"/>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Owner to confirm</w:t>
            </w:r>
          </w:p>
        </w:tc>
      </w:tr>
      <w:tr>
        <w:trPr>
          <w:cantSplit/>
        </w:trPr>
        <w:tc>
          <w:tcPr>
            <w:tcW w:type="dxa" w:w="180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8"/>
              </w:rPr>
              <w:t>Operating boundary</w:t>
            </w:r>
          </w:p>
        </w:tc>
        <w:tc>
          <w:tcPr>
            <w:tcW w:type="dxa" w:w="6120"/>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Approve measurement, valuation, prediction, and human review as separate layers.</w:t>
            </w:r>
          </w:p>
        </w:tc>
        <w:tc>
          <w:tcPr>
            <w:tcW w:type="dxa" w:w="230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Josh and Sim</w:t>
            </w:r>
          </w:p>
        </w:tc>
      </w:tr>
      <w:tr>
        <w:trPr>
          <w:cantSplit/>
        </w:trPr>
        <w:tc>
          <w:tcPr>
            <w:tcW w:type="dxa" w:w="180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8"/>
              </w:rPr>
              <w:t>Metric contract work</w:t>
            </w:r>
          </w:p>
        </w:tc>
        <w:tc>
          <w:tcPr>
            <w:tcW w:type="dxa" w:w="6120"/>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Approve the small S3 package and preserve historical reports with an erratum.</w:t>
            </w:r>
          </w:p>
        </w:tc>
        <w:tc>
          <w:tcPr>
            <w:tcW w:type="dxa" w:w="230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Sim for meaning; Josh for consumers</w:t>
            </w:r>
          </w:p>
        </w:tc>
      </w:tr>
      <w:tr>
        <w:trPr>
          <w:cantSplit/>
        </w:trPr>
        <w:tc>
          <w:tcPr>
            <w:tcW w:type="dxa" w:w="180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8"/>
              </w:rPr>
              <w:t>Currency status</w:t>
            </w:r>
          </w:p>
        </w:tc>
        <w:tc>
          <w:tcPr>
            <w:tcW w:type="dxa" w:w="6120"/>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Keep survivor-count rewards as prototype plumbing until offline calibration passes.</w:t>
            </w:r>
          </w:p>
        </w:tc>
        <w:tc>
          <w:tcPr>
            <w:tcW w:type="dxa" w:w="230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Josh with Sim review</w:t>
            </w:r>
          </w:p>
        </w:tc>
      </w:tr>
      <w:tr>
        <w:trPr>
          <w:cantSplit/>
        </w:trPr>
        <w:tc>
          <w:tcPr>
            <w:tcW w:type="dxa" w:w="180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8"/>
              </w:rPr>
              <w:t>Predictive AI timing</w:t>
            </w:r>
          </w:p>
        </w:tc>
        <w:tc>
          <w:tcPr>
            <w:tcW w:type="dxa" w:w="6120"/>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Keep F20 on hold during S3; decide after the contract gate whether one P4 question earns capacity.</w:t>
            </w:r>
          </w:p>
        </w:tc>
        <w:tc>
          <w:tcPr>
            <w:tcW w:type="dxa" w:w="230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Josh and Sim</w:t>
            </w:r>
          </w:p>
        </w:tc>
      </w:tr>
      <w:tr>
        <w:trPr>
          <w:cantSplit/>
        </w:trPr>
        <w:tc>
          <w:tcPr>
            <w:tcW w:type="dxa" w:w="1800"/>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233447"/>
                <w:sz w:val="18"/>
              </w:rPr>
              <w:t>Genome dependency</w:t>
            </w:r>
          </w:p>
        </w:tc>
        <w:tc>
          <w:tcPr>
            <w:tcW w:type="dxa" w:w="6120"/>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Do not make production Genome progression depend on unapproved payout or predictive scores.</w:t>
            </w:r>
          </w:p>
        </w:tc>
        <w:tc>
          <w:tcPr>
            <w:tcW w:type="dxa" w:w="230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8"/>
              </w:rPr>
              <w:t>Josh with Sim review</w:t>
            </w:r>
          </w:p>
        </w:tc>
      </w:tr>
    </w:tbl>
    <w:p>
      <w:pPr>
        <w:keepNext w:val="0"/>
        <w:keepLines w:val="0"/>
        <w:spacing w:before="0" w:after="80" w:line="240" w:lineRule="auto"/>
        <w:ind w:left="0" w:firstLine="0"/>
      </w:pPr>
    </w:p>
    <w:p>
      <w:pPr>
        <w:pStyle w:val="Heading2"/>
        <w:keepNext/>
        <w:keepLines/>
        <w:spacing w:before="160" w:after="140" w:line="240" w:lineRule="auto"/>
        <w:ind w:left="0" w:firstLine="0"/>
      </w:pPr>
      <w:r>
        <w:rPr>
          <w:rFonts w:ascii="Helvetica Neue" w:hAnsi="Helvetica Neue" w:eastAsia="Helvetica Neue" w:cs="Helvetica Neue"/>
          <w:b/>
          <w:color w:val="000000"/>
          <w:sz w:val="23"/>
        </w:rPr>
        <w:t>Evidence boundary</w:t>
      </w:r>
    </w:p>
    <w:p>
      <w:pPr>
        <w:keepNext w:val="0"/>
        <w:keepLines/>
        <w:spacing w:before="0" w:after="160" w:line="276" w:lineRule="auto"/>
        <w:ind w:left="0" w:firstLine="0"/>
      </w:pPr>
      <w:r>
        <w:rPr>
          <w:rFonts w:ascii="Helvetica Neue" w:hAnsi="Helvetica Neue" w:eastAsia="Helvetica Neue" w:cs="Helvetica Neue"/>
          <w:color w:val="233447"/>
          <w:sz w:val="23"/>
        </w:rPr>
        <w:t>This brief reflects the current ProjectMain working-tree planning and implementation state reviewed on 17 September 2026. It does not replace the roadmap, sprint control record, formula contracts, research plan, experiment packages, or human decision records. Where a historical report conflicts with the current versioned metric dictionary, the dictionary controls new work and the historical record remains unchanged with an added erratum.</w:t>
      </w:r>
    </w:p>
    <w:p>
      <w:pPr>
        <w:pStyle w:val="Heading1"/>
        <w:keepNext/>
        <w:keepLines/>
        <w:spacing w:before="60" w:after="200" w:line="240" w:lineRule="auto"/>
        <w:ind w:left="0" w:firstLine="0"/>
        <w:pageBreakBefore w:val="1"/>
      </w:pPr>
      <w:r>
        <w:rPr>
          <w:rFonts w:ascii="Helvetica Neue" w:hAnsi="Helvetica Neue" w:eastAsia="Helvetica Neue" w:cs="Helvetica Neue"/>
          <w:b/>
          <w:color w:val="000000"/>
          <w:sz w:val="36"/>
        </w:rPr>
        <w:t>Source register</w:t>
      </w:r>
    </w:p>
    <w:tbl>
      <w:tblPr>
        <w:tblW w:type="auto" w:w="0"/>
        <w:jc w:val="center"/>
        <w:tblLayout w:type="fixed"/>
        <w:tblLook w:firstColumn="1" w:firstRow="1" w:lastColumn="0" w:lastRow="0" w:noHBand="0" w:noVBand="1" w:val="04A0"/>
      </w:tblPr>
      <w:tblGrid>
        <w:gridCol w:w="3408"/>
        <w:gridCol w:w="3408"/>
        <w:gridCol w:w="3408"/>
      </w:tblGrid>
      <w:tr>
        <w:trPr>
          <w:tblHeader w:val="1"/>
          <w:cantSplit/>
        </w:trPr>
        <w:tc>
          <w:tcPr>
            <w:tcW w:type="dxa" w:w="648"/>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No</w:t>
            </w:r>
          </w:p>
        </w:tc>
        <w:tc>
          <w:tcPr>
            <w:tcW w:type="dxa" w:w="4752"/>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Record</w:t>
            </w:r>
          </w:p>
        </w:tc>
        <w:tc>
          <w:tcPr>
            <w:tcW w:type="dxa" w:w="4824"/>
            <w:shd w:fill="082A4A"/>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color w:val="FFFFFF"/>
                <w:sz w:val="18"/>
              </w:rPr>
              <w:t>Used for</w:t>
            </w:r>
          </w:p>
        </w:tc>
      </w:tr>
      <w:tr>
        <w:trPr>
          <w:cantSplit/>
        </w:trPr>
        <w:tc>
          <w:tcPr>
            <w:tcW w:type="dxa" w:w="64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1</w:t>
            </w:r>
          </w:p>
        </w:tc>
        <w:tc>
          <w:tcPr>
            <w:tcW w:type="dxa" w:w="475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Production roadmap</w:t>
              <w:br/>
              <w:t>ROADMAP.md</w:t>
            </w:r>
          </w:p>
        </w:tc>
        <w:tc>
          <w:tcPr>
            <w:tcW w:type="dxa" w:w="482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Milestones, Sprint 4 to Sprint 7 horizon, feature status, and F20 hold.</w:t>
            </w:r>
          </w:p>
        </w:tc>
      </w:tr>
      <w:tr>
        <w:trPr>
          <w:cantSplit/>
        </w:trPr>
        <w:tc>
          <w:tcPr>
            <w:tcW w:type="dxa" w:w="64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2</w:t>
            </w:r>
          </w:p>
        </w:tc>
        <w:tc>
          <w:tcPr>
            <w:tcW w:type="dxa" w:w="475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Sprint 3 control record</w:t>
              <w:br/>
              <w:t>docs\Sprints\S3-control-record.md</w:t>
            </w:r>
          </w:p>
        </w:tc>
        <w:tc>
          <w:tcPr>
            <w:tcW w:type="dxa" w:w="482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Active scope, delivery order, Genome boundary, and no new predictive experiment.</w:t>
            </w:r>
          </w:p>
        </w:tc>
      </w:tr>
      <w:tr>
        <w:trPr>
          <w:cantSplit/>
        </w:trPr>
        <w:tc>
          <w:tcPr>
            <w:tcW w:type="dxa" w:w="64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3</w:t>
            </w:r>
          </w:p>
        </w:tc>
        <w:tc>
          <w:tcPr>
            <w:tcW w:type="dxa" w:w="475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Scientific Data Economy</w:t>
              <w:br/>
              <w:t>docs\SCIENTIFIC_DATA_ECONOMY.md</w:t>
            </w:r>
          </w:p>
        </w:tc>
        <w:tc>
          <w:tcPr>
            <w:tcW w:type="dxa" w:w="482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Approved direction, prototype survivor reward, settlement questions, and Genome dependencies.</w:t>
            </w:r>
          </w:p>
        </w:tc>
      </w:tr>
      <w:tr>
        <w:trPr>
          <w:cantSplit/>
        </w:trPr>
        <w:tc>
          <w:tcPr>
            <w:tcW w:type="dxa" w:w="64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4</w:t>
            </w:r>
          </w:p>
        </w:tc>
        <w:tc>
          <w:tcPr>
            <w:tcW w:type="dxa" w:w="475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Herbivore Stat Line contract</w:t>
              <w:br/>
              <w:t>docs\HERBIVORE_STATISTICS_VALIDATION.md</w:t>
            </w:r>
          </w:p>
        </w:tc>
        <w:tc>
          <w:tcPr>
            <w:tcW w:type="dxa" w:w="482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Formula, validity, export, evidence, and applicability boundaries.</w:t>
            </w:r>
          </w:p>
        </w:tc>
      </w:tr>
      <w:tr>
        <w:trPr>
          <w:cantSplit/>
        </w:trPr>
        <w:tc>
          <w:tcPr>
            <w:tcW w:type="dxa" w:w="64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5</w:t>
            </w:r>
          </w:p>
        </w:tc>
        <w:tc>
          <w:tcPr>
            <w:tcW w:type="dxa" w:w="475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Predator Stat Line contract</w:t>
              <w:br/>
              <w:t>docs\PREDATOR_STATISTICS_VALIDATION.md</w:t>
            </w:r>
          </w:p>
        </w:tc>
        <w:tc>
          <w:tcPr>
            <w:tcW w:type="dxa" w:w="482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Role-specific AHS formula and cross-role normalization warning.</w:t>
            </w:r>
          </w:p>
        </w:tc>
      </w:tr>
      <w:tr>
        <w:trPr>
          <w:cantSplit/>
        </w:trPr>
        <w:tc>
          <w:tcPr>
            <w:tcW w:type="dxa" w:w="64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6</w:t>
            </w:r>
          </w:p>
        </w:tc>
        <w:tc>
          <w:tcPr>
            <w:tcW w:type="dxa" w:w="475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Metric dictionary version 1</w:t>
              <w:br/>
              <w:t>docs\Research\METRIC_DICTIONARY_V1.json</w:t>
            </w:r>
          </w:p>
        </w:tc>
        <w:tc>
          <w:tcPr>
            <w:tcW w:type="dxa" w:w="482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Machine-readable herbivore metric names, units, windows, directions, and statuses.</w:t>
            </w:r>
          </w:p>
        </w:tc>
      </w:tr>
      <w:tr>
        <w:trPr>
          <w:cantSplit/>
        </w:trPr>
        <w:tc>
          <w:tcPr>
            <w:tcW w:type="dxa" w:w="64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7</w:t>
            </w:r>
          </w:p>
        </w:tc>
        <w:tc>
          <w:tcPr>
            <w:tcW w:type="dxa" w:w="475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AI-Assisted Ecology Laboratory Research Plan</w:t>
              <w:br/>
              <w:t>docs\Research\AI_ASSISTED_ECOLOGY_LAB_RESEARCH_PLAN.md</w:t>
            </w:r>
          </w:p>
        </w:tc>
        <w:tc>
          <w:tcPr>
            <w:tcW w:type="dxa" w:w="482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Hypothesis, protocol, phase gates, benefits, limits, and next-selection conditions.</w:t>
            </w:r>
          </w:p>
        </w:tc>
      </w:tr>
      <w:tr>
        <w:trPr>
          <w:cantSplit/>
        </w:trPr>
        <w:tc>
          <w:tcPr>
            <w:tcW w:type="dxa" w:w="64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8</w:t>
            </w:r>
          </w:p>
        </w:tc>
        <w:tc>
          <w:tcPr>
            <w:tcW w:type="dxa" w:w="475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Stat Line and Predictive AI concern record</w:t>
              <w:br/>
              <w:t>docs\Planning Concerns\STATLINE_PREDICTIVE_AI_CROSSOVER.md</w:t>
            </w:r>
          </w:p>
        </w:tc>
        <w:tc>
          <w:tcPr>
            <w:tcW w:type="dxa" w:w="482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Active overlap guardrails, ownership, and first-pass recommendations.</w:t>
            </w:r>
          </w:p>
        </w:tc>
      </w:tr>
      <w:tr>
        <w:trPr>
          <w:cantSplit/>
        </w:trPr>
        <w:tc>
          <w:tcPr>
            <w:tcW w:type="dxa" w:w="64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9</w:t>
            </w:r>
          </w:p>
        </w:tc>
        <w:tc>
          <w:tcPr>
            <w:tcW w:type="dxa" w:w="4752"/>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EX-007 report and analysis</w:t>
              <w:br/>
              <w:t>docs\Research\Experiments\EX-007-Predictive-Statline-Interventions</w:t>
            </w:r>
          </w:p>
        </w:tc>
        <w:tc>
          <w:tcPr>
            <w:tcW w:type="dxa" w:w="4824"/>
            <w:shd w:fill="FFFFFF"/>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Historical labels, measurement correction, direct outcomes, and bounded decision context.</w:t>
            </w:r>
          </w:p>
        </w:tc>
      </w:tr>
      <w:tr>
        <w:trPr>
          <w:cantSplit/>
        </w:trPr>
        <w:tc>
          <w:tcPr>
            <w:tcW w:type="dxa" w:w="648"/>
            <w:shd w:fill="CFE2F3"/>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center"/>
            </w:pPr>
            <w:r/>
            <w:r>
              <w:rPr>
                <w:rFonts w:ascii="Helvetica Neue" w:hAnsi="Helvetica Neue" w:eastAsia="Helvetica Neue" w:cs="Helvetica Neue"/>
                <w:b/>
                <w:color w:val="233447"/>
                <w:sz w:val="17"/>
              </w:rPr>
              <w:t>10</w:t>
            </w:r>
          </w:p>
        </w:tc>
        <w:tc>
          <w:tcPr>
            <w:tcW w:type="dxa" w:w="4752"/>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Currency implementation path</w:t>
              <w:br/>
              <w:t>SimulationRunResult.cs and SpeciesSimulationPreview.cs</w:t>
            </w:r>
          </w:p>
        </w:tc>
        <w:tc>
          <w:tcPr>
            <w:tcW w:type="dxa" w:w="4824"/>
            <w:shd w:fill="F6F9FC"/>
            <w:vAlign w:val="center"/>
            <w:tcMar>
              <w:top w:w="100" w:type="dxa"/>
              <w:start w:w="130" w:type="dxa"/>
              <w:bottom w:w="100" w:type="dxa"/>
              <w:end w:w="130" w:type="dxa"/>
            </w:tcMar>
            <w:tcBorders>
              <w:top w:val="single" w:sz="5" w:space="0" w:color="D9D9D9"/>
              <w:left w:val="single" w:sz="5" w:space="0" w:color="D9D9D9"/>
              <w:bottom w:val="single" w:sz="5" w:space="0" w:color="D9D9D9"/>
              <w:right w:val="single" w:sz="5" w:space="0" w:color="D9D9D9"/>
              <w:insideH w:val="single" w:sz="5" w:space="0" w:color="D9D9D9"/>
              <w:insideV w:val="single" w:sz="5" w:space="0" w:color="D9D9D9"/>
            </w:tcBorders>
          </w:tcPr>
          <w:p>
            <w:pPr>
              <w:keepNext w:val="0"/>
              <w:keepLines/>
              <w:spacing w:before="0" w:after="0" w:line="259" w:lineRule="auto"/>
              <w:ind w:left="0" w:firstLine="0"/>
              <w:jc w:val="left"/>
            </w:pPr>
            <w:r/>
            <w:r>
              <w:rPr>
                <w:rFonts w:ascii="Helvetica Neue" w:hAnsi="Helvetica Neue" w:eastAsia="Helvetica Neue" w:cs="Helvetica Neue"/>
                <w:b w:val="0"/>
                <w:color w:val="233447"/>
                <w:sz w:val="17"/>
              </w:rPr>
              <w:t>Current survivor-count currency assignment and phase or terminal application.</w:t>
            </w:r>
          </w:p>
        </w:tc>
      </w:tr>
    </w:tbl>
    <w:p>
      <w:pPr>
        <w:keepNext w:val="0"/>
        <w:keepLines w:val="0"/>
        <w:spacing w:before="0" w:after="80" w:line="240" w:lineRule="auto"/>
        <w:ind w:left="0" w:firstLine="0"/>
      </w:pP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CellSim | Meeting Brief</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