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EcOS team meeting record</w:t>
      </w:r>
    </w:p>
    <w:p>
      <w:pPr>
        <w:pStyle w:val="Subtitle"/>
      </w:pPr>
      <w:r>
        <w:t>October 14 2026 at 9 pm Eastern</w:t>
      </w:r>
    </w:p>
    <w:p>
      <w:r>
        <w:t>Attendees: Bevin, Chrono and Salty</w:t>
      </w:r>
    </w:p>
    <w:p>
      <w:r>
        <w:t>We agreed the next direction for journey failure, currency, simulation pacing and terrain. This record includes all nine meeting decisions, the four completed S4 card closeouts, and the new requests on EcOS Art HQ. Board status was checked again on October 14.</w:t>
      </w:r>
    </w:p>
    <w:p>
      <w:pPr>
        <w:pStyle w:val="Heading1"/>
      </w:pPr>
      <w:r>
        <w:t>Journey and currency decisions</w:t>
      </w:r>
    </w:p>
    <w:p>
      <w:pPr>
        <w:pStyle w:val="Heading2"/>
      </w:pPr>
      <w:r>
        <w:t>1 Phase passing</w:t>
      </w:r>
    </w:p>
    <w:p>
      <w:r>
        <w:t>Pass criteria will remain flexible during initial playtesting. Bev will guide the criteria and adjust them as the game develops. No fixed population total, birth count, predator-death count or kill count was selected at this meeting.</w:t>
      </w:r>
    </w:p>
    <w:p>
      <w:pPr>
        <w:pStyle w:val="Heading2"/>
      </w:pPr>
      <w:r>
        <w:t>2 Journey failure</w:t>
      </w:r>
    </w:p>
    <w:p>
      <w:r>
        <w:t>Failing a phase ends the entire journey with no cash-out. Only data earned during that failed journey is lost. Previously banked Desktop currency, data and Genome progression remain intact.</w:t>
      </w:r>
    </w:p>
    <w:p>
      <w:pPr>
        <w:pStyle w:val="Heading2"/>
      </w:pPr>
      <w:r>
        <w:t>3 Currency across the journey</w:t>
      </w:r>
    </w:p>
    <w:p>
      <w:r>
        <w:t>Field Data persists across phases for the whole journey. Other currency types will leave successful journeys and return to the Desktop for Genome upgrades. Their names, amounts and settlement rules still need to be designed. A journey shop and strategic spending in later phases are possible uses for the carried Field Data.</w:t>
      </w:r>
    </w:p>
    <w:p>
      <w:pPr>
        <w:pStyle w:val="Heading2"/>
      </w:pPr>
      <w:r>
        <w:t>4 More ways to spend Field Data</w:t>
      </w:r>
    </w:p>
    <w:p>
      <w:r>
        <w:t>Expand in-phase purchases to include removing Hares, adding or removing Foxes, adding or removing Plants, and gambling on a random event. Prices, limits and event effects remain open.</w:t>
      </w:r>
    </w:p>
    <w:p>
      <w:pPr>
        <w:pStyle w:val="Heading2"/>
      </w:pPr>
      <w:r>
        <w:t>5 More engaging currency growth</w:t>
      </w:r>
    </w:p>
    <w:p>
      <w:r>
        <w:t>Develop upgrades and modifiers for both Field Data earned during a journey and other currencies earned after a successful journey. Per-Hare value, multipliers and other growth mechanics are ideas to flesh out; no formula or numerical values were chosen.</w:t>
      </w:r>
    </w:p>
    <w:p>
      <w:r>
        <w:br w:type="page"/>
      </w:r>
    </w:p>
    <w:p>
      <w:pPr>
        <w:pStyle w:val="Heading1"/>
      </w:pPr>
      <w:r>
        <w:t>Simulation pacing and terrain</w:t>
      </w:r>
    </w:p>
    <w:p>
      <w:pPr>
        <w:pStyle w:val="Heading2"/>
      </w:pPr>
      <w:r>
        <w:t>6 Tunable simulation speed</w:t>
      </w:r>
    </w:p>
    <w:p>
      <w:r>
        <w:t>Make the simulation speed genuinely adjustable, then use playtesting to find the right default. The current 0.2-second tick presentation feels too choppy; the meeting did not select a replacement default.</w:t>
      </w:r>
    </w:p>
    <w:p>
      <w:pPr>
        <w:pStyle w:val="Heading2"/>
      </w:pPr>
      <w:r>
        <w:t>7 Wrapping maps and escape routes</w:t>
      </w:r>
    </w:p>
    <w:p>
      <w:r>
        <w:t>Use wrapping maps. Bushes, rocks and other obstacles can shape routes and create ways for Hares to escape Foxes. One agreed direction is bushes that Hares can pass through while Foxes must find an opening, including bushes along edges or in pockets near the wrap boundary.</w:t>
      </w:r>
    </w:p>
    <w:p>
      <w:r>
        <w:t>Gardeners seeking out bushes is a possible behavior to develop. Exact movement rules, placement and species interactions remain to be defined.</w:t>
      </w:r>
    </w:p>
    <w:p>
      <w:pPr>
        <w:pStyle w:val="Heading2"/>
      </w:pPr>
      <w:r>
        <w:t>8 Different map shapes</w:t>
      </w:r>
    </w:p>
    <w:p>
      <w:r>
        <w:t>Explore varied layouts and nonrectangular maps. Lakes or rivers cutting through a map are possible obstacles. Map connectivity, traversal and water interactions still need design work.</w:t>
      </w:r>
    </w:p>
    <w:p>
      <w:pPr>
        <w:pStyle w:val="Heading2"/>
      </w:pPr>
      <w:r>
        <w:t>9 Useful plants mushrooms and terrain assets</w:t>
      </w:r>
    </w:p>
    <w:p>
      <w:r>
        <w:t>Plant and mushroom assets should have gameplay meaning beyond decoration. Ideas include higher food energy, buffs from eating, and Fox traits that encourage staying near valuable food. Bushes can provide hiding and food. The role of rocks is still undecided.</w:t>
      </w:r>
    </w:p>
    <w:p>
      <w:pPr>
        <w:pStyle w:val="Heading1"/>
      </w:pPr>
      <w:r>
        <w:t>Details to work out next</w:t>
      </w:r>
    </w:p>
    <w:p>
      <w:pPr>
        <w:pStyle w:val="ListBullet"/>
        <w:spacing w:after="80"/>
      </w:pPr>
      <w:r>
        <w:t>Currency categories, income modifiers, purchase prices, reward settlement and any journey-shop rules.</w:t>
      </w:r>
    </w:p>
    <w:p>
      <w:pPr>
        <w:pStyle w:val="ListBullet"/>
        <w:spacing w:after="80"/>
      </w:pPr>
      <w:r>
        <w:t>Speed control range and the default that works best in play.</w:t>
      </w:r>
    </w:p>
    <w:p>
      <w:pPr>
        <w:pStyle w:val="ListBullet"/>
        <w:spacing w:after="80"/>
      </w:pPr>
      <w:r>
        <w:t>Bush traversal and hiding rules, food effects, rock behavior and lake or river interactions.</w:t>
      </w:r>
    </w:p>
    <w:p>
      <w:pPr>
        <w:pStyle w:val="ListBullet"/>
        <w:spacing w:after="80"/>
      </w:pPr>
      <w:r>
        <w:t>Player-readable outcomes for Trailblazer, Warren and Gardeners, with population and event pacing under continued review.</w:t>
      </w:r>
    </w:p>
    <w:p>
      <w:r>
        <w:t>These are agreed design directions and open details. Creating an art request or closing an S4 card does not by itself implement the new mechanics. No new owners, delivery dates or next-sprint capacity were assigned in these notes.</w:t>
      </w:r>
    </w:p>
    <w:p>
      <w:r>
        <w:br w:type="page"/>
      </w:r>
    </w:p>
    <w:p>
      <w:pPr>
        <w:pStyle w:val="Heading1"/>
      </w:pPr>
      <w:r>
        <w:t>Sprint 4 Trello closeout</w:t>
      </w:r>
    </w:p>
    <w:p>
      <w:r>
        <w:t>Bevin requested that S4-01, S4-02, S4-03 and S4-07 be checked for stale content and then closed. Each description was refreshed before the card was marked complete and moved to Done. The original planning text, links and comments remain as dated history. All four results were verified after reloading the cards and board.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480"/>
        <w:gridCol w:w="936"/>
      </w:tblGrid>
      <w:tr>
        <w:trPr>
          <w:tblHeader/>
          <w:cantSplit/>
        </w:trPr>
        <w:tc>
          <w:tcPr>
            <w:tcW w:type="dxa" w:w="2376"/>
            <w:vAlign w:val="center"/>
            <w:tcMar>
              <w:top w:w="85" w:type="dxa"/>
              <w:bottom w:w="85" w:type="dxa"/>
              <w:left w:w="110" w:type="dxa"/>
              <w:right w:w="110" w:type="dxa"/>
            </w:tcMar>
            <w:shd w:fill="404040"/>
          </w:tcPr>
          <w:p>
            <w:pPr>
              <w:spacing w:after="0" w:line="250" w:lineRule="auto"/>
            </w:pPr>
            <w:r>
              <w:rPr>
                <w:rFonts w:ascii="Calibri" w:hAnsi="Calibri"/>
                <w:b/>
                <w:color w:val="FFFFFF"/>
                <w:sz w:val="20"/>
              </w:rPr>
              <w:t>Card</w:t>
            </w:r>
          </w:p>
        </w:tc>
        <w:tc>
          <w:tcPr>
            <w:tcW w:type="dxa" w:w="6480"/>
            <w:vAlign w:val="center"/>
            <w:tcMar>
              <w:top w:w="85" w:type="dxa"/>
              <w:bottom w:w="85" w:type="dxa"/>
              <w:left w:w="110" w:type="dxa"/>
              <w:right w:w="110" w:type="dxa"/>
            </w:tcMar>
            <w:shd w:fill="404040"/>
          </w:tcPr>
          <w:p>
            <w:pPr>
              <w:spacing w:after="0" w:line="250" w:lineRule="auto"/>
            </w:pPr>
            <w:r>
              <w:rPr>
                <w:rFonts w:ascii="Calibri" w:hAnsi="Calibri"/>
                <w:b/>
                <w:color w:val="FFFFFF"/>
                <w:sz w:val="20"/>
              </w:rPr>
              <w:t>Delivered scope recorded at closeout</w:t>
            </w:r>
          </w:p>
        </w:tc>
        <w:tc>
          <w:tcPr>
            <w:tcW w:type="dxa" w:w="936"/>
            <w:vAlign w:val="center"/>
            <w:tcMar>
              <w:top w:w="85" w:type="dxa"/>
              <w:bottom w:w="85" w:type="dxa"/>
              <w:left w:w="110" w:type="dxa"/>
              <w:right w:w="110" w:type="dxa"/>
            </w:tcMar>
            <w:shd w:fill="404040"/>
          </w:tcPr>
          <w:p>
            <w:pPr>
              <w:spacing w:after="0" w:line="250" w:lineRule="auto"/>
              <w:jc w:val="center"/>
            </w:pPr>
            <w:r>
              <w:rPr>
                <w:rFonts w:ascii="Calibri" w:hAnsi="Calibri"/>
                <w:b/>
                <w:color w:val="FFFFFF"/>
                <w:sz w:val="20"/>
              </w:rPr>
              <w:t>Status</w:t>
            </w:r>
          </w:p>
        </w:tc>
      </w:tr>
      <w:tr>
        <w:trPr>
          <w:cantSplit/>
        </w:trPr>
        <w:tc>
          <w:tcPr>
            <w:tcW w:type="dxa" w:w="2376"/>
            <w:vAlign w:val="center"/>
            <w:tcMar>
              <w:top w:w="85" w:type="dxa"/>
              <w:bottom w:w="85" w:type="dxa"/>
              <w:left w:w="110" w:type="dxa"/>
              <w:right w:w="110" w:type="dxa"/>
            </w:tcMar>
            <w:shd w:fill="FFFFFF"/>
          </w:tcPr>
          <w:p>
            <w:pPr>
              <w:spacing w:after="0" w:line="250" w:lineRule="auto"/>
            </w:pPr>
            <w:hyperlink r:id="rId9">
              <w:r>
                <w:rPr>
                  <w:color w:val="0563C1"/>
                  <w:u w:val="single"/>
                </w:rPr>
                <w:t>S4-01  Hare strategies</w:t>
              </w:r>
            </w:hyperlink>
          </w:p>
        </w:tc>
        <w:tc>
          <w:tcPr>
            <w:tcW w:type="dxa" w:w="6480"/>
            <w:vAlign w:val="center"/>
            <w:tcMar>
              <w:top w:w="85" w:type="dxa"/>
              <w:bottom w:w="85" w:type="dxa"/>
              <w:left w:w="110" w:type="dxa"/>
              <w:right w:w="110" w:type="dxa"/>
            </w:tcMar>
            <w:shd w:fill="FFFFFF"/>
          </w:tcPr>
          <w:p>
            <w:pPr>
              <w:spacing w:after="0" w:line="250" w:lineRule="auto"/>
            </w:pPr>
            <w:r>
              <w:rPr>
                <w:rFonts w:ascii="Calibri" w:hAnsi="Calibri"/>
                <w:sz w:val="20"/>
              </w:rPr>
              <w:t>Flexible Trailblazer, Warren and Gardeners identities, shared-skill paths and the current design direction.</w:t>
            </w:r>
          </w:p>
        </w:tc>
        <w:tc>
          <w:tcPr>
            <w:tcW w:type="dxa" w:w="936"/>
            <w:vAlign w:val="center"/>
            <w:tcMar>
              <w:top w:w="85" w:type="dxa"/>
              <w:bottom w:w="85" w:type="dxa"/>
              <w:left w:w="110" w:type="dxa"/>
              <w:right w:w="110" w:type="dxa"/>
            </w:tcMar>
            <w:shd w:fill="FFFFFF"/>
          </w:tcPr>
          <w:p>
            <w:pPr>
              <w:spacing w:after="0" w:line="250" w:lineRule="auto"/>
              <w:jc w:val="center"/>
            </w:pPr>
            <w:r>
              <w:rPr>
                <w:rFonts w:ascii="Calibri" w:hAnsi="Calibri"/>
                <w:sz w:val="20"/>
              </w:rPr>
              <w:t>Done</w:t>
            </w:r>
          </w:p>
        </w:tc>
      </w:tr>
      <w:tr>
        <w:trPr>
          <w:cantSplit/>
        </w:trPr>
        <w:tc>
          <w:tcPr>
            <w:tcW w:type="dxa" w:w="2376"/>
            <w:vAlign w:val="center"/>
            <w:tcMar>
              <w:top w:w="85" w:type="dxa"/>
              <w:bottom w:w="85" w:type="dxa"/>
              <w:left w:w="110" w:type="dxa"/>
              <w:right w:w="110" w:type="dxa"/>
            </w:tcMar>
            <w:shd w:fill="F3F4F5"/>
          </w:tcPr>
          <w:p>
            <w:pPr>
              <w:spacing w:after="0" w:line="250" w:lineRule="auto"/>
            </w:pPr>
            <w:hyperlink r:id="rId10">
              <w:r>
                <w:rPr>
                  <w:color w:val="0563C1"/>
                  <w:u w:val="single"/>
                </w:rPr>
                <w:t>S4-02  Shared Hare skills</w:t>
              </w:r>
            </w:hyperlink>
          </w:p>
        </w:tc>
        <w:tc>
          <w:tcPr>
            <w:tcW w:type="dxa" w:w="6480"/>
            <w:vAlign w:val="center"/>
            <w:tcMar>
              <w:top w:w="85" w:type="dxa"/>
              <w:bottom w:w="85" w:type="dxa"/>
              <w:left w:w="110" w:type="dxa"/>
              <w:right w:w="110" w:type="dxa"/>
            </w:tcMar>
            <w:shd w:fill="F3F4F5"/>
          </w:tcPr>
          <w:p>
            <w:pPr>
              <w:spacing w:after="0" w:line="250" w:lineRule="auto"/>
            </w:pPr>
            <w:r>
              <w:rPr>
                <w:rFonts w:ascii="Calibri" w:hAnsi="Calibri"/>
                <w:sz w:val="20"/>
              </w:rPr>
              <w:t>Six skills, planting telemetry, Threat Avoidance corrections and guaranteed opening path access.</w:t>
            </w:r>
          </w:p>
        </w:tc>
        <w:tc>
          <w:tcPr>
            <w:tcW w:type="dxa" w:w="936"/>
            <w:vAlign w:val="center"/>
            <w:tcMar>
              <w:top w:w="85" w:type="dxa"/>
              <w:bottom w:w="85" w:type="dxa"/>
              <w:left w:w="110" w:type="dxa"/>
              <w:right w:w="110" w:type="dxa"/>
            </w:tcMar>
            <w:shd w:fill="F3F4F5"/>
          </w:tcPr>
          <w:p>
            <w:pPr>
              <w:spacing w:after="0" w:line="250" w:lineRule="auto"/>
              <w:jc w:val="center"/>
            </w:pPr>
            <w:r>
              <w:rPr>
                <w:rFonts w:ascii="Calibri" w:hAnsi="Calibri"/>
                <w:sz w:val="20"/>
              </w:rPr>
              <w:t>Done</w:t>
            </w:r>
          </w:p>
        </w:tc>
      </w:tr>
      <w:tr>
        <w:trPr>
          <w:cantSplit/>
        </w:trPr>
        <w:tc>
          <w:tcPr>
            <w:tcW w:type="dxa" w:w="2376"/>
            <w:vAlign w:val="center"/>
            <w:tcMar>
              <w:top w:w="85" w:type="dxa"/>
              <w:bottom w:w="85" w:type="dxa"/>
              <w:left w:w="110" w:type="dxa"/>
              <w:right w:w="110" w:type="dxa"/>
            </w:tcMar>
            <w:shd w:fill="FFFFFF"/>
          </w:tcPr>
          <w:p>
            <w:pPr>
              <w:spacing w:after="0" w:line="250" w:lineRule="auto"/>
            </w:pPr>
            <w:hyperlink r:id="rId11">
              <w:r>
                <w:rPr>
                  <w:color w:val="0563C1"/>
                  <w:u w:val="single"/>
                </w:rPr>
                <w:t>S4-03  Evidence and review</w:t>
              </w:r>
            </w:hyperlink>
          </w:p>
        </w:tc>
        <w:tc>
          <w:tcPr>
            <w:tcW w:type="dxa" w:w="6480"/>
            <w:vAlign w:val="center"/>
            <w:tcMar>
              <w:top w:w="85" w:type="dxa"/>
              <w:bottom w:w="85" w:type="dxa"/>
              <w:left w:w="110" w:type="dxa"/>
              <w:right w:w="110" w:type="dxa"/>
            </w:tcMar>
            <w:shd w:fill="FFFFFF"/>
          </w:tcPr>
          <w:p>
            <w:pPr>
              <w:spacing w:after="0" w:line="250" w:lineRule="auto"/>
            </w:pPr>
            <w:r>
              <w:rPr>
                <w:rFonts w:ascii="Calibri" w:hAnsi="Calibri"/>
                <w:sz w:val="20"/>
              </w:rPr>
              <w:t>Pilot, matched strategy screen, spatial follow-up and preserved confirmation research, with evidence limits.</w:t>
            </w:r>
          </w:p>
        </w:tc>
        <w:tc>
          <w:tcPr>
            <w:tcW w:type="dxa" w:w="936"/>
            <w:vAlign w:val="center"/>
            <w:tcMar>
              <w:top w:w="85" w:type="dxa"/>
              <w:bottom w:w="85" w:type="dxa"/>
              <w:left w:w="110" w:type="dxa"/>
              <w:right w:w="110" w:type="dxa"/>
            </w:tcMar>
            <w:shd w:fill="FFFFFF"/>
          </w:tcPr>
          <w:p>
            <w:pPr>
              <w:spacing w:after="0" w:line="250" w:lineRule="auto"/>
              <w:jc w:val="center"/>
            </w:pPr>
            <w:r>
              <w:rPr>
                <w:rFonts w:ascii="Calibri" w:hAnsi="Calibri"/>
                <w:sz w:val="20"/>
              </w:rPr>
              <w:t>Done</w:t>
            </w:r>
          </w:p>
        </w:tc>
      </w:tr>
      <w:tr>
        <w:trPr>
          <w:cantSplit/>
        </w:trPr>
        <w:tc>
          <w:tcPr>
            <w:tcW w:type="dxa" w:w="2376"/>
            <w:vAlign w:val="center"/>
            <w:tcMar>
              <w:top w:w="85" w:type="dxa"/>
              <w:bottom w:w="85" w:type="dxa"/>
              <w:left w:w="110" w:type="dxa"/>
              <w:right w:w="110" w:type="dxa"/>
            </w:tcMar>
            <w:shd w:fill="F3F4F5"/>
          </w:tcPr>
          <w:p>
            <w:pPr>
              <w:spacing w:after="0" w:line="250" w:lineRule="auto"/>
            </w:pPr>
            <w:hyperlink r:id="rId12">
              <w:r>
                <w:rPr>
                  <w:color w:val="0563C1"/>
                  <w:u w:val="single"/>
                </w:rPr>
                <w:t>S4-07  Integration and fixes</w:t>
              </w:r>
            </w:hyperlink>
          </w:p>
        </w:tc>
        <w:tc>
          <w:tcPr>
            <w:tcW w:type="dxa" w:w="6480"/>
            <w:vAlign w:val="center"/>
            <w:tcMar>
              <w:top w:w="85" w:type="dxa"/>
              <w:bottom w:w="85" w:type="dxa"/>
              <w:left w:w="110" w:type="dxa"/>
              <w:right w:w="110" w:type="dxa"/>
            </w:tcMar>
            <w:shd w:fill="F3F4F5"/>
          </w:tcPr>
          <w:p>
            <w:pPr>
              <w:spacing w:after="0" w:line="250" w:lineRule="auto"/>
            </w:pPr>
            <w:r>
              <w:rPr>
                <w:rFonts w:ascii="Calibri" w:hAnsi="Calibri"/>
                <w:sz w:val="20"/>
              </w:rPr>
              <w:t>Merged journey, profile, artwork, terrain and tooling checkpoints with their dated validation.</w:t>
            </w:r>
          </w:p>
        </w:tc>
        <w:tc>
          <w:tcPr>
            <w:tcW w:type="dxa" w:w="936"/>
            <w:vAlign w:val="center"/>
            <w:tcMar>
              <w:top w:w="85" w:type="dxa"/>
              <w:bottom w:w="85" w:type="dxa"/>
              <w:left w:w="110" w:type="dxa"/>
              <w:right w:w="110" w:type="dxa"/>
            </w:tcMar>
            <w:shd w:fill="F3F4F5"/>
          </w:tcPr>
          <w:p>
            <w:pPr>
              <w:spacing w:after="0" w:line="250" w:lineRule="auto"/>
              <w:jc w:val="center"/>
            </w:pPr>
            <w:r>
              <w:rPr>
                <w:rFonts w:ascii="Calibri" w:hAnsi="Calibri"/>
                <w:sz w:val="20"/>
              </w:rPr>
              <w:t>Done</w:t>
            </w:r>
          </w:p>
        </w:tc>
      </w:tr>
    </w:tbl>
    <w:p>
      <w:pPr>
        <w:spacing w:after="40"/>
      </w:pPr>
      <w:r/>
    </w:p>
    <w:p>
      <w:pPr>
        <w:pStyle w:val="Heading2"/>
      </w:pPr>
      <w:r>
        <w:t>What remains on the board</w:t>
      </w:r>
    </w:p>
    <w:p>
      <w:r>
        <w:t xml:space="preserve">Current Work contains only </w:t>
      </w:r>
      <w:hyperlink r:id="rId13">
        <w:r>
          <w:rPr>
            <w:color w:val="0563C1"/>
            <w:u w:val="single"/>
          </w:rPr>
          <w:t>P1-032  Launch from the active profile</w:t>
        </w:r>
      </w:hyperlink>
      <w:r>
        <w:t xml:space="preserve">. Its reviewer and launch acceptance are separate from the four closed cards. The </w:t>
      </w:r>
      <w:hyperlink r:id="rId14">
        <w:r>
          <w:rPr>
            <w:color w:val="0563C1"/>
            <w:u w:val="single"/>
          </w:rPr>
          <w:t>S4 control record</w:t>
        </w:r>
      </w:hyperlink>
      <w:r>
        <w:t xml:space="preserve"> still says Active. No next sprint was opened.</w:t>
      </w:r>
    </w:p>
    <w:p>
      <w:r>
        <w:t>The reloaded development board has Current Work 1, Done 12, Upcoming Work 0, In Progress 0, Blocked 0 and Backlog 25. S4-04 and S4-05 remain in Backlog, with October 14 updates for the published profile-save foundation outside the original S4 allocation. Manual exit/relaunch verification and Sim review remain open.</w:t>
      </w:r>
    </w:p>
    <w:p>
      <w:pPr>
        <w:pStyle w:val="Heading2"/>
      </w:pPr>
      <w:r>
        <w:t>Continuing work and evidence limits</w:t>
      </w:r>
    </w:p>
    <w:p>
      <w:r>
        <w:t>The approved crowding surcharge beginning at four neighbors is still absent; the existing rule uses the older seven-neighbor trigger. Further strategy observation, pacing and numerical tuning continue. New balance claims need current matched inputs; the preserved 8,000-run confirmation belongs to its frozen setup. Burrows remains later work for 1.0.</w:t>
      </w:r>
    </w:p>
    <w:p>
      <w:r>
        <w:t>The October 14 integration recorded 340 EditMode passes, 44 PlayMode passes with four skipped, and passing tooling Release builds. A player build and new full merged-flow human review were not supplied by this closeout. The standalone self-test was environment-blocked in that integration worktree. Actual reserve hours remain unrecorded.</w:t>
      </w:r>
    </w:p>
    <w:p>
      <w:r>
        <w:t xml:space="preserve">Board: </w:t>
      </w:r>
      <w:hyperlink r:id="rId15">
        <w:r>
          <w:rPr>
            <w:color w:val="0563C1"/>
            <w:u w:val="single"/>
          </w:rPr>
          <w:t>Indie Game Design and Tech</w:t>
        </w:r>
      </w:hyperlink>
    </w:p>
    <w:p>
      <w:r>
        <w:br w:type="page"/>
      </w:r>
    </w:p>
    <w:p>
      <w:pPr>
        <w:pStyle w:val="Heading1"/>
      </w:pPr>
      <w:r>
        <w:t>EcOS Art HQ updates</w:t>
      </w:r>
    </w:p>
    <w:p>
      <w:r>
        <w:t>Nine requests are in Ready for Art. Together, their requested variants total 15 pieces: 11 journey icons, three animal icons and one panoramic background. The five journey-icon briefs specify 64px artwork; their enclosing node shape and size remain to be decided.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344"/>
      </w:tblGrid>
      <w:tr>
        <w:trPr>
          <w:tblHeader/>
          <w:cantSplit/>
        </w:trPr>
        <w:tc>
          <w:tcPr>
            <w:tcW w:type="dxa" w:w="2448"/>
            <w:vAlign w:val="center"/>
            <w:tcMar>
              <w:top w:w="85" w:type="dxa"/>
              <w:bottom w:w="85" w:type="dxa"/>
              <w:left w:w="110" w:type="dxa"/>
              <w:right w:w="110" w:type="dxa"/>
            </w:tcMar>
            <w:shd w:fill="404040"/>
          </w:tcPr>
          <w:p>
            <w:pPr>
              <w:spacing w:after="0" w:line="250" w:lineRule="auto"/>
            </w:pPr>
            <w:r>
              <w:rPr>
                <w:rFonts w:ascii="Calibri" w:hAnsi="Calibri"/>
                <w:b/>
                <w:color w:val="FFFFFF"/>
                <w:sz w:val="20"/>
              </w:rPr>
              <w:t>Ticket</w:t>
            </w:r>
          </w:p>
        </w:tc>
        <w:tc>
          <w:tcPr>
            <w:tcW w:type="dxa" w:w="7344"/>
            <w:vAlign w:val="center"/>
            <w:tcMar>
              <w:top w:w="85" w:type="dxa"/>
              <w:bottom w:w="85" w:type="dxa"/>
              <w:left w:w="110" w:type="dxa"/>
              <w:right w:w="110" w:type="dxa"/>
            </w:tcMar>
            <w:shd w:fill="404040"/>
          </w:tcPr>
          <w:p>
            <w:pPr>
              <w:spacing w:after="0" w:line="250" w:lineRule="auto"/>
            </w:pPr>
            <w:r>
              <w:rPr>
                <w:rFonts w:ascii="Calibri" w:hAnsi="Calibri"/>
                <w:b/>
                <w:color w:val="FFFFFF"/>
                <w:sz w:val="20"/>
              </w:rPr>
              <w:t>Requested output</w:t>
            </w:r>
          </w:p>
        </w:tc>
      </w:tr>
      <w:tr>
        <w:trPr>
          <w:cantSplit/>
        </w:trPr>
        <w:tc>
          <w:tcPr>
            <w:tcW w:type="dxa" w:w="2448"/>
            <w:vAlign w:val="center"/>
            <w:tcMar>
              <w:top w:w="85" w:type="dxa"/>
              <w:bottom w:w="85" w:type="dxa"/>
              <w:left w:w="110" w:type="dxa"/>
              <w:right w:w="110" w:type="dxa"/>
            </w:tcMar>
            <w:shd w:fill="FFFFFF"/>
          </w:tcPr>
          <w:p>
            <w:pPr>
              <w:spacing w:after="0" w:line="250" w:lineRule="auto"/>
            </w:pPr>
            <w:hyperlink r:id="rId16">
              <w:r>
                <w:rPr>
                  <w:color w:val="0563C1"/>
                  <w:u w:val="single"/>
                </w:rPr>
                <w:t>Simulation Icon</w:t>
              </w:r>
            </w:hyperlink>
          </w:p>
        </w:tc>
        <w:tc>
          <w:tcPr>
            <w:tcW w:type="dxa" w:w="7344"/>
            <w:vAlign w:val="center"/>
            <w:tcMar>
              <w:top w:w="85" w:type="dxa"/>
              <w:bottom w:w="85" w:type="dxa"/>
              <w:left w:w="110" w:type="dxa"/>
              <w:right w:w="110" w:type="dxa"/>
            </w:tcMar>
            <w:shd w:fill="FFFFFF"/>
          </w:tcPr>
          <w:p>
            <w:pPr>
              <w:spacing w:after="0" w:line="250" w:lineRule="auto"/>
            </w:pPr>
            <w:r>
              <w:rPr>
                <w:rFonts w:ascii="Calibri" w:hAnsi="Calibri"/>
                <w:sz w:val="20"/>
              </w:rPr>
              <w:t>One 64px plant or leaf that also reads as an arrow. Three reference attachments and a clarifying comment are on the card.</w:t>
            </w:r>
          </w:p>
        </w:tc>
      </w:tr>
      <w:tr>
        <w:trPr>
          <w:cantSplit/>
        </w:trPr>
        <w:tc>
          <w:tcPr>
            <w:tcW w:type="dxa" w:w="2448"/>
            <w:vAlign w:val="center"/>
            <w:tcMar>
              <w:top w:w="85" w:type="dxa"/>
              <w:bottom w:w="85" w:type="dxa"/>
              <w:left w:w="110" w:type="dxa"/>
              <w:right w:w="110" w:type="dxa"/>
            </w:tcMar>
            <w:shd w:fill="F3F4F5"/>
          </w:tcPr>
          <w:p>
            <w:pPr>
              <w:spacing w:after="0" w:line="250" w:lineRule="auto"/>
            </w:pPr>
            <w:hyperlink r:id="rId17">
              <w:r>
                <w:rPr>
                  <w:color w:val="0563C1"/>
                  <w:u w:val="single"/>
                </w:rPr>
                <w:t>Final Challenge Icon</w:t>
              </w:r>
            </w:hyperlink>
          </w:p>
        </w:tc>
        <w:tc>
          <w:tcPr>
            <w:tcW w:type="dxa" w:w="7344"/>
            <w:vAlign w:val="center"/>
            <w:tcMar>
              <w:top w:w="85" w:type="dxa"/>
              <w:bottom w:w="85" w:type="dxa"/>
              <w:left w:w="110" w:type="dxa"/>
              <w:right w:w="110" w:type="dxa"/>
            </w:tcMar>
            <w:shd w:fill="F3F4F5"/>
          </w:tcPr>
          <w:p>
            <w:pPr>
              <w:spacing w:after="0" w:line="250" w:lineRule="auto"/>
            </w:pPr>
            <w:r>
              <w:rPr>
                <w:rFonts w:ascii="Calibri" w:hAnsi="Calibri"/>
                <w:sz w:val="20"/>
              </w:rPr>
              <w:t>Two 64px designs: an old closed notebook and a larger or stronger leaf-arrow with a plus or similar distinction.</w:t>
            </w:r>
          </w:p>
        </w:tc>
      </w:tr>
      <w:tr>
        <w:trPr>
          <w:cantSplit/>
        </w:trPr>
        <w:tc>
          <w:tcPr>
            <w:tcW w:type="dxa" w:w="2448"/>
            <w:vAlign w:val="center"/>
            <w:tcMar>
              <w:top w:w="85" w:type="dxa"/>
              <w:bottom w:w="85" w:type="dxa"/>
              <w:left w:w="110" w:type="dxa"/>
              <w:right w:w="110" w:type="dxa"/>
            </w:tcMar>
            <w:shd w:fill="FFFFFF"/>
          </w:tcPr>
          <w:p>
            <w:pPr>
              <w:spacing w:after="0" w:line="250" w:lineRule="auto"/>
            </w:pPr>
            <w:hyperlink r:id="rId18">
              <w:r>
                <w:rPr>
                  <w:color w:val="0563C1"/>
                  <w:u w:val="single"/>
                </w:rPr>
                <w:t>Reward Icon</w:t>
              </w:r>
            </w:hyperlink>
          </w:p>
        </w:tc>
        <w:tc>
          <w:tcPr>
            <w:tcW w:type="dxa" w:w="7344"/>
            <w:vAlign w:val="center"/>
            <w:tcMar>
              <w:top w:w="85" w:type="dxa"/>
              <w:bottom w:w="85" w:type="dxa"/>
              <w:left w:w="110" w:type="dxa"/>
              <w:right w:w="110" w:type="dxa"/>
            </w:tcMar>
            <w:shd w:fill="FFFFFF"/>
          </w:tcPr>
          <w:p>
            <w:pPr>
              <w:spacing w:after="0" w:line="250" w:lineRule="auto"/>
            </w:pPr>
            <w:r>
              <w:rPr>
                <w:rFonts w:ascii="Calibri" w:hAnsi="Calibri"/>
                <w:sz w:val="20"/>
              </w:rPr>
              <w:t>One 64px DNA helix.</w:t>
            </w:r>
          </w:p>
        </w:tc>
      </w:tr>
      <w:tr>
        <w:trPr>
          <w:cantSplit/>
        </w:trPr>
        <w:tc>
          <w:tcPr>
            <w:tcW w:type="dxa" w:w="2448"/>
            <w:vAlign w:val="center"/>
            <w:tcMar>
              <w:top w:w="85" w:type="dxa"/>
              <w:bottom w:w="85" w:type="dxa"/>
              <w:left w:w="110" w:type="dxa"/>
              <w:right w:w="110" w:type="dxa"/>
            </w:tcMar>
            <w:shd w:fill="F3F4F5"/>
          </w:tcPr>
          <w:p>
            <w:pPr>
              <w:spacing w:after="0" w:line="250" w:lineRule="auto"/>
            </w:pPr>
            <w:hyperlink r:id="rId19">
              <w:r>
                <w:rPr>
                  <w:color w:val="0563C1"/>
                  <w:u w:val="single"/>
                </w:rPr>
                <w:t>Shop Icon eco coin</w:t>
              </w:r>
            </w:hyperlink>
          </w:p>
        </w:tc>
        <w:tc>
          <w:tcPr>
            <w:tcW w:type="dxa" w:w="7344"/>
            <w:vAlign w:val="center"/>
            <w:tcMar>
              <w:top w:w="85" w:type="dxa"/>
              <w:bottom w:w="85" w:type="dxa"/>
              <w:left w:w="110" w:type="dxa"/>
              <w:right w:w="110" w:type="dxa"/>
            </w:tcMar>
            <w:shd w:fill="F3F4F5"/>
          </w:tcPr>
          <w:p>
            <w:pPr>
              <w:spacing w:after="0" w:line="250" w:lineRule="auto"/>
            </w:pPr>
            <w:r>
              <w:rPr>
                <w:rFonts w:ascii="Calibri" w:hAnsi="Calibri"/>
                <w:sz w:val="20"/>
              </w:rPr>
              <w:t>One 64px nature-themed eco-coin.</w:t>
            </w:r>
          </w:p>
        </w:tc>
      </w:tr>
      <w:tr>
        <w:trPr>
          <w:cantSplit/>
        </w:trPr>
        <w:tc>
          <w:tcPr>
            <w:tcW w:type="dxa" w:w="2448"/>
            <w:vAlign w:val="center"/>
            <w:tcMar>
              <w:top w:w="85" w:type="dxa"/>
              <w:bottom w:w="85" w:type="dxa"/>
              <w:left w:w="110" w:type="dxa"/>
              <w:right w:w="110" w:type="dxa"/>
            </w:tcMar>
            <w:shd w:fill="FFFFFF"/>
          </w:tcPr>
          <w:p>
            <w:pPr>
              <w:spacing w:after="0" w:line="250" w:lineRule="auto"/>
            </w:pPr>
            <w:hyperlink r:id="rId20">
              <w:r>
                <w:rPr>
                  <w:color w:val="0563C1"/>
                  <w:u w:val="single"/>
                </w:rPr>
                <w:t>Restore Icon</w:t>
              </w:r>
            </w:hyperlink>
          </w:p>
        </w:tc>
        <w:tc>
          <w:tcPr>
            <w:tcW w:type="dxa" w:w="7344"/>
            <w:vAlign w:val="center"/>
            <w:tcMar>
              <w:top w:w="85" w:type="dxa"/>
              <w:bottom w:w="85" w:type="dxa"/>
              <w:left w:w="110" w:type="dxa"/>
              <w:right w:w="110" w:type="dxa"/>
            </w:tcMar>
            <w:shd w:fill="FFFFFF"/>
          </w:tcPr>
          <w:p>
            <w:pPr>
              <w:spacing w:after="0" w:line="250" w:lineRule="auto"/>
            </w:pPr>
            <w:r>
              <w:rPr>
                <w:rFonts w:ascii="Calibri" w:hAnsi="Calibri"/>
                <w:sz w:val="20"/>
              </w:rPr>
              <w:t>Six 64px variants: leaf and meat, each with a green plus, red minus or yellow question mark.</w:t>
            </w:r>
          </w:p>
        </w:tc>
      </w:tr>
      <w:tr>
        <w:trPr>
          <w:cantSplit/>
        </w:trPr>
        <w:tc>
          <w:tcPr>
            <w:tcW w:type="dxa" w:w="2448"/>
            <w:vAlign w:val="center"/>
            <w:tcMar>
              <w:top w:w="85" w:type="dxa"/>
              <w:bottom w:w="85" w:type="dxa"/>
              <w:left w:w="110" w:type="dxa"/>
              <w:right w:w="110" w:type="dxa"/>
            </w:tcMar>
            <w:shd w:fill="F3F4F5"/>
          </w:tcPr>
          <w:p>
            <w:pPr>
              <w:spacing w:after="0" w:line="250" w:lineRule="auto"/>
            </w:pPr>
            <w:hyperlink r:id="rId21">
              <w:r>
                <w:rPr>
                  <w:color w:val="0563C1"/>
                  <w:u w:val="single"/>
                </w:rPr>
                <w:t>Deer Icon</w:t>
              </w:r>
            </w:hyperlink>
          </w:p>
        </w:tc>
        <w:tc>
          <w:tcPr>
            <w:tcW w:type="dxa" w:w="7344"/>
            <w:vAlign w:val="center"/>
            <w:tcMar>
              <w:top w:w="85" w:type="dxa"/>
              <w:bottom w:w="85" w:type="dxa"/>
              <w:left w:w="110" w:type="dxa"/>
              <w:right w:w="110" w:type="dxa"/>
            </w:tcMar>
            <w:shd w:fill="F3F4F5"/>
          </w:tcPr>
          <w:p>
            <w:pPr>
              <w:spacing w:after="0" w:line="250" w:lineRule="auto"/>
            </w:pPr>
            <w:r>
              <w:rPr>
                <w:rFonts w:ascii="Calibri" w:hAnsi="Calibri"/>
                <w:sz w:val="20"/>
              </w:rPr>
              <w:t>A Forest Edge species icon matching the existing Fox and Hare style.</w:t>
            </w:r>
          </w:p>
        </w:tc>
      </w:tr>
      <w:tr>
        <w:trPr>
          <w:cantSplit/>
        </w:trPr>
        <w:tc>
          <w:tcPr>
            <w:tcW w:type="dxa" w:w="2448"/>
            <w:vAlign w:val="center"/>
            <w:tcMar>
              <w:top w:w="85" w:type="dxa"/>
              <w:bottom w:w="85" w:type="dxa"/>
              <w:left w:w="110" w:type="dxa"/>
              <w:right w:w="110" w:type="dxa"/>
            </w:tcMar>
            <w:shd w:fill="FFFFFF"/>
          </w:tcPr>
          <w:p>
            <w:pPr>
              <w:spacing w:after="0" w:line="250" w:lineRule="auto"/>
            </w:pPr>
            <w:hyperlink r:id="rId22">
              <w:r>
                <w:rPr>
                  <w:color w:val="0563C1"/>
                  <w:u w:val="single"/>
                </w:rPr>
                <w:t>Wolf Icon</w:t>
              </w:r>
            </w:hyperlink>
          </w:p>
        </w:tc>
        <w:tc>
          <w:tcPr>
            <w:tcW w:type="dxa" w:w="7344"/>
            <w:vAlign w:val="center"/>
            <w:tcMar>
              <w:top w:w="85" w:type="dxa"/>
              <w:bottom w:w="85" w:type="dxa"/>
              <w:left w:w="110" w:type="dxa"/>
              <w:right w:w="110" w:type="dxa"/>
            </w:tcMar>
            <w:shd w:fill="FFFFFF"/>
          </w:tcPr>
          <w:p>
            <w:pPr>
              <w:spacing w:after="0" w:line="250" w:lineRule="auto"/>
            </w:pPr>
            <w:r>
              <w:rPr>
                <w:rFonts w:ascii="Calibri" w:hAnsi="Calibri"/>
                <w:sz w:val="20"/>
              </w:rPr>
              <w:t>A Forest Edge species icon matching the existing Fox and Hare style.</w:t>
            </w:r>
          </w:p>
        </w:tc>
      </w:tr>
      <w:tr>
        <w:trPr>
          <w:cantSplit/>
        </w:trPr>
        <w:tc>
          <w:tcPr>
            <w:tcW w:type="dxa" w:w="2448"/>
            <w:vAlign w:val="center"/>
            <w:tcMar>
              <w:top w:w="85" w:type="dxa"/>
              <w:bottom w:w="85" w:type="dxa"/>
              <w:left w:w="110" w:type="dxa"/>
              <w:right w:w="110" w:type="dxa"/>
            </w:tcMar>
            <w:shd w:fill="F3F4F5"/>
          </w:tcPr>
          <w:p>
            <w:pPr>
              <w:spacing w:after="0" w:line="250" w:lineRule="auto"/>
            </w:pPr>
            <w:hyperlink r:id="rId23">
              <w:r>
                <w:rPr>
                  <w:color w:val="0563C1"/>
                  <w:u w:val="single"/>
                </w:rPr>
                <w:t>Owl Icon</w:t>
              </w:r>
            </w:hyperlink>
          </w:p>
        </w:tc>
        <w:tc>
          <w:tcPr>
            <w:tcW w:type="dxa" w:w="7344"/>
            <w:vAlign w:val="center"/>
            <w:tcMar>
              <w:top w:w="85" w:type="dxa"/>
              <w:bottom w:w="85" w:type="dxa"/>
              <w:left w:w="110" w:type="dxa"/>
              <w:right w:w="110" w:type="dxa"/>
            </w:tcMar>
            <w:shd w:fill="F3F4F5"/>
          </w:tcPr>
          <w:p>
            <w:pPr>
              <w:spacing w:after="0" w:line="250" w:lineRule="auto"/>
            </w:pPr>
            <w:r>
              <w:rPr>
                <w:rFonts w:ascii="Calibri" w:hAnsi="Calibri"/>
                <w:sz w:val="20"/>
              </w:rPr>
              <w:t>A Forest Edge species icon matching the existing Fox and Hare style.</w:t>
            </w:r>
          </w:p>
        </w:tc>
      </w:tr>
      <w:tr>
        <w:trPr>
          <w:cantSplit/>
        </w:trPr>
        <w:tc>
          <w:tcPr>
            <w:tcW w:type="dxa" w:w="2448"/>
            <w:vAlign w:val="center"/>
            <w:tcMar>
              <w:top w:w="85" w:type="dxa"/>
              <w:bottom w:w="85" w:type="dxa"/>
              <w:left w:w="110" w:type="dxa"/>
              <w:right w:w="110" w:type="dxa"/>
            </w:tcMar>
            <w:shd w:fill="FFFFFF"/>
          </w:tcPr>
          <w:p>
            <w:pPr>
              <w:spacing w:after="0" w:line="250" w:lineRule="auto"/>
            </w:pPr>
            <w:hyperlink r:id="rId24">
              <w:r>
                <w:rPr>
                  <w:color w:val="0563C1"/>
                  <w:u w:val="single"/>
                </w:rPr>
                <w:t>Journey Map panorama</w:t>
              </w:r>
            </w:hyperlink>
          </w:p>
        </w:tc>
        <w:tc>
          <w:tcPr>
            <w:tcW w:type="dxa" w:w="7344"/>
            <w:vAlign w:val="center"/>
            <w:tcMar>
              <w:top w:w="85" w:type="dxa"/>
              <w:bottom w:w="85" w:type="dxa"/>
              <w:left w:w="110" w:type="dxa"/>
              <w:right w:w="110" w:type="dxa"/>
            </w:tcMar>
            <w:shd w:fill="FFFFFF"/>
          </w:tcPr>
          <w:p>
            <w:pPr>
              <w:spacing w:after="0" w:line="250" w:lineRule="auto"/>
            </w:pPr>
            <w:r>
              <w:rPr>
                <w:rFonts w:ascii="Calibri" w:hAnsi="Calibri"/>
                <w:sz w:val="20"/>
              </w:rPr>
              <w:t>One 5760 x 1080 Forest Edge background beneath journey nodes and routes. Three references are attached, including the described Chrono AI reference.</w:t>
            </w:r>
          </w:p>
        </w:tc>
      </w:tr>
    </w:tbl>
    <w:p>
      <w:pPr>
        <w:spacing w:after="40"/>
      </w:pPr>
      <w:r/>
    </w:p>
    <w:p>
      <w:r>
        <w:t>Art board status: Art Direction HQ 16; Ready for Art 9; In Progress 0; Unapproved 0; Approved and Done 8; Technical Integration 0. This is a dated board snapshot, not an art-approval or runtime-integration result.</w:t>
      </w:r>
    </w:p>
    <w:p>
      <w:r>
        <w:t>Shared details still open are the journey-node container shape and size, the exact gameplay meaning behind each icon, and final asset handoff details. The three new animal tickets request artwork; species behavior and balance are separate work. No new delivery dates or sprint commitments are assigned by this inventory.</w:t>
      </w:r>
    </w:p>
    <w:p>
      <w:r>
        <w:t xml:space="preserve">Board: </w:t>
      </w:r>
      <w:hyperlink r:id="rId25">
        <w:r>
          <w:rPr>
            <w:color w:val="0563C1"/>
            <w:u w:val="single"/>
          </w:rPr>
          <w:t>EcOS Art HQ</w:t>
        </w:r>
      </w:hyperlink>
    </w:p>
    <w:sectPr w:rsidR="00FC693F" w:rsidRPr="0006063C" w:rsidSect="00034616">
      <w:footerReference w:type="default" r:id="rId26"/>
      <w:pgSz w:w="12240" w:h="15840"/>
      <w:pgMar w:top="1080" w:right="1224" w:bottom="1080"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r>
      <w:rPr>
        <w:sz w:val="18"/>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80" w:line="259"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160" w:after="8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59"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5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rello.com/c/74VBPME5" TargetMode="External"/><Relationship Id="rId10" Type="http://schemas.openxmlformats.org/officeDocument/2006/relationships/hyperlink" Target="https://trello.com/c/j22jDrAu" TargetMode="External"/><Relationship Id="rId11" Type="http://schemas.openxmlformats.org/officeDocument/2006/relationships/hyperlink" Target="https://trello.com/c/xyDDiiRC" TargetMode="External"/><Relationship Id="rId12" Type="http://schemas.openxmlformats.org/officeDocument/2006/relationships/hyperlink" Target="https://trello.com/c/e5xd0K7c" TargetMode="External"/><Relationship Id="rId13" Type="http://schemas.openxmlformats.org/officeDocument/2006/relationships/hyperlink" Target="https://trello.com/c/Enm8Avxu" TargetMode="External"/><Relationship Id="rId14" Type="http://schemas.openxmlformats.org/officeDocument/2006/relationships/hyperlink" Target="https://trello.com/c/Zn4UpBYc" TargetMode="External"/><Relationship Id="rId15" Type="http://schemas.openxmlformats.org/officeDocument/2006/relationships/hyperlink" Target="https://trello.com/b/Z14AeSnU" TargetMode="External"/><Relationship Id="rId16" Type="http://schemas.openxmlformats.org/officeDocument/2006/relationships/hyperlink" Target="https://trello.com/c/MonWA6AX" TargetMode="External"/><Relationship Id="rId17" Type="http://schemas.openxmlformats.org/officeDocument/2006/relationships/hyperlink" Target="https://trello.com/c/3DGYefA8" TargetMode="External"/><Relationship Id="rId18" Type="http://schemas.openxmlformats.org/officeDocument/2006/relationships/hyperlink" Target="https://trello.com/c/5R13vfBM" TargetMode="External"/><Relationship Id="rId19" Type="http://schemas.openxmlformats.org/officeDocument/2006/relationships/hyperlink" Target="https://trello.com/c/Yzrr1ocT" TargetMode="External"/><Relationship Id="rId20" Type="http://schemas.openxmlformats.org/officeDocument/2006/relationships/hyperlink" Target="https://trello.com/c/NVJm5WK3" TargetMode="External"/><Relationship Id="rId21" Type="http://schemas.openxmlformats.org/officeDocument/2006/relationships/hyperlink" Target="https://trello.com/c/hM8LkyKC" TargetMode="External"/><Relationship Id="rId22" Type="http://schemas.openxmlformats.org/officeDocument/2006/relationships/hyperlink" Target="https://trello.com/c/y7lv4mtG" TargetMode="External"/><Relationship Id="rId23" Type="http://schemas.openxmlformats.org/officeDocument/2006/relationships/hyperlink" Target="https://trello.com/c/b8UruDaE" TargetMode="External"/><Relationship Id="rId24" Type="http://schemas.openxmlformats.org/officeDocument/2006/relationships/hyperlink" Target="https://trello.com/c/sXel38Cv" TargetMode="External"/><Relationship Id="rId25" Type="http://schemas.openxmlformats.org/officeDocument/2006/relationships/hyperlink" Target="https://trello.com/b/ykbpLTaf/ecos-art-hq" TargetMode="Externa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 team meeting record October 14 2026</dc:title>
  <dc:subject>Meeting decisions and verified Trello updates</dc:subject>
  <dc:creator>Bevin</dc:creator>
  <cp:keywords>EcOS, Forest Edge, Sprint 4, art, journey</cp:keywords>
  <dc:description>generated by python-docx</dc:description>
  <cp:lastModifiedBy/>
  <cp:revision>1</cp:revision>
  <dcterms:created xsi:type="dcterms:W3CDTF">2013-12-23T23:15:00Z</dcterms:created>
  <dcterms:modified xsi:type="dcterms:W3CDTF">2013-12-23T23:15:00Z</dcterms:modified>
  <cp:category/>
</cp:coreProperties>
</file>