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18C1C" w14:textId="77777777" w:rsidR="00275FFB" w:rsidRDefault="00000000">
      <w:pPr>
        <w:spacing w:before="360" w:after="60"/>
      </w:pPr>
      <w:r>
        <w:rPr>
          <w:b/>
          <w:color w:val="183B56"/>
          <w:sz w:val="48"/>
        </w:rPr>
        <w:t>MEMORIA TÉCNICA</w:t>
      </w:r>
    </w:p>
    <w:p w14:paraId="2758C8C5" w14:textId="707378F5" w:rsidR="00275FFB" w:rsidRDefault="00000000">
      <w:pPr>
        <w:spacing w:after="240"/>
      </w:pPr>
      <w:r>
        <w:rPr>
          <w:b/>
          <w:color w:val="2878A8"/>
          <w:sz w:val="34"/>
        </w:rPr>
        <w:t>Programa «</w:t>
      </w:r>
      <w:r w:rsidR="00AD5C21">
        <w:rPr>
          <w:b/>
          <w:color w:val="2878A8"/>
          <w:sz w:val="34"/>
        </w:rPr>
        <w:t>Dynamic</w:t>
      </w:r>
      <w:r>
        <w:rPr>
          <w:b/>
          <w:color w:val="2878A8"/>
          <w:sz w:val="34"/>
        </w:rPr>
        <w:t>»</w:t>
      </w:r>
    </w:p>
    <w:p w14:paraId="141AE2B2" w14:textId="77777777" w:rsidR="00275FFB" w:rsidRPr="00AD5C21" w:rsidRDefault="00000000">
      <w:pPr>
        <w:spacing w:after="300"/>
        <w:rPr>
          <w:lang w:val="es-ES"/>
        </w:rPr>
      </w:pPr>
      <w:r w:rsidRPr="00AD5C21">
        <w:rPr>
          <w:color w:val="697780"/>
          <w:sz w:val="23"/>
          <w:lang w:val="es-ES"/>
        </w:rPr>
        <w:t>Descripción del núcleo, tecnologías, infraestructura, arquitectura y funcionalidades</w:t>
      </w:r>
    </w:p>
    <w:tbl>
      <w:tblPr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6920"/>
      </w:tblGrid>
      <w:tr w:rsidR="00275FFB" w14:paraId="03241D48" w14:textId="77777777">
        <w:tc>
          <w:tcPr>
            <w:tcW w:w="2200" w:type="dxa"/>
            <w:shd w:val="clear" w:color="auto" w:fill="EAF3F8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67771D2" w14:textId="77777777" w:rsidR="00275FFB" w:rsidRDefault="00000000">
            <w:pPr>
              <w:spacing w:after="0" w:line="240" w:lineRule="auto"/>
            </w:pPr>
            <w:r>
              <w:rPr>
                <w:b/>
                <w:color w:val="183B56"/>
                <w:sz w:val="18"/>
              </w:rPr>
              <w:t>Nombre del programa</w:t>
            </w:r>
          </w:p>
        </w:tc>
        <w:tc>
          <w:tcPr>
            <w:tcW w:w="692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0F56771C" w14:textId="2D127CC9" w:rsidR="00275FFB" w:rsidRDefault="00AD5C21">
            <w:pPr>
              <w:spacing w:after="0" w:line="240" w:lineRule="auto"/>
            </w:pPr>
            <w:r>
              <w:rPr>
                <w:sz w:val="17"/>
              </w:rPr>
              <w:t>Dynamic</w:t>
            </w:r>
          </w:p>
        </w:tc>
      </w:tr>
      <w:tr w:rsidR="00275FFB" w:rsidRPr="00AD5C21" w14:paraId="3BCB8CB9" w14:textId="77777777">
        <w:tc>
          <w:tcPr>
            <w:tcW w:w="2200" w:type="dxa"/>
            <w:shd w:val="clear" w:color="auto" w:fill="EAF3F8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1B83F7CC" w14:textId="77777777" w:rsidR="00275FFB" w:rsidRDefault="00000000">
            <w:pPr>
              <w:spacing w:after="0" w:line="240" w:lineRule="auto"/>
            </w:pPr>
            <w:r>
              <w:rPr>
                <w:b/>
                <w:color w:val="183B56"/>
                <w:sz w:val="18"/>
              </w:rPr>
              <w:t>Naturaleza</w:t>
            </w:r>
          </w:p>
        </w:tc>
        <w:tc>
          <w:tcPr>
            <w:tcW w:w="6920" w:type="dxa"/>
            <w:shd w:val="clear" w:color="auto" w:fill="F3F5F7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0C62022" w14:textId="77777777" w:rsidR="00275FFB" w:rsidRPr="00AD5C21" w:rsidRDefault="00000000">
            <w:pPr>
              <w:spacing w:after="0" w:line="240" w:lineRule="auto"/>
              <w:rPr>
                <w:lang w:val="es-ES"/>
              </w:rPr>
            </w:pPr>
            <w:r w:rsidRPr="00AD5C21">
              <w:rPr>
                <w:sz w:val="17"/>
                <w:lang w:val="es-ES"/>
              </w:rPr>
              <w:t>Aplicación web y servicios de fidelización, gestión de negocios y promociones</w:t>
            </w:r>
          </w:p>
        </w:tc>
      </w:tr>
      <w:tr w:rsidR="00275FFB" w14:paraId="64FD7FC1" w14:textId="77777777">
        <w:tc>
          <w:tcPr>
            <w:tcW w:w="2200" w:type="dxa"/>
            <w:shd w:val="clear" w:color="auto" w:fill="EAF3F8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0AE25CEB" w14:textId="77777777" w:rsidR="00275FFB" w:rsidRDefault="00000000">
            <w:pPr>
              <w:spacing w:after="0" w:line="240" w:lineRule="auto"/>
            </w:pPr>
            <w:r>
              <w:rPr>
                <w:b/>
                <w:color w:val="183B56"/>
                <w:sz w:val="18"/>
              </w:rPr>
              <w:t>Versión documental</w:t>
            </w:r>
          </w:p>
        </w:tc>
        <w:tc>
          <w:tcPr>
            <w:tcW w:w="692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29135054" w14:textId="77777777" w:rsidR="00275FFB" w:rsidRDefault="00000000">
            <w:pPr>
              <w:spacing w:after="0" w:line="240" w:lineRule="auto"/>
            </w:pPr>
            <w:r>
              <w:rPr>
                <w:sz w:val="17"/>
              </w:rPr>
              <w:t>1.0 · 25 de agosto de 2026</w:t>
            </w:r>
          </w:p>
        </w:tc>
      </w:tr>
      <w:tr w:rsidR="00275FFB" w:rsidRPr="00AD5C21" w14:paraId="500653D4" w14:textId="77777777">
        <w:tc>
          <w:tcPr>
            <w:tcW w:w="2200" w:type="dxa"/>
            <w:shd w:val="clear" w:color="auto" w:fill="EAF3F8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C1AF5C3" w14:textId="77777777" w:rsidR="00275FFB" w:rsidRDefault="00000000">
            <w:pPr>
              <w:spacing w:after="0" w:line="240" w:lineRule="auto"/>
            </w:pPr>
            <w:r>
              <w:rPr>
                <w:b/>
                <w:color w:val="183B56"/>
                <w:sz w:val="18"/>
              </w:rPr>
              <w:t>Código examinado</w:t>
            </w:r>
          </w:p>
        </w:tc>
        <w:tc>
          <w:tcPr>
            <w:tcW w:w="6920" w:type="dxa"/>
            <w:shd w:val="clear" w:color="auto" w:fill="F3F5F7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1533432" w14:textId="77777777" w:rsidR="00275FFB" w:rsidRPr="00AD5C21" w:rsidRDefault="00000000">
            <w:pPr>
              <w:spacing w:after="0" w:line="240" w:lineRule="auto"/>
              <w:rPr>
                <w:lang w:val="es-ES"/>
              </w:rPr>
            </w:pPr>
            <w:r w:rsidRPr="00AD5C21">
              <w:rPr>
                <w:sz w:val="17"/>
                <w:lang w:val="es-ES"/>
              </w:rPr>
              <w:t>Repositorio DynamicApi: API, módulos de dominio, persistencia y reverse proxy</w:t>
            </w:r>
          </w:p>
        </w:tc>
      </w:tr>
    </w:tbl>
    <w:p w14:paraId="1DCADAE9" w14:textId="77777777" w:rsidR="00275FFB" w:rsidRPr="00AD5C21" w:rsidRDefault="00000000">
      <w:pPr>
        <w:pStyle w:val="Heading1"/>
        <w:rPr>
          <w:lang w:val="es-ES"/>
        </w:rPr>
      </w:pPr>
      <w:r w:rsidRPr="00AD5C21">
        <w:rPr>
          <w:lang w:val="es-ES"/>
        </w:rPr>
        <w:t>1. Objeto y alcance</w:t>
      </w:r>
    </w:p>
    <w:p w14:paraId="0A3CEFE5" w14:textId="77777777" w:rsidR="00275FFB" w:rsidRPr="00AD5C21" w:rsidRDefault="00000000">
      <w:pPr>
        <w:spacing w:line="259" w:lineRule="auto"/>
        <w:rPr>
          <w:lang w:val="es-ES"/>
        </w:rPr>
      </w:pPr>
      <w:r w:rsidRPr="00AD5C21">
        <w:rPr>
          <w:lang w:val="es-ES"/>
        </w:rPr>
        <w:t>La presente memoria identifica y describe técnicamente el núcleo del programa Dinámica con el propósito de acompañar el depósito o registro de su código fuente. Resume su estructura lógica, tecnologías, condiciones de ejecución y funciones principales sin reproducir secretos, credenciales ni detalles operativos sensibles.</w:t>
      </w:r>
    </w:p>
    <w:p w14:paraId="5ECBD019" w14:textId="77777777" w:rsidR="00275FFB" w:rsidRPr="00AD5C21" w:rsidRDefault="00000000">
      <w:pPr>
        <w:spacing w:line="259" w:lineRule="auto"/>
        <w:rPr>
          <w:lang w:val="es-ES"/>
        </w:rPr>
      </w:pPr>
      <w:r w:rsidRPr="00AD5C21">
        <w:rPr>
          <w:lang w:val="es-ES"/>
        </w:rPr>
        <w:t>El material analizado corresponde al backend y a la capa de publicación incluidos en el repositorio DynamicApi. El código del frontend no forma parte de este repositorio; únicamente queda acreditado en la configuración que la interfaz se distribuye como una aplicación web estática (SPA) desde un CDN.</w:t>
      </w:r>
    </w:p>
    <w:tbl>
      <w:tblPr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120"/>
      </w:tblGrid>
      <w:tr w:rsidR="00275FFB" w:rsidRPr="00AD5C21" w14:paraId="7FE75A2D" w14:textId="77777777">
        <w:tc>
          <w:tcPr>
            <w:tcW w:w="9120" w:type="dxa"/>
            <w:shd w:val="clear" w:color="auto" w:fill="FFF2E8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4BFB39DB" w14:textId="77777777" w:rsidR="00275FFB" w:rsidRPr="00AD5C21" w:rsidRDefault="00000000">
            <w:pPr>
              <w:spacing w:after="0"/>
              <w:rPr>
                <w:lang w:val="es-ES"/>
              </w:rPr>
            </w:pPr>
            <w:r w:rsidRPr="00AD5C21">
              <w:rPr>
                <w:b/>
                <w:color w:val="D97A35"/>
                <w:sz w:val="18"/>
                <w:lang w:val="es-ES"/>
              </w:rPr>
              <w:t xml:space="preserve">ALCANCE REGISTRAL. </w:t>
            </w:r>
            <w:r w:rsidRPr="00AD5C21">
              <w:rPr>
                <w:sz w:val="18"/>
                <w:lang w:val="es-ES"/>
              </w:rPr>
              <w:t>Para el depósito conviene adjuntar el ZIP del núcleo seleccionado conservando la estructura de carpetas y, si es posible, un identificador de versión o fecha. Deben excluirse contraseñas, claves privadas, secretos JWT, credenciales SMTP/Firebase y ficheros de configuración reales de producción.</w:t>
            </w:r>
          </w:p>
        </w:tc>
      </w:tr>
    </w:tbl>
    <w:p w14:paraId="697B6575" w14:textId="77777777" w:rsidR="00275FFB" w:rsidRPr="00AD5C21" w:rsidRDefault="00000000">
      <w:pPr>
        <w:pStyle w:val="Heading1"/>
        <w:rPr>
          <w:lang w:val="es-ES"/>
        </w:rPr>
      </w:pPr>
      <w:r w:rsidRPr="00AD5C21">
        <w:rPr>
          <w:lang w:val="es-ES"/>
        </w:rPr>
        <w:t>2. Visión general del programa</w:t>
      </w:r>
    </w:p>
    <w:p w14:paraId="3DF0361C" w14:textId="77777777" w:rsidR="00275FFB" w:rsidRPr="00AD5C21" w:rsidRDefault="00000000">
      <w:pPr>
        <w:spacing w:line="259" w:lineRule="auto"/>
        <w:rPr>
          <w:lang w:val="es-ES"/>
        </w:rPr>
      </w:pPr>
      <w:r w:rsidRPr="00AD5C21">
        <w:rPr>
          <w:lang w:val="es-ES"/>
        </w:rPr>
        <w:t>Dinámica proporciona una plataforma multiusuario para conectar consumidores y negocios mediante puntos, tickets o recompensas, códigos QR, campañas promocionales y comunicaciones. La API expone servicios REST y eventos en tiempo real para la web pública, el portal de usuario y las herramientas de gestión de negocios y administración.</w:t>
      </w:r>
    </w:p>
    <w:p w14:paraId="4358ACA2" w14:textId="77777777" w:rsidR="00275FFB" w:rsidRPr="00AD5C21" w:rsidRDefault="00000000">
      <w:pPr>
        <w:pStyle w:val="ListBullet"/>
        <w:spacing w:after="50" w:line="245" w:lineRule="auto"/>
        <w:rPr>
          <w:lang w:val="es-ES"/>
        </w:rPr>
      </w:pPr>
      <w:r w:rsidRPr="00AD5C21">
        <w:rPr>
          <w:lang w:val="es-ES"/>
        </w:rPr>
        <w:t>Usuarios finales: registro, autenticación, perfil, sesiones, actividad, puntos, tickets y promociones.</w:t>
      </w:r>
    </w:p>
    <w:p w14:paraId="3BE3A23C" w14:textId="77777777" w:rsidR="00275FFB" w:rsidRPr="00AD5C21" w:rsidRDefault="00000000">
      <w:pPr>
        <w:pStyle w:val="ListBullet"/>
        <w:spacing w:after="50" w:line="245" w:lineRule="auto"/>
        <w:rPr>
          <w:lang w:val="es-ES"/>
        </w:rPr>
      </w:pPr>
      <w:r w:rsidRPr="00AD5C21">
        <w:rPr>
          <w:lang w:val="es-ES"/>
        </w:rPr>
        <w:t>Negocios: alta y edición, personal, clientes, audiencia, recompensas, campañas y analítica.</w:t>
      </w:r>
    </w:p>
    <w:p w14:paraId="26D3BA68" w14:textId="77777777" w:rsidR="00275FFB" w:rsidRPr="00AD5C21" w:rsidRDefault="00000000">
      <w:pPr>
        <w:pStyle w:val="ListBullet"/>
        <w:spacing w:after="50" w:line="245" w:lineRule="auto"/>
        <w:rPr>
          <w:lang w:val="es-ES"/>
        </w:rPr>
      </w:pPr>
      <w:r w:rsidRPr="00AD5C21">
        <w:rPr>
          <w:lang w:val="es-ES"/>
        </w:rPr>
        <w:t>Administración: supervisión de informes, campañas, colas de correo y cuentas de negocio.</w:t>
      </w:r>
    </w:p>
    <w:p w14:paraId="23A2DCC2" w14:textId="77777777" w:rsidR="00275FFB" w:rsidRPr="00AD5C21" w:rsidRDefault="00275FFB">
      <w:pPr>
        <w:rPr>
          <w:lang w:val="es-ES"/>
        </w:rPr>
        <w:sectPr w:rsidR="00275FFB" w:rsidRPr="00AD5C21">
          <w:headerReference w:type="default" r:id="rId8"/>
          <w:footerReference w:type="default" r:id="rId9"/>
          <w:pgSz w:w="12240" w:h="15840"/>
          <w:pgMar w:top="1037" w:right="1325" w:bottom="979" w:left="1325" w:header="432" w:footer="432" w:gutter="0"/>
          <w:cols w:space="720"/>
          <w:docGrid w:linePitch="360"/>
        </w:sectPr>
      </w:pPr>
    </w:p>
    <w:p w14:paraId="39FBC210" w14:textId="77777777" w:rsidR="00275FFB" w:rsidRPr="00AD5C21" w:rsidRDefault="00000000">
      <w:pPr>
        <w:pStyle w:val="Heading1"/>
        <w:rPr>
          <w:lang w:val="es-ES"/>
        </w:rPr>
      </w:pPr>
      <w:r w:rsidRPr="00AD5C21">
        <w:rPr>
          <w:lang w:val="es-ES"/>
        </w:rPr>
        <w:lastRenderedPageBreak/>
        <w:t>3. Lenguajes, tecnologías y componentes</w:t>
      </w:r>
    </w:p>
    <w:p w14:paraId="0A50B383" w14:textId="77777777" w:rsidR="00275FFB" w:rsidRPr="00AD5C21" w:rsidRDefault="00000000">
      <w:pPr>
        <w:spacing w:line="259" w:lineRule="auto"/>
        <w:rPr>
          <w:lang w:val="es-ES"/>
        </w:rPr>
      </w:pPr>
      <w:r w:rsidRPr="00AD5C21">
        <w:rPr>
          <w:lang w:val="es-ES"/>
        </w:rPr>
        <w:t>El núcleo está organizado como una solución modular. Cada área funcional separa controladores HTTP, servicios de aplicación, contratos, entidades de dominio, repositorios y persistencia. La aplicación principal descubre y registra los módulos Dynamic.* y los ejecuta bajo un único host ASP.NET Core.</w:t>
      </w:r>
    </w:p>
    <w:tbl>
      <w:tblPr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6920"/>
      </w:tblGrid>
      <w:tr w:rsidR="00275FFB" w:rsidRPr="00AD5C21" w14:paraId="64FEA33C" w14:textId="77777777">
        <w:tc>
          <w:tcPr>
            <w:tcW w:w="2200" w:type="dxa"/>
            <w:shd w:val="clear" w:color="auto" w:fill="183B56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550357F2" w14:textId="77777777" w:rsidR="00275FFB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6920" w:type="dxa"/>
            <w:shd w:val="clear" w:color="auto" w:fill="183B56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7C51B0F5" w14:textId="77777777" w:rsidR="00275FFB" w:rsidRPr="00AD5C21" w:rsidRDefault="00000000">
            <w:pPr>
              <w:spacing w:after="0" w:line="240" w:lineRule="auto"/>
              <w:rPr>
                <w:lang w:val="es-ES"/>
              </w:rPr>
            </w:pPr>
            <w:r w:rsidRPr="00AD5C21">
              <w:rPr>
                <w:b/>
                <w:color w:val="FFFFFF"/>
                <w:sz w:val="18"/>
                <w:lang w:val="es-ES"/>
              </w:rPr>
              <w:t>Tecnología acreditada en el repositorio</w:t>
            </w:r>
          </w:p>
        </w:tc>
      </w:tr>
      <w:tr w:rsidR="00275FFB" w:rsidRPr="00AD5C21" w14:paraId="3C3720AC" w14:textId="77777777">
        <w:tc>
          <w:tcPr>
            <w:tcW w:w="2200" w:type="dxa"/>
            <w:shd w:val="clear" w:color="auto" w:fill="EAF3F8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17C914EF" w14:textId="77777777" w:rsidR="00275FFB" w:rsidRDefault="00000000">
            <w:pPr>
              <w:spacing w:after="0" w:line="240" w:lineRule="auto"/>
            </w:pPr>
            <w:r>
              <w:rPr>
                <w:b/>
                <w:color w:val="183B56"/>
                <w:sz w:val="18"/>
              </w:rPr>
              <w:t>Lenguaje</w:t>
            </w:r>
          </w:p>
        </w:tc>
        <w:tc>
          <w:tcPr>
            <w:tcW w:w="692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1834CA07" w14:textId="77777777" w:rsidR="00275FFB" w:rsidRPr="00AD5C21" w:rsidRDefault="00000000">
            <w:pPr>
              <w:spacing w:after="0" w:line="240" w:lineRule="auto"/>
              <w:rPr>
                <w:lang w:val="es-ES"/>
              </w:rPr>
            </w:pPr>
            <w:r w:rsidRPr="00AD5C21">
              <w:rPr>
                <w:sz w:val="17"/>
                <w:lang w:val="es-ES"/>
              </w:rPr>
              <w:t>C# con nullable reference types e implicit usings habilitados</w:t>
            </w:r>
          </w:p>
        </w:tc>
      </w:tr>
      <w:tr w:rsidR="00275FFB" w14:paraId="20962A0D" w14:textId="77777777">
        <w:tc>
          <w:tcPr>
            <w:tcW w:w="2200" w:type="dxa"/>
            <w:shd w:val="clear" w:color="auto" w:fill="EAF3F8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29ED2DD1" w14:textId="77777777" w:rsidR="00275FFB" w:rsidRDefault="00000000">
            <w:pPr>
              <w:spacing w:after="0" w:line="240" w:lineRule="auto"/>
            </w:pPr>
            <w:r>
              <w:rPr>
                <w:b/>
                <w:color w:val="183B56"/>
                <w:sz w:val="18"/>
              </w:rPr>
              <w:t>Plataforma backend</w:t>
            </w:r>
          </w:p>
        </w:tc>
        <w:tc>
          <w:tcPr>
            <w:tcW w:w="6920" w:type="dxa"/>
            <w:shd w:val="clear" w:color="auto" w:fill="F3F5F7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0B0381C5" w14:textId="77777777" w:rsidR="00275FFB" w:rsidRDefault="00000000">
            <w:pPr>
              <w:spacing w:after="0" w:line="240" w:lineRule="auto"/>
            </w:pPr>
            <w:r>
              <w:rPr>
                <w:sz w:val="17"/>
              </w:rPr>
              <w:t>.NET 10 / ASP.NET Core; API REST mediante controladores MVC</w:t>
            </w:r>
          </w:p>
        </w:tc>
      </w:tr>
      <w:tr w:rsidR="00275FFB" w14:paraId="59FCE7F4" w14:textId="77777777">
        <w:tc>
          <w:tcPr>
            <w:tcW w:w="2200" w:type="dxa"/>
            <w:shd w:val="clear" w:color="auto" w:fill="EAF3F8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BD7F323" w14:textId="77777777" w:rsidR="00275FFB" w:rsidRDefault="00000000">
            <w:pPr>
              <w:spacing w:after="0" w:line="240" w:lineRule="auto"/>
            </w:pPr>
            <w:r>
              <w:rPr>
                <w:b/>
                <w:color w:val="183B56"/>
                <w:sz w:val="18"/>
              </w:rPr>
              <w:t>Acceso a datos</w:t>
            </w:r>
          </w:p>
        </w:tc>
        <w:tc>
          <w:tcPr>
            <w:tcW w:w="692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6976B51" w14:textId="77777777" w:rsidR="00275FFB" w:rsidRDefault="00000000">
            <w:pPr>
              <w:spacing w:after="0" w:line="240" w:lineRule="auto"/>
            </w:pPr>
            <w:r>
              <w:rPr>
                <w:sz w:val="17"/>
              </w:rPr>
              <w:t>Entity Framework Core 9 + proveedor Pomelo para MySQL/MariaDB</w:t>
            </w:r>
          </w:p>
        </w:tc>
      </w:tr>
      <w:tr w:rsidR="00275FFB" w:rsidRPr="00AD5C21" w14:paraId="62BF888F" w14:textId="77777777">
        <w:tc>
          <w:tcPr>
            <w:tcW w:w="2200" w:type="dxa"/>
            <w:shd w:val="clear" w:color="auto" w:fill="EAF3F8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65B5A33" w14:textId="77777777" w:rsidR="00275FFB" w:rsidRDefault="00000000">
            <w:pPr>
              <w:spacing w:after="0" w:line="240" w:lineRule="auto"/>
            </w:pPr>
            <w:r>
              <w:rPr>
                <w:b/>
                <w:color w:val="183B56"/>
                <w:sz w:val="18"/>
              </w:rPr>
              <w:t>Base de datos</w:t>
            </w:r>
          </w:p>
        </w:tc>
        <w:tc>
          <w:tcPr>
            <w:tcW w:w="6920" w:type="dxa"/>
            <w:shd w:val="clear" w:color="auto" w:fill="F3F5F7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09A03936" w14:textId="77777777" w:rsidR="00275FFB" w:rsidRPr="00AD5C21" w:rsidRDefault="00000000">
            <w:pPr>
              <w:spacing w:after="0" w:line="240" w:lineRule="auto"/>
              <w:rPr>
                <w:lang w:val="es-ES"/>
              </w:rPr>
            </w:pPr>
            <w:r w:rsidRPr="00AD5C21">
              <w:rPr>
                <w:sz w:val="17"/>
                <w:lang w:val="es-ES"/>
              </w:rPr>
              <w:t>MariaDB 11.4 declarada en configuración; migraciones separadas por contexto</w:t>
            </w:r>
          </w:p>
        </w:tc>
      </w:tr>
      <w:tr w:rsidR="00275FFB" w:rsidRPr="00AD5C21" w14:paraId="0874E2FC" w14:textId="77777777">
        <w:tc>
          <w:tcPr>
            <w:tcW w:w="2200" w:type="dxa"/>
            <w:shd w:val="clear" w:color="auto" w:fill="EAF3F8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8E6BBC6" w14:textId="77777777" w:rsidR="00275FFB" w:rsidRDefault="00000000">
            <w:pPr>
              <w:spacing w:after="0" w:line="240" w:lineRule="auto"/>
            </w:pPr>
            <w:r>
              <w:rPr>
                <w:b/>
                <w:color w:val="183B56"/>
                <w:sz w:val="18"/>
              </w:rPr>
              <w:t>Seguridad</w:t>
            </w:r>
          </w:p>
        </w:tc>
        <w:tc>
          <w:tcPr>
            <w:tcW w:w="692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76BE955C" w14:textId="77777777" w:rsidR="00275FFB" w:rsidRPr="00AD5C21" w:rsidRDefault="00000000">
            <w:pPr>
              <w:spacing w:after="0" w:line="240" w:lineRule="auto"/>
              <w:rPr>
                <w:lang w:val="es-ES"/>
              </w:rPr>
            </w:pPr>
            <w:r w:rsidRPr="00AD5C21">
              <w:rPr>
                <w:sz w:val="17"/>
                <w:lang w:val="es-ES"/>
              </w:rPr>
              <w:t>JWT Bearer, roles y políticas; validación de Google/Apple; CORS y cabeceras defensivas</w:t>
            </w:r>
          </w:p>
        </w:tc>
      </w:tr>
      <w:tr w:rsidR="00275FFB" w14:paraId="578145EF" w14:textId="77777777">
        <w:tc>
          <w:tcPr>
            <w:tcW w:w="2200" w:type="dxa"/>
            <w:shd w:val="clear" w:color="auto" w:fill="EAF3F8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07349B11" w14:textId="77777777" w:rsidR="00275FFB" w:rsidRDefault="00000000">
            <w:pPr>
              <w:spacing w:after="0" w:line="240" w:lineRule="auto"/>
            </w:pPr>
            <w:r>
              <w:rPr>
                <w:b/>
                <w:color w:val="183B56"/>
                <w:sz w:val="18"/>
              </w:rPr>
              <w:t>Publicación</w:t>
            </w:r>
          </w:p>
        </w:tc>
        <w:tc>
          <w:tcPr>
            <w:tcW w:w="6920" w:type="dxa"/>
            <w:shd w:val="clear" w:color="auto" w:fill="F3F5F7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082D9387" w14:textId="77777777" w:rsidR="00275FFB" w:rsidRDefault="00000000">
            <w:pPr>
              <w:spacing w:after="0" w:line="240" w:lineRule="auto"/>
            </w:pPr>
            <w:r>
              <w:rPr>
                <w:sz w:val="17"/>
              </w:rPr>
              <w:t>Kestrel + reverse proxy YARP 2.3; frontal TLS Nginx/Apache/Vesta</w:t>
            </w:r>
          </w:p>
        </w:tc>
      </w:tr>
      <w:tr w:rsidR="00275FFB" w:rsidRPr="00AD5C21" w14:paraId="2121A506" w14:textId="77777777">
        <w:tc>
          <w:tcPr>
            <w:tcW w:w="2200" w:type="dxa"/>
            <w:shd w:val="clear" w:color="auto" w:fill="EAF3F8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1564BBE4" w14:textId="77777777" w:rsidR="00275FFB" w:rsidRDefault="00000000">
            <w:pPr>
              <w:spacing w:after="0" w:line="240" w:lineRule="auto"/>
            </w:pPr>
            <w:r>
              <w:rPr>
                <w:b/>
                <w:color w:val="183B56"/>
                <w:sz w:val="18"/>
              </w:rPr>
              <w:t>Tiempo real</w:t>
            </w:r>
          </w:p>
        </w:tc>
        <w:tc>
          <w:tcPr>
            <w:tcW w:w="692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488DA0A" w14:textId="77777777" w:rsidR="00275FFB" w:rsidRPr="00AD5C21" w:rsidRDefault="00000000">
            <w:pPr>
              <w:spacing w:after="0" w:line="240" w:lineRule="auto"/>
              <w:rPr>
                <w:lang w:val="es-ES"/>
              </w:rPr>
            </w:pPr>
            <w:r w:rsidRPr="00AD5C21">
              <w:rPr>
                <w:sz w:val="17"/>
                <w:lang w:val="es-ES"/>
              </w:rPr>
              <w:t>SignalR para eventos dirigidos a usuarios autenticados</w:t>
            </w:r>
          </w:p>
        </w:tc>
      </w:tr>
      <w:tr w:rsidR="00275FFB" w:rsidRPr="00AD5C21" w14:paraId="362D521C" w14:textId="77777777">
        <w:tc>
          <w:tcPr>
            <w:tcW w:w="2200" w:type="dxa"/>
            <w:shd w:val="clear" w:color="auto" w:fill="EAF3F8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22C4A688" w14:textId="77777777" w:rsidR="00275FFB" w:rsidRDefault="00000000">
            <w:pPr>
              <w:spacing w:after="0" w:line="240" w:lineRule="auto"/>
            </w:pPr>
            <w:r>
              <w:rPr>
                <w:b/>
                <w:color w:val="183B56"/>
                <w:sz w:val="18"/>
              </w:rPr>
              <w:t>Integraciones</w:t>
            </w:r>
          </w:p>
        </w:tc>
        <w:tc>
          <w:tcPr>
            <w:tcW w:w="6920" w:type="dxa"/>
            <w:shd w:val="clear" w:color="auto" w:fill="F3F5F7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D357097" w14:textId="77777777" w:rsidR="00275FFB" w:rsidRPr="00AD5C21" w:rsidRDefault="00000000">
            <w:pPr>
              <w:spacing w:after="0" w:line="240" w:lineRule="auto"/>
              <w:rPr>
                <w:lang w:val="es-ES"/>
              </w:rPr>
            </w:pPr>
            <w:r w:rsidRPr="00AD5C21">
              <w:rPr>
                <w:sz w:val="17"/>
                <w:lang w:val="es-ES"/>
              </w:rPr>
              <w:t>MailKit/SMTP, Firebase push, Google APIs y generación QR con QRCoder</w:t>
            </w:r>
          </w:p>
        </w:tc>
      </w:tr>
      <w:tr w:rsidR="00275FFB" w:rsidRPr="00AD5C21" w14:paraId="6C33559F" w14:textId="77777777">
        <w:tc>
          <w:tcPr>
            <w:tcW w:w="2200" w:type="dxa"/>
            <w:shd w:val="clear" w:color="auto" w:fill="EAF3F8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03B3BC64" w14:textId="77777777" w:rsidR="00275FFB" w:rsidRDefault="00000000">
            <w:pPr>
              <w:spacing w:after="0" w:line="240" w:lineRule="auto"/>
            </w:pPr>
            <w:r>
              <w:rPr>
                <w:b/>
                <w:color w:val="183B56"/>
                <w:sz w:val="18"/>
              </w:rPr>
              <w:t>Documentación API</w:t>
            </w:r>
          </w:p>
        </w:tc>
        <w:tc>
          <w:tcPr>
            <w:tcW w:w="692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214EEEFE" w14:textId="77777777" w:rsidR="00275FFB" w:rsidRPr="00AD5C21" w:rsidRDefault="00000000">
            <w:pPr>
              <w:spacing w:after="0" w:line="240" w:lineRule="auto"/>
              <w:rPr>
                <w:lang w:val="es-ES"/>
              </w:rPr>
            </w:pPr>
            <w:r w:rsidRPr="00AD5C21">
              <w:rPr>
                <w:sz w:val="17"/>
                <w:lang w:val="es-ES"/>
              </w:rPr>
              <w:t>OpenAPI/Swagger mediante Swashbuckle en entorno de desarrollo</w:t>
            </w:r>
          </w:p>
        </w:tc>
      </w:tr>
    </w:tbl>
    <w:p w14:paraId="08689C51" w14:textId="77777777" w:rsidR="00275FFB" w:rsidRDefault="00000000">
      <w:pPr>
        <w:pStyle w:val="Heading2"/>
      </w:pPr>
      <w:r>
        <w:t>3.1 Módulos del backend</w:t>
      </w:r>
    </w:p>
    <w:tbl>
      <w:tblPr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6920"/>
      </w:tblGrid>
      <w:tr w:rsidR="00275FFB" w:rsidRPr="00AD5C21" w14:paraId="28A87D7F" w14:textId="77777777">
        <w:tc>
          <w:tcPr>
            <w:tcW w:w="2200" w:type="dxa"/>
            <w:shd w:val="clear" w:color="auto" w:fill="EAF3F8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041841A" w14:textId="77777777" w:rsidR="00275FFB" w:rsidRDefault="00000000">
            <w:pPr>
              <w:spacing w:after="0" w:line="240" w:lineRule="auto"/>
            </w:pPr>
            <w:r>
              <w:rPr>
                <w:b/>
                <w:color w:val="183B56"/>
                <w:sz w:val="18"/>
              </w:rPr>
              <w:t>Dynamic.Users</w:t>
            </w:r>
          </w:p>
        </w:tc>
        <w:tc>
          <w:tcPr>
            <w:tcW w:w="692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C75A785" w14:textId="77777777" w:rsidR="00275FFB" w:rsidRPr="00AD5C21" w:rsidRDefault="00000000">
            <w:pPr>
              <w:spacing w:after="0" w:line="240" w:lineRule="auto"/>
              <w:rPr>
                <w:lang w:val="es-ES"/>
              </w:rPr>
            </w:pPr>
            <w:r w:rsidRPr="00AD5C21">
              <w:rPr>
                <w:sz w:val="17"/>
                <w:lang w:val="es-ES"/>
              </w:rPr>
              <w:t>Identidad, registro, login, perfiles, sesiones, roles y cuentas vinculadas a negocios.</w:t>
            </w:r>
          </w:p>
        </w:tc>
      </w:tr>
      <w:tr w:rsidR="00275FFB" w:rsidRPr="00AD5C21" w14:paraId="4C89F75D" w14:textId="77777777">
        <w:tc>
          <w:tcPr>
            <w:tcW w:w="2200" w:type="dxa"/>
            <w:shd w:val="clear" w:color="auto" w:fill="EAF3F8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2E3455B" w14:textId="77777777" w:rsidR="00275FFB" w:rsidRDefault="00000000">
            <w:pPr>
              <w:spacing w:after="0" w:line="240" w:lineRule="auto"/>
            </w:pPr>
            <w:r>
              <w:rPr>
                <w:b/>
                <w:color w:val="183B56"/>
                <w:sz w:val="18"/>
              </w:rPr>
              <w:t>Dynamic.Negocios</w:t>
            </w:r>
          </w:p>
        </w:tc>
        <w:tc>
          <w:tcPr>
            <w:tcW w:w="6920" w:type="dxa"/>
            <w:shd w:val="clear" w:color="auto" w:fill="F3F5F7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43E89431" w14:textId="77777777" w:rsidR="00275FFB" w:rsidRPr="00AD5C21" w:rsidRDefault="00000000">
            <w:pPr>
              <w:spacing w:after="0" w:line="240" w:lineRule="auto"/>
              <w:rPr>
                <w:lang w:val="es-ES"/>
              </w:rPr>
            </w:pPr>
            <w:r w:rsidRPr="00AD5C21">
              <w:rPr>
                <w:sz w:val="17"/>
                <w:lang w:val="es-ES"/>
              </w:rPr>
              <w:t>Catálogo y gestión de negocios, ubicación, medios, propietarios, trabajadores y audiencias.</w:t>
            </w:r>
          </w:p>
        </w:tc>
      </w:tr>
      <w:tr w:rsidR="00275FFB" w:rsidRPr="00AD5C21" w14:paraId="0ECE5C78" w14:textId="77777777">
        <w:tc>
          <w:tcPr>
            <w:tcW w:w="2200" w:type="dxa"/>
            <w:shd w:val="clear" w:color="auto" w:fill="EAF3F8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3E38346" w14:textId="77777777" w:rsidR="00275FFB" w:rsidRDefault="00000000">
            <w:pPr>
              <w:spacing w:after="0" w:line="240" w:lineRule="auto"/>
            </w:pPr>
            <w:r>
              <w:rPr>
                <w:b/>
                <w:color w:val="183B56"/>
                <w:sz w:val="18"/>
              </w:rPr>
              <w:t>Dynamic.Fidelity</w:t>
            </w:r>
          </w:p>
        </w:tc>
        <w:tc>
          <w:tcPr>
            <w:tcW w:w="692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2A300220" w14:textId="77777777" w:rsidR="00275FFB" w:rsidRPr="00AD5C21" w:rsidRDefault="00000000">
            <w:pPr>
              <w:spacing w:after="0" w:line="240" w:lineRule="auto"/>
              <w:rPr>
                <w:lang w:val="es-ES"/>
              </w:rPr>
            </w:pPr>
            <w:r w:rsidRPr="00AD5C21">
              <w:rPr>
                <w:sz w:val="17"/>
                <w:lang w:val="es-ES"/>
              </w:rPr>
              <w:t>Puntos, transacciones, tickets, canjes, QR, recompensas y pertenencia/favoritos.</w:t>
            </w:r>
          </w:p>
        </w:tc>
      </w:tr>
      <w:tr w:rsidR="00275FFB" w:rsidRPr="00AD5C21" w14:paraId="19F288D1" w14:textId="77777777">
        <w:tc>
          <w:tcPr>
            <w:tcW w:w="2200" w:type="dxa"/>
            <w:shd w:val="clear" w:color="auto" w:fill="EAF3F8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1DBE2F14" w14:textId="77777777" w:rsidR="00275FFB" w:rsidRDefault="00000000">
            <w:pPr>
              <w:spacing w:after="0" w:line="240" w:lineRule="auto"/>
            </w:pPr>
            <w:r>
              <w:rPr>
                <w:b/>
                <w:color w:val="183B56"/>
                <w:sz w:val="18"/>
              </w:rPr>
              <w:t>Dynamic.Promotions</w:t>
            </w:r>
          </w:p>
        </w:tc>
        <w:tc>
          <w:tcPr>
            <w:tcW w:w="6920" w:type="dxa"/>
            <w:shd w:val="clear" w:color="auto" w:fill="F3F5F7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2420D0AF" w14:textId="77777777" w:rsidR="00275FFB" w:rsidRPr="00AD5C21" w:rsidRDefault="00000000">
            <w:pPr>
              <w:spacing w:after="0" w:line="240" w:lineRule="auto"/>
              <w:rPr>
                <w:lang w:val="es-ES"/>
              </w:rPr>
            </w:pPr>
            <w:r w:rsidRPr="00AD5C21">
              <w:rPr>
                <w:sz w:val="17"/>
                <w:lang w:val="es-ES"/>
              </w:rPr>
              <w:t>Campañas, segmentación, bandeja, outbox y entrega por push y correo.</w:t>
            </w:r>
          </w:p>
        </w:tc>
      </w:tr>
      <w:tr w:rsidR="00275FFB" w:rsidRPr="00AD5C21" w14:paraId="7D2004AF" w14:textId="77777777">
        <w:tc>
          <w:tcPr>
            <w:tcW w:w="2200" w:type="dxa"/>
            <w:shd w:val="clear" w:color="auto" w:fill="EAF3F8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08777918" w14:textId="77777777" w:rsidR="00275FFB" w:rsidRDefault="00000000">
            <w:pPr>
              <w:spacing w:after="0" w:line="240" w:lineRule="auto"/>
            </w:pPr>
            <w:r>
              <w:rPr>
                <w:b/>
                <w:color w:val="183B56"/>
                <w:sz w:val="18"/>
              </w:rPr>
              <w:t>Dynamic.Notify</w:t>
            </w:r>
          </w:p>
        </w:tc>
        <w:tc>
          <w:tcPr>
            <w:tcW w:w="692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A6D45EA" w14:textId="77777777" w:rsidR="00275FFB" w:rsidRPr="00AD5C21" w:rsidRDefault="00000000">
            <w:pPr>
              <w:spacing w:after="0" w:line="240" w:lineRule="auto"/>
              <w:rPr>
                <w:lang w:val="es-ES"/>
              </w:rPr>
            </w:pPr>
            <w:r w:rsidRPr="00AD5C21">
              <w:rPr>
                <w:sz w:val="17"/>
                <w:lang w:val="es-ES"/>
              </w:rPr>
              <w:t>Correo SMTP y eventos de usuario en tiempo real mediante SignalR.</w:t>
            </w:r>
          </w:p>
        </w:tc>
      </w:tr>
      <w:tr w:rsidR="00275FFB" w:rsidRPr="00AD5C21" w14:paraId="0996A6C5" w14:textId="77777777">
        <w:tc>
          <w:tcPr>
            <w:tcW w:w="2200" w:type="dxa"/>
            <w:shd w:val="clear" w:color="auto" w:fill="EAF3F8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060B63E" w14:textId="77777777" w:rsidR="00275FFB" w:rsidRDefault="00000000">
            <w:pPr>
              <w:spacing w:after="0" w:line="240" w:lineRule="auto"/>
            </w:pPr>
            <w:r>
              <w:rPr>
                <w:b/>
                <w:color w:val="183B56"/>
                <w:sz w:val="18"/>
              </w:rPr>
              <w:t>Dynamic.Reports</w:t>
            </w:r>
          </w:p>
        </w:tc>
        <w:tc>
          <w:tcPr>
            <w:tcW w:w="6920" w:type="dxa"/>
            <w:shd w:val="clear" w:color="auto" w:fill="F3F5F7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293C4E5A" w14:textId="77777777" w:rsidR="00275FFB" w:rsidRPr="00AD5C21" w:rsidRDefault="00000000">
            <w:pPr>
              <w:spacing w:after="0" w:line="240" w:lineRule="auto"/>
              <w:rPr>
                <w:lang w:val="es-ES"/>
              </w:rPr>
            </w:pPr>
            <w:r w:rsidRPr="00AD5C21">
              <w:rPr>
                <w:sz w:val="17"/>
                <w:lang w:val="es-ES"/>
              </w:rPr>
              <w:t>Incidencias o reportes de soporte, conversaciones, estados y gestión administrativa.</w:t>
            </w:r>
          </w:p>
        </w:tc>
      </w:tr>
      <w:tr w:rsidR="00275FFB" w:rsidRPr="00AD5C21" w14:paraId="5FE082A9" w14:textId="77777777">
        <w:tc>
          <w:tcPr>
            <w:tcW w:w="2200" w:type="dxa"/>
            <w:shd w:val="clear" w:color="auto" w:fill="EAF3F8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73887F66" w14:textId="77777777" w:rsidR="00275FFB" w:rsidRDefault="00000000">
            <w:pPr>
              <w:spacing w:after="0" w:line="240" w:lineRule="auto"/>
            </w:pPr>
            <w:r>
              <w:rPr>
                <w:b/>
                <w:color w:val="183B56"/>
                <w:sz w:val="18"/>
              </w:rPr>
              <w:t>Dynamic.Proxy</w:t>
            </w:r>
          </w:p>
        </w:tc>
        <w:tc>
          <w:tcPr>
            <w:tcW w:w="692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68C4FDC" w14:textId="77777777" w:rsidR="00275FFB" w:rsidRPr="00AD5C21" w:rsidRDefault="00000000">
            <w:pPr>
              <w:spacing w:after="0" w:line="240" w:lineRule="auto"/>
              <w:rPr>
                <w:lang w:val="es-ES"/>
              </w:rPr>
            </w:pPr>
            <w:r w:rsidRPr="00AD5C21">
              <w:rPr>
                <w:sz w:val="17"/>
                <w:lang w:val="es-ES"/>
              </w:rPr>
              <w:t>Entrada pública, reescritura de rutas, limitación de peticiones y entrega de la SPA.</w:t>
            </w:r>
          </w:p>
        </w:tc>
      </w:tr>
    </w:tbl>
    <w:p w14:paraId="43018222" w14:textId="77777777" w:rsidR="00275FFB" w:rsidRPr="00AD5C21" w:rsidRDefault="00000000">
      <w:pPr>
        <w:pStyle w:val="Heading2"/>
        <w:rPr>
          <w:lang w:val="es-ES"/>
        </w:rPr>
      </w:pPr>
      <w:r w:rsidRPr="00AD5C21">
        <w:rPr>
          <w:lang w:val="es-ES"/>
        </w:rPr>
        <w:t>3.2 Tecnología del frontend</w:t>
      </w:r>
    </w:p>
    <w:p w14:paraId="2BEA2C0B" w14:textId="77777777" w:rsidR="00275FFB" w:rsidRPr="00AD5C21" w:rsidRDefault="00000000">
      <w:pPr>
        <w:spacing w:line="259" w:lineRule="auto"/>
        <w:rPr>
          <w:lang w:val="es-ES"/>
        </w:rPr>
      </w:pPr>
      <w:r w:rsidRPr="00AD5C21">
        <w:rPr>
          <w:lang w:val="es-ES"/>
        </w:rPr>
        <w:t>La configuración del proxy demuestra una SPA publicada desde cdn.appdynamic.es / www.cdn.appdynamic.es y consumidora de la API pública bajo /Api. Este repositorio no contiene package.json ni código cliente, por lo que no permite certificar si el frontend utiliza React, Angular, Vue u otra tecnología. Para completar la memoria con ese dato debe consultarse el repositorio o artefacto fuente del frontend.</w:t>
      </w:r>
    </w:p>
    <w:p w14:paraId="51A865BB" w14:textId="77777777" w:rsidR="00275FFB" w:rsidRPr="00AD5C21" w:rsidRDefault="00275FFB">
      <w:pPr>
        <w:rPr>
          <w:lang w:val="es-ES"/>
        </w:rPr>
        <w:sectPr w:rsidR="00275FFB" w:rsidRPr="00AD5C21">
          <w:headerReference w:type="default" r:id="rId10"/>
          <w:footerReference w:type="default" r:id="rId11"/>
          <w:pgSz w:w="12240" w:h="15840"/>
          <w:pgMar w:top="1037" w:right="1325" w:bottom="979" w:left="1325" w:header="432" w:footer="432" w:gutter="0"/>
          <w:cols w:space="720"/>
          <w:docGrid w:linePitch="360"/>
        </w:sectPr>
      </w:pPr>
    </w:p>
    <w:p w14:paraId="44539891" w14:textId="77777777" w:rsidR="00275FFB" w:rsidRPr="00AD5C21" w:rsidRDefault="00000000">
      <w:pPr>
        <w:pStyle w:val="Heading1"/>
        <w:rPr>
          <w:lang w:val="es-ES"/>
        </w:rPr>
      </w:pPr>
      <w:r w:rsidRPr="00AD5C21">
        <w:rPr>
          <w:lang w:val="es-ES"/>
        </w:rPr>
        <w:lastRenderedPageBreak/>
        <w:t>4. Requisitos de sistema e infraestructura</w:t>
      </w:r>
    </w:p>
    <w:p w14:paraId="5610C027" w14:textId="77777777" w:rsidR="00275FFB" w:rsidRPr="00AD5C21" w:rsidRDefault="00000000">
      <w:pPr>
        <w:spacing w:line="259" w:lineRule="auto"/>
        <w:rPr>
          <w:lang w:val="es-ES"/>
        </w:rPr>
      </w:pPr>
      <w:r w:rsidRPr="00AD5C21">
        <w:rPr>
          <w:lang w:val="es-ES"/>
        </w:rPr>
        <w:t>La topología documentada prevé un VPS Linux con systemd. La API y el proxy se publican como binarios .NET y se ejecutan como servicios no interactivos. El servidor web público termina TLS y reenvía el tráfico al proxy local; la API no se expone directamente a Internet.</w:t>
      </w:r>
    </w:p>
    <w:tbl>
      <w:tblPr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6920"/>
      </w:tblGrid>
      <w:tr w:rsidR="00275FFB" w:rsidRPr="00AD5C21" w14:paraId="44E4A8B9" w14:textId="77777777">
        <w:tc>
          <w:tcPr>
            <w:tcW w:w="2200" w:type="dxa"/>
            <w:shd w:val="clear" w:color="auto" w:fill="EAF3F8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BA86AF6" w14:textId="77777777" w:rsidR="00275FFB" w:rsidRDefault="00000000">
            <w:pPr>
              <w:spacing w:after="0" w:line="240" w:lineRule="auto"/>
            </w:pPr>
            <w:r>
              <w:rPr>
                <w:b/>
                <w:color w:val="183B56"/>
                <w:sz w:val="18"/>
              </w:rPr>
              <w:t>Servidor</w:t>
            </w:r>
          </w:p>
        </w:tc>
        <w:tc>
          <w:tcPr>
            <w:tcW w:w="692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71C548E" w14:textId="77777777" w:rsidR="00275FFB" w:rsidRPr="00AD5C21" w:rsidRDefault="00000000">
            <w:pPr>
              <w:spacing w:after="0" w:line="240" w:lineRule="auto"/>
              <w:rPr>
                <w:lang w:val="es-ES"/>
              </w:rPr>
            </w:pPr>
            <w:r w:rsidRPr="00AD5C21">
              <w:rPr>
                <w:sz w:val="17"/>
                <w:lang w:val="es-ES"/>
              </w:rPr>
              <w:t>VPS Linux con systemd; Nginx o Apache/Vesta como frontal HTTPS.</w:t>
            </w:r>
          </w:p>
        </w:tc>
      </w:tr>
      <w:tr w:rsidR="00275FFB" w:rsidRPr="00AD5C21" w14:paraId="55D667A6" w14:textId="77777777">
        <w:tc>
          <w:tcPr>
            <w:tcW w:w="2200" w:type="dxa"/>
            <w:shd w:val="clear" w:color="auto" w:fill="EAF3F8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13299295" w14:textId="77777777" w:rsidR="00275FFB" w:rsidRDefault="00000000">
            <w:pPr>
              <w:spacing w:after="0" w:line="240" w:lineRule="auto"/>
            </w:pPr>
            <w:r>
              <w:rPr>
                <w:b/>
                <w:color w:val="183B56"/>
                <w:sz w:val="18"/>
              </w:rPr>
              <w:t>Runtime</w:t>
            </w:r>
          </w:p>
        </w:tc>
        <w:tc>
          <w:tcPr>
            <w:tcW w:w="6920" w:type="dxa"/>
            <w:shd w:val="clear" w:color="auto" w:fill="F3F5F7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CE91BA5" w14:textId="77777777" w:rsidR="00275FFB" w:rsidRPr="00AD5C21" w:rsidRDefault="00000000">
            <w:pPr>
              <w:spacing w:after="0" w:line="240" w:lineRule="auto"/>
              <w:rPr>
                <w:lang w:val="es-ES"/>
              </w:rPr>
            </w:pPr>
            <w:r w:rsidRPr="00AD5C21">
              <w:rPr>
                <w:sz w:val="17"/>
                <w:lang w:val="es-ES"/>
              </w:rPr>
              <w:t>.NET 10 instalado si la publicación depende del framework; no necesario en despliegue autocontenido.</w:t>
            </w:r>
          </w:p>
        </w:tc>
      </w:tr>
      <w:tr w:rsidR="00275FFB" w:rsidRPr="00AD5C21" w14:paraId="21C1C6B0" w14:textId="77777777">
        <w:tc>
          <w:tcPr>
            <w:tcW w:w="2200" w:type="dxa"/>
            <w:shd w:val="clear" w:color="auto" w:fill="EAF3F8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1D533BED" w14:textId="77777777" w:rsidR="00275FFB" w:rsidRDefault="00000000">
            <w:pPr>
              <w:spacing w:after="0" w:line="240" w:lineRule="auto"/>
            </w:pPr>
            <w:r>
              <w:rPr>
                <w:b/>
                <w:color w:val="183B56"/>
                <w:sz w:val="18"/>
              </w:rPr>
              <w:t>Procesos</w:t>
            </w:r>
          </w:p>
        </w:tc>
        <w:tc>
          <w:tcPr>
            <w:tcW w:w="692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1D2EA6CD" w14:textId="77777777" w:rsidR="00275FFB" w:rsidRPr="00AD5C21" w:rsidRDefault="00000000">
            <w:pPr>
              <w:spacing w:after="0" w:line="240" w:lineRule="auto"/>
              <w:rPr>
                <w:lang w:val="es-ES"/>
              </w:rPr>
            </w:pPr>
            <w:r w:rsidRPr="00AD5C21">
              <w:rPr>
                <w:sz w:val="17"/>
                <w:lang w:val="es-ES"/>
              </w:rPr>
              <w:t>Dynamic.Proxy en 127.0.0.1:15000 y DynamicApi en 127.0.0.1:16000.</w:t>
            </w:r>
          </w:p>
        </w:tc>
      </w:tr>
      <w:tr w:rsidR="00275FFB" w:rsidRPr="00AD5C21" w14:paraId="3031F7D1" w14:textId="77777777">
        <w:tc>
          <w:tcPr>
            <w:tcW w:w="2200" w:type="dxa"/>
            <w:shd w:val="clear" w:color="auto" w:fill="EAF3F8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21F01AF7" w14:textId="77777777" w:rsidR="00275FFB" w:rsidRDefault="00000000">
            <w:pPr>
              <w:spacing w:after="0" w:line="240" w:lineRule="auto"/>
            </w:pPr>
            <w:r>
              <w:rPr>
                <w:b/>
                <w:color w:val="183B56"/>
                <w:sz w:val="18"/>
              </w:rPr>
              <w:t>Datos</w:t>
            </w:r>
          </w:p>
        </w:tc>
        <w:tc>
          <w:tcPr>
            <w:tcW w:w="6920" w:type="dxa"/>
            <w:shd w:val="clear" w:color="auto" w:fill="F3F5F7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13474515" w14:textId="77777777" w:rsidR="00275FFB" w:rsidRPr="00AD5C21" w:rsidRDefault="00000000">
            <w:pPr>
              <w:spacing w:after="0" w:line="240" w:lineRule="auto"/>
              <w:rPr>
                <w:lang w:val="es-ES"/>
              </w:rPr>
            </w:pPr>
            <w:r w:rsidRPr="00AD5C21">
              <w:rPr>
                <w:sz w:val="17"/>
                <w:lang w:val="es-ES"/>
              </w:rPr>
              <w:t>MariaDB/MySQL accesible por red local; esquema actualizado con migraciones EF Core al iniciar.</w:t>
            </w:r>
          </w:p>
        </w:tc>
      </w:tr>
      <w:tr w:rsidR="00275FFB" w:rsidRPr="00AD5C21" w14:paraId="59DA3B3C" w14:textId="77777777">
        <w:tc>
          <w:tcPr>
            <w:tcW w:w="2200" w:type="dxa"/>
            <w:shd w:val="clear" w:color="auto" w:fill="EAF3F8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07FCE7D1" w14:textId="77777777" w:rsidR="00275FFB" w:rsidRDefault="00000000">
            <w:pPr>
              <w:spacing w:after="0" w:line="240" w:lineRule="auto"/>
            </w:pPr>
            <w:r>
              <w:rPr>
                <w:b/>
                <w:color w:val="183B56"/>
                <w:sz w:val="18"/>
              </w:rPr>
              <w:t>Almacenamiento</w:t>
            </w:r>
          </w:p>
        </w:tc>
        <w:tc>
          <w:tcPr>
            <w:tcW w:w="692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0C55FD11" w14:textId="77777777" w:rsidR="00275FFB" w:rsidRPr="00AD5C21" w:rsidRDefault="00000000">
            <w:pPr>
              <w:spacing w:after="0" w:line="240" w:lineRule="auto"/>
              <w:rPr>
                <w:lang w:val="es-ES"/>
              </w:rPr>
            </w:pPr>
            <w:r w:rsidRPr="00AD5C21">
              <w:rPr>
                <w:sz w:val="17"/>
                <w:lang w:val="es-ES"/>
              </w:rPr>
              <w:t>Directorio persistente y escribible para imágenes/medios; en producción se configura /home/dynamic/DynamicContent.</w:t>
            </w:r>
          </w:p>
        </w:tc>
      </w:tr>
      <w:tr w:rsidR="00275FFB" w:rsidRPr="00AD5C21" w14:paraId="0EC53127" w14:textId="77777777">
        <w:tc>
          <w:tcPr>
            <w:tcW w:w="2200" w:type="dxa"/>
            <w:shd w:val="clear" w:color="auto" w:fill="EAF3F8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241F4045" w14:textId="77777777" w:rsidR="00275FFB" w:rsidRDefault="00000000">
            <w:pPr>
              <w:spacing w:after="0" w:line="240" w:lineRule="auto"/>
            </w:pPr>
            <w:r>
              <w:rPr>
                <w:b/>
                <w:color w:val="183B56"/>
                <w:sz w:val="18"/>
              </w:rPr>
              <w:t>Red</w:t>
            </w:r>
          </w:p>
        </w:tc>
        <w:tc>
          <w:tcPr>
            <w:tcW w:w="6920" w:type="dxa"/>
            <w:shd w:val="clear" w:color="auto" w:fill="F3F5F7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DF157E1" w14:textId="77777777" w:rsidR="00275FFB" w:rsidRPr="00AD5C21" w:rsidRDefault="00000000">
            <w:pPr>
              <w:spacing w:after="0" w:line="240" w:lineRule="auto"/>
              <w:rPr>
                <w:lang w:val="es-ES"/>
              </w:rPr>
            </w:pPr>
            <w:r w:rsidRPr="00AD5C21">
              <w:rPr>
                <w:sz w:val="17"/>
                <w:lang w:val="es-ES"/>
              </w:rPr>
              <w:t>HTTPS público; puertos internos 15000/16000 restringidos a loopback y firewall; salida a CDN, SMTP, Firebase y proveedores de identidad.</w:t>
            </w:r>
          </w:p>
        </w:tc>
      </w:tr>
      <w:tr w:rsidR="00275FFB" w:rsidRPr="00AD5C21" w14:paraId="2205D6DD" w14:textId="77777777">
        <w:tc>
          <w:tcPr>
            <w:tcW w:w="2200" w:type="dxa"/>
            <w:shd w:val="clear" w:color="auto" w:fill="EAF3F8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DFB538D" w14:textId="77777777" w:rsidR="00275FFB" w:rsidRDefault="00000000">
            <w:pPr>
              <w:spacing w:after="0" w:line="240" w:lineRule="auto"/>
            </w:pPr>
            <w:r>
              <w:rPr>
                <w:b/>
                <w:color w:val="183B56"/>
                <w:sz w:val="18"/>
              </w:rPr>
              <w:t>Operación</w:t>
            </w:r>
          </w:p>
        </w:tc>
        <w:tc>
          <w:tcPr>
            <w:tcW w:w="692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DC10C68" w14:textId="77777777" w:rsidR="00275FFB" w:rsidRPr="00AD5C21" w:rsidRDefault="00000000">
            <w:pPr>
              <w:spacing w:after="0" w:line="240" w:lineRule="auto"/>
              <w:rPr>
                <w:lang w:val="es-ES"/>
              </w:rPr>
            </w:pPr>
            <w:r w:rsidRPr="00AD5C21">
              <w:rPr>
                <w:sz w:val="17"/>
                <w:lang w:val="es-ES"/>
              </w:rPr>
              <w:t>Usuarios de servicio sin privilegios, logs en journalctl, copias de seguridad de base de datos y medios.</w:t>
            </w:r>
          </w:p>
        </w:tc>
      </w:tr>
      <w:tr w:rsidR="00275FFB" w:rsidRPr="00AD5C21" w14:paraId="779BBB2E" w14:textId="77777777">
        <w:tc>
          <w:tcPr>
            <w:tcW w:w="9120" w:type="dxa"/>
            <w:gridSpan w:val="2"/>
            <w:shd w:val="clear" w:color="auto" w:fill="F3F5F7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5510911C" w14:textId="77777777" w:rsidR="00275FFB" w:rsidRPr="00AD5C21" w:rsidRDefault="00000000">
            <w:pPr>
              <w:spacing w:after="0"/>
              <w:rPr>
                <w:lang w:val="es-ES"/>
              </w:rPr>
            </w:pPr>
            <w:r w:rsidRPr="00AD5C21">
              <w:rPr>
                <w:b/>
                <w:color w:val="697780"/>
                <w:sz w:val="18"/>
                <w:lang w:val="es-ES"/>
              </w:rPr>
              <w:t xml:space="preserve">DIMENSIONAMIENTO. </w:t>
            </w:r>
            <w:r w:rsidRPr="00AD5C21">
              <w:rPr>
                <w:sz w:val="18"/>
                <w:lang w:val="es-ES"/>
              </w:rPr>
              <w:t>El repositorio no fija CPU, RAM, almacenamiento, proveedor, IP ni versión de Linux. Estos valores dependen de la carga y deben copiarse literalmente del contrato de infraestructura antes de presentar la versión definitiva.</w:t>
            </w:r>
          </w:p>
        </w:tc>
      </w:tr>
    </w:tbl>
    <w:p w14:paraId="2C68D603" w14:textId="77777777" w:rsidR="00275FFB" w:rsidRPr="00AD5C21" w:rsidRDefault="00000000">
      <w:pPr>
        <w:pStyle w:val="Heading2"/>
        <w:rPr>
          <w:lang w:val="es-ES"/>
        </w:rPr>
      </w:pPr>
      <w:r w:rsidRPr="00AD5C21">
        <w:rPr>
          <w:lang w:val="es-ES"/>
        </w:rPr>
        <w:t>4.1 Servidor y dominios</w:t>
      </w:r>
    </w:p>
    <w:p w14:paraId="4CE70622" w14:textId="77777777" w:rsidR="00275FFB" w:rsidRPr="00AD5C21" w:rsidRDefault="00000000">
      <w:pPr>
        <w:spacing w:line="259" w:lineRule="auto"/>
        <w:rPr>
          <w:lang w:val="es-ES"/>
        </w:rPr>
      </w:pPr>
      <w:r w:rsidRPr="00AD5C21">
        <w:rPr>
          <w:lang w:val="es-ES"/>
        </w:rPr>
        <w:t>La configuración examinada identifica appdynamic.es como dominio principal, www.appdynamic.es como alias público y cdn.appdynamic.es / www.cdn.appdynamic.es como origen de la SPA. El frontal HTTPS debe presentar certificados válidos y reenviar appdynamic.es al proxy local. Estos nombres deben cotejarse con el contrato; el proveedor, IP y características contratadas no constan en el código.</w:t>
      </w:r>
    </w:p>
    <w:p w14:paraId="55E32669" w14:textId="77777777" w:rsidR="00275FFB" w:rsidRPr="00AD5C21" w:rsidRDefault="00275FFB">
      <w:pPr>
        <w:rPr>
          <w:lang w:val="es-ES"/>
        </w:rPr>
        <w:sectPr w:rsidR="00275FFB" w:rsidRPr="00AD5C21">
          <w:headerReference w:type="default" r:id="rId12"/>
          <w:footerReference w:type="default" r:id="rId13"/>
          <w:pgSz w:w="12240" w:h="15840"/>
          <w:pgMar w:top="1037" w:right="1325" w:bottom="979" w:left="1325" w:header="432" w:footer="432" w:gutter="0"/>
          <w:cols w:space="720"/>
          <w:docGrid w:linePitch="360"/>
        </w:sectPr>
      </w:pPr>
    </w:p>
    <w:p w14:paraId="06455EBE" w14:textId="77777777" w:rsidR="00275FFB" w:rsidRDefault="00000000">
      <w:pPr>
        <w:pStyle w:val="Heading1"/>
      </w:pPr>
      <w:r>
        <w:lastRenderedPageBreak/>
        <w:t>5. Diagrama básico de arquitectura</w:t>
      </w:r>
    </w:p>
    <w:p w14:paraId="2E505546" w14:textId="77777777" w:rsidR="00275FFB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BD9ACA3" wp14:editId="58C0A694">
            <wp:extent cx="5897880" cy="3022664"/>
            <wp:effectExtent l="0" t="0" r="0" b="0"/>
            <wp:docPr id="1" name="Picture 1" descr="Diagrama de arquitectura de Dinámica: clientes, frontal TLS y YARP, SPA en CDN, API modular, base de datos y servicios extern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dinamic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2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2563" w14:textId="77777777" w:rsidR="00275FFB" w:rsidRPr="00AD5C21" w:rsidRDefault="00000000">
      <w:pPr>
        <w:spacing w:after="0"/>
        <w:jc w:val="center"/>
        <w:rPr>
          <w:lang w:val="es-ES"/>
        </w:rPr>
      </w:pPr>
      <w:r w:rsidRPr="00AD5C21">
        <w:rPr>
          <w:i/>
          <w:color w:val="697780"/>
          <w:sz w:val="16"/>
          <w:lang w:val="es-ES"/>
        </w:rPr>
        <w:t>Figura 1. Flujo lógico de publicación y servicios del programa Dinámica.</w:t>
      </w:r>
    </w:p>
    <w:p w14:paraId="7D7B2153" w14:textId="77777777" w:rsidR="00275FFB" w:rsidRPr="00AD5C21" w:rsidRDefault="00275FFB">
      <w:pPr>
        <w:rPr>
          <w:lang w:val="es-ES"/>
        </w:rPr>
        <w:sectPr w:rsidR="00275FFB" w:rsidRPr="00AD5C21">
          <w:headerReference w:type="default" r:id="rId15"/>
          <w:footerReference w:type="default" r:id="rId16"/>
          <w:pgSz w:w="12240" w:h="15840"/>
          <w:pgMar w:top="1037" w:right="1325" w:bottom="979" w:left="1325" w:header="432" w:footer="432" w:gutter="0"/>
          <w:cols w:space="720"/>
          <w:docGrid w:linePitch="360"/>
        </w:sectPr>
      </w:pPr>
    </w:p>
    <w:p w14:paraId="77BA6F99" w14:textId="77777777" w:rsidR="00275FFB" w:rsidRPr="00AD5C21" w:rsidRDefault="00000000">
      <w:pPr>
        <w:pStyle w:val="Heading1"/>
        <w:rPr>
          <w:lang w:val="es-ES"/>
        </w:rPr>
      </w:pPr>
      <w:r w:rsidRPr="00AD5C21">
        <w:rPr>
          <w:lang w:val="es-ES"/>
        </w:rPr>
        <w:lastRenderedPageBreak/>
        <w:t>6. Funcionamiento general</w:t>
      </w:r>
    </w:p>
    <w:p w14:paraId="465849ED" w14:textId="77777777" w:rsidR="00275FFB" w:rsidRPr="00AD5C21" w:rsidRDefault="00000000">
      <w:pPr>
        <w:spacing w:line="259" w:lineRule="auto"/>
        <w:rPr>
          <w:lang w:val="es-ES"/>
        </w:rPr>
      </w:pPr>
      <w:r w:rsidRPr="00AD5C21">
        <w:rPr>
          <w:lang w:val="es-ES"/>
        </w:rPr>
        <w:t>1. El usuario accede a appdynamic.es mediante HTTPS. El servidor frontal entrega la conexión al reverse proxy YARP.</w:t>
      </w:r>
    </w:p>
    <w:p w14:paraId="4418E0FD" w14:textId="77777777" w:rsidR="00275FFB" w:rsidRPr="00AD5C21" w:rsidRDefault="00000000">
      <w:pPr>
        <w:spacing w:line="259" w:lineRule="auto"/>
        <w:rPr>
          <w:lang w:val="es-ES"/>
        </w:rPr>
      </w:pPr>
      <w:r w:rsidRPr="00AD5C21">
        <w:rPr>
          <w:lang w:val="es-ES"/>
        </w:rPr>
        <w:t>2. Las rutas /Api y /negocios-media se encaminan a la API local; el resto se obtiene de la SPA alojada en el CDN.</w:t>
      </w:r>
    </w:p>
    <w:p w14:paraId="097C263A" w14:textId="77777777" w:rsidR="00275FFB" w:rsidRPr="00AD5C21" w:rsidRDefault="00000000">
      <w:pPr>
        <w:spacing w:line="259" w:lineRule="auto"/>
        <w:rPr>
          <w:lang w:val="es-ES"/>
        </w:rPr>
      </w:pPr>
      <w:r w:rsidRPr="00AD5C21">
        <w:rPr>
          <w:lang w:val="es-ES"/>
        </w:rPr>
        <w:t>3. La API valida el token JWT y las políticas de rol, ejecuta el módulo correspondiente y accede a MariaDB mediante Entity Framework Core.</w:t>
      </w:r>
    </w:p>
    <w:p w14:paraId="7AD32A27" w14:textId="77777777" w:rsidR="00275FFB" w:rsidRPr="00AD5C21" w:rsidRDefault="00000000">
      <w:pPr>
        <w:spacing w:line="259" w:lineRule="auto"/>
        <w:rPr>
          <w:lang w:val="es-ES"/>
        </w:rPr>
      </w:pPr>
      <w:r w:rsidRPr="00AD5C21">
        <w:rPr>
          <w:lang w:val="es-ES"/>
        </w:rPr>
        <w:t>4. Las operaciones generan respuestas JSON y, cuando procede, archivos QR, eventos SignalR, correos SMTP o notificaciones push. Los trabajos de promociones se procesan de forma asíncrona mediante un servicio en segundo plano y una cola/outbox persistente.</w:t>
      </w:r>
    </w:p>
    <w:p w14:paraId="12050505" w14:textId="77777777" w:rsidR="00275FFB" w:rsidRPr="00AD5C21" w:rsidRDefault="00000000">
      <w:pPr>
        <w:pStyle w:val="Heading1"/>
        <w:rPr>
          <w:lang w:val="es-ES"/>
        </w:rPr>
      </w:pPr>
      <w:r w:rsidRPr="00AD5C21">
        <w:rPr>
          <w:lang w:val="es-ES"/>
        </w:rPr>
        <w:t>7. Descripción resumida de funcionalidades</w:t>
      </w:r>
    </w:p>
    <w:p w14:paraId="659E4530" w14:textId="77777777" w:rsidR="00275FFB" w:rsidRPr="00AD5C21" w:rsidRDefault="00000000">
      <w:pPr>
        <w:pStyle w:val="Heading2"/>
        <w:rPr>
          <w:lang w:val="es-ES"/>
        </w:rPr>
      </w:pPr>
      <w:r w:rsidRPr="00AD5C21">
        <w:rPr>
          <w:lang w:val="es-ES"/>
        </w:rPr>
        <w:t>Identidad y control de acceso</w:t>
      </w:r>
    </w:p>
    <w:p w14:paraId="03D1415F" w14:textId="77777777" w:rsidR="00275FFB" w:rsidRPr="00AD5C21" w:rsidRDefault="00000000">
      <w:pPr>
        <w:spacing w:line="259" w:lineRule="auto"/>
        <w:rPr>
          <w:lang w:val="es-ES"/>
        </w:rPr>
      </w:pPr>
      <w:r w:rsidRPr="00AD5C21">
        <w:rPr>
          <w:lang w:val="es-ES"/>
        </w:rPr>
        <w:t>Registro por etapas o clásico, inicio y cierre de sesión, renovación de tokens, recuperación/cambio de contraseña, login externo, perfil, dispositivos, sesiones y separación de permisos para administrador, propietario, trabajador y usuario.</w:t>
      </w:r>
    </w:p>
    <w:p w14:paraId="0DC58174" w14:textId="77777777" w:rsidR="00275FFB" w:rsidRPr="00AD5C21" w:rsidRDefault="00000000">
      <w:pPr>
        <w:pStyle w:val="Heading2"/>
        <w:rPr>
          <w:lang w:val="es-ES"/>
        </w:rPr>
      </w:pPr>
      <w:r w:rsidRPr="00AD5C21">
        <w:rPr>
          <w:lang w:val="es-ES"/>
        </w:rPr>
        <w:t>Negocios y relación con clientes</w:t>
      </w:r>
    </w:p>
    <w:p w14:paraId="6D03EB7F" w14:textId="77777777" w:rsidR="00275FFB" w:rsidRPr="00AD5C21" w:rsidRDefault="00000000">
      <w:pPr>
        <w:spacing w:line="259" w:lineRule="auto"/>
        <w:rPr>
          <w:lang w:val="es-ES"/>
        </w:rPr>
      </w:pPr>
      <w:r w:rsidRPr="00AD5C21">
        <w:rPr>
          <w:lang w:val="es-ES"/>
        </w:rPr>
        <w:t>Creación, consulta, edición y baja lógica de negocios; exploración por ubicación o provincia; páginas por slug; medios e imágenes; asociación de propietarios y trabajadores; búsqueda o alta de clientes y gestión de audiencia.</w:t>
      </w:r>
    </w:p>
    <w:p w14:paraId="4A6E555B" w14:textId="77777777" w:rsidR="00275FFB" w:rsidRPr="00AD5C21" w:rsidRDefault="00000000">
      <w:pPr>
        <w:pStyle w:val="Heading2"/>
        <w:rPr>
          <w:lang w:val="es-ES"/>
        </w:rPr>
      </w:pPr>
      <w:r w:rsidRPr="00AD5C21">
        <w:rPr>
          <w:lang w:val="es-ES"/>
        </w:rPr>
        <w:t>Fidelización, puntos, tickets y QR</w:t>
      </w:r>
    </w:p>
    <w:p w14:paraId="05CD6565" w14:textId="77777777" w:rsidR="00275FFB" w:rsidRPr="00AD5C21" w:rsidRDefault="00000000">
      <w:pPr>
        <w:spacing w:line="259" w:lineRule="auto"/>
        <w:rPr>
          <w:lang w:val="es-ES"/>
        </w:rPr>
      </w:pPr>
      <w:r w:rsidRPr="00AD5C21">
        <w:rPr>
          <w:lang w:val="es-ES"/>
        </w:rPr>
        <w:t>Saldos e historial de puntos, acumulaciones y regalos, operaciones validadas, seguimiento de negocios, tickets generales o segmentados, recompensas de bienvenida y recomendación, emisión y lectura de QR, asignación, desbloqueo y canje.</w:t>
      </w:r>
    </w:p>
    <w:p w14:paraId="33B7854C" w14:textId="77777777" w:rsidR="00275FFB" w:rsidRPr="00AD5C21" w:rsidRDefault="00000000">
      <w:pPr>
        <w:pStyle w:val="Heading2"/>
        <w:rPr>
          <w:lang w:val="es-ES"/>
        </w:rPr>
      </w:pPr>
      <w:r w:rsidRPr="00AD5C21">
        <w:rPr>
          <w:lang w:val="es-ES"/>
        </w:rPr>
        <w:t>Promociones y comunicaciones</w:t>
      </w:r>
    </w:p>
    <w:p w14:paraId="22817187" w14:textId="77777777" w:rsidR="00275FFB" w:rsidRPr="00AD5C21" w:rsidRDefault="00000000">
      <w:pPr>
        <w:spacing w:line="259" w:lineRule="auto"/>
        <w:rPr>
          <w:lang w:val="es-ES"/>
        </w:rPr>
      </w:pPr>
      <w:r w:rsidRPr="00AD5C21">
        <w:rPr>
          <w:lang w:val="es-ES"/>
        </w:rPr>
        <w:t>Previsualización de audiencia, creación de campañas, límites de frecuencia, bandeja de promociones, marcación de lectura/presentación, envío por Firebase y correo, preferencias de baja y telemetría administrativa de la cola.</w:t>
      </w:r>
    </w:p>
    <w:p w14:paraId="5AED155E" w14:textId="77777777" w:rsidR="00275FFB" w:rsidRPr="00AD5C21" w:rsidRDefault="00000000">
      <w:pPr>
        <w:pStyle w:val="Heading2"/>
        <w:rPr>
          <w:lang w:val="es-ES"/>
        </w:rPr>
      </w:pPr>
      <w:r w:rsidRPr="00AD5C21">
        <w:rPr>
          <w:lang w:val="es-ES"/>
        </w:rPr>
        <w:t>Analítica, soporte y administración</w:t>
      </w:r>
    </w:p>
    <w:p w14:paraId="5459A25F" w14:textId="77777777" w:rsidR="00275FFB" w:rsidRPr="00AD5C21" w:rsidRDefault="00000000">
      <w:pPr>
        <w:spacing w:line="259" w:lineRule="auto"/>
        <w:rPr>
          <w:lang w:val="es-ES"/>
        </w:rPr>
      </w:pPr>
      <w:r w:rsidRPr="00AD5C21">
        <w:rPr>
          <w:lang w:val="es-ES"/>
        </w:rPr>
        <w:t>Indicadores de adquisición, audiencia, tickets, puntos, promociones y operaciones; reportes de soporte con mensajes, categorías, prioridad y estado; paneles y acciones reservadas al rol administrador.</w:t>
      </w:r>
    </w:p>
    <w:p w14:paraId="0DB6ED95" w14:textId="77777777" w:rsidR="00275FFB" w:rsidRDefault="00000000">
      <w:pPr>
        <w:pStyle w:val="Heading1"/>
      </w:pPr>
      <w:r>
        <w:t>8. Consideraciones para la entrega registral</w:t>
      </w:r>
    </w:p>
    <w:p w14:paraId="3DC52327" w14:textId="77777777" w:rsidR="00275FFB" w:rsidRPr="00AD5C21" w:rsidRDefault="00000000">
      <w:pPr>
        <w:pStyle w:val="ListBullet"/>
        <w:spacing w:after="50" w:line="245" w:lineRule="auto"/>
        <w:rPr>
          <w:lang w:val="es-ES"/>
        </w:rPr>
      </w:pPr>
      <w:r w:rsidRPr="00AD5C21">
        <w:rPr>
          <w:lang w:val="es-ES"/>
        </w:rPr>
        <w:t>Depositar código fuente legible del núcleo, proyectos y migraciones; evitar carpetas bin/obj y binarios recompilables.</w:t>
      </w:r>
    </w:p>
    <w:p w14:paraId="4EE26795" w14:textId="77777777" w:rsidR="00275FFB" w:rsidRPr="00AD5C21" w:rsidRDefault="00000000">
      <w:pPr>
        <w:pStyle w:val="ListBullet"/>
        <w:spacing w:after="50" w:line="245" w:lineRule="auto"/>
        <w:rPr>
          <w:lang w:val="es-ES"/>
        </w:rPr>
      </w:pPr>
      <w:r w:rsidRPr="00AD5C21">
        <w:rPr>
          <w:lang w:val="es-ES"/>
        </w:rPr>
        <w:t>Incluir un archivo de versión o una copia identificada por fecha y conservar el hash del ZIP entregado.</w:t>
      </w:r>
    </w:p>
    <w:p w14:paraId="5EACA5DB" w14:textId="77777777" w:rsidR="00275FFB" w:rsidRPr="00AD5C21" w:rsidRDefault="00000000">
      <w:pPr>
        <w:pStyle w:val="ListBullet"/>
        <w:spacing w:after="50" w:line="245" w:lineRule="auto"/>
        <w:rPr>
          <w:lang w:val="es-ES"/>
        </w:rPr>
      </w:pPr>
      <w:r w:rsidRPr="00AD5C21">
        <w:rPr>
          <w:lang w:val="es-ES"/>
        </w:rPr>
        <w:t>Sustituir los datos de infraestructura pendientes por los del contrato y adjuntar por separado el frontend si también se desea proteger su implementación.</w:t>
      </w:r>
    </w:p>
    <w:tbl>
      <w:tblPr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120"/>
      </w:tblGrid>
      <w:tr w:rsidR="00275FFB" w:rsidRPr="00AD5C21" w14:paraId="289EE4CA" w14:textId="77777777">
        <w:tc>
          <w:tcPr>
            <w:tcW w:w="9120" w:type="dxa"/>
            <w:shd w:val="clear" w:color="auto" w:fill="FFF2E8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20639D86" w14:textId="3949ED08" w:rsidR="00275FFB" w:rsidRPr="00AD5C21" w:rsidRDefault="00275FFB">
            <w:pPr>
              <w:spacing w:after="0"/>
              <w:rPr>
                <w:lang w:val="es-ES"/>
              </w:rPr>
            </w:pPr>
          </w:p>
        </w:tc>
      </w:tr>
    </w:tbl>
    <w:p w14:paraId="72BBDB51" w14:textId="77777777" w:rsidR="003A19E2" w:rsidRPr="00AD5C21" w:rsidRDefault="003A19E2">
      <w:pPr>
        <w:rPr>
          <w:lang w:val="es-ES"/>
        </w:rPr>
      </w:pPr>
    </w:p>
    <w:sectPr w:rsidR="003A19E2" w:rsidRPr="00AD5C21" w:rsidSect="00034616">
      <w:headerReference w:type="default" r:id="rId17"/>
      <w:footerReference w:type="default" r:id="rId18"/>
      <w:pgSz w:w="12240" w:h="15840"/>
      <w:pgMar w:top="1037" w:right="1325" w:bottom="979" w:left="1325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94E82" w14:textId="77777777" w:rsidR="003A19E2" w:rsidRDefault="003A19E2">
      <w:pPr>
        <w:spacing w:after="0" w:line="240" w:lineRule="auto"/>
      </w:pPr>
      <w:r>
        <w:separator/>
      </w:r>
    </w:p>
  </w:endnote>
  <w:endnote w:type="continuationSeparator" w:id="0">
    <w:p w14:paraId="02AB6967" w14:textId="77777777" w:rsidR="003A19E2" w:rsidRDefault="003A1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8973B" w14:textId="77777777" w:rsidR="00275FFB" w:rsidRDefault="00275F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B51E" w14:textId="77777777" w:rsidR="00275FFB" w:rsidRDefault="00275F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4537B" w14:textId="77777777" w:rsidR="00275FFB" w:rsidRDefault="00275FF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A6559" w14:textId="77777777" w:rsidR="00275FFB" w:rsidRDefault="00275FFB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6A92F" w14:textId="77777777" w:rsidR="00275FFB" w:rsidRDefault="00275F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A3E3B" w14:textId="77777777" w:rsidR="003A19E2" w:rsidRDefault="003A19E2">
      <w:pPr>
        <w:spacing w:after="0" w:line="240" w:lineRule="auto"/>
      </w:pPr>
      <w:r>
        <w:separator/>
      </w:r>
    </w:p>
  </w:footnote>
  <w:footnote w:type="continuationSeparator" w:id="0">
    <w:p w14:paraId="3334FF71" w14:textId="77777777" w:rsidR="003A19E2" w:rsidRDefault="003A1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5EFD3" w14:textId="77777777" w:rsidR="00275FFB" w:rsidRDefault="00275F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18D8F" w14:textId="77777777" w:rsidR="00275FFB" w:rsidRDefault="00275FF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44296" w14:textId="77777777" w:rsidR="00275FFB" w:rsidRDefault="00275FF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08608" w14:textId="77777777" w:rsidR="00275FFB" w:rsidRDefault="00275FFB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17786" w14:textId="77777777" w:rsidR="00275FFB" w:rsidRDefault="00275F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671740">
    <w:abstractNumId w:val="8"/>
  </w:num>
  <w:num w:numId="2" w16cid:durableId="272246811">
    <w:abstractNumId w:val="6"/>
  </w:num>
  <w:num w:numId="3" w16cid:durableId="763503003">
    <w:abstractNumId w:val="5"/>
  </w:num>
  <w:num w:numId="4" w16cid:durableId="1776948040">
    <w:abstractNumId w:val="4"/>
  </w:num>
  <w:num w:numId="5" w16cid:durableId="725177631">
    <w:abstractNumId w:val="7"/>
  </w:num>
  <w:num w:numId="6" w16cid:durableId="847983077">
    <w:abstractNumId w:val="3"/>
  </w:num>
  <w:num w:numId="7" w16cid:durableId="1242254892">
    <w:abstractNumId w:val="2"/>
  </w:num>
  <w:num w:numId="8" w16cid:durableId="546768500">
    <w:abstractNumId w:val="1"/>
  </w:num>
  <w:num w:numId="9" w16cid:durableId="1356075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FFB"/>
    <w:rsid w:val="0029639D"/>
    <w:rsid w:val="00326F90"/>
    <w:rsid w:val="003A19E2"/>
    <w:rsid w:val="00746015"/>
    <w:rsid w:val="00AA1D8D"/>
    <w:rsid w:val="00AD5C2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6CDAC9"/>
  <w14:defaultImageDpi w14:val="300"/>
  <w15:docId w15:val="{CB770223-0533-486F-BA29-E152FDF75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24313A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183B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2878A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2E8B8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403" w:hanging="259"/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ind w:left="749" w:hanging="259"/>
      <w:contextualSpacing/>
    </w:pPr>
    <w:rPr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1308</Words>
  <Characters>7198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técnica del programa Dinámica</dc:title>
  <dc:subject>Descripción técnica y funcional para depósito de propiedad intelectual</dc:subject>
  <dc:creator>Dinámica</dc:creator>
  <cp:keywords>Dinámica, memoria técnica, arquitectura, propiedad intelectual</cp:keywords>
  <dc:description>generated by python-docx</dc:description>
  <cp:lastModifiedBy>Salva Fin</cp:lastModifiedBy>
  <cp:revision>2</cp:revision>
  <dcterms:created xsi:type="dcterms:W3CDTF">2013-12-23T23:15:00Z</dcterms:created>
  <dcterms:modified xsi:type="dcterms:W3CDTF">2026-08-25T13:51:00Z</dcterms:modified>
  <cp:category/>
</cp:coreProperties>
</file>