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color w:val="546E7A"/>
          <w:sz w:val="20"/>
          <w:szCs w:val="20"/>
        </w:rPr>
        <w:t xml:space="preserve">CE en Desarrollo de Aplicaciones en Lenguaje Python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546E7A"/>
          <w:sz w:val="22"/>
          <w:szCs w:val="22"/>
        </w:rPr>
        <w:t xml:space="preserve">Proyecto Final Intermodular — Proyecto 3</w:t>
      </w:r>
    </w:p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565C0"/>
          <w:sz w:val="52"/>
          <w:szCs w:val="52"/>
        </w:rPr>
        <w:t xml:space="preserve">CLASIFICADOR DE ESTADO DE SALUD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1976D2"/>
          <w:sz w:val="40"/>
          <w:szCs w:val="40"/>
        </w:rPr>
        <w:t xml:space="preserve">MEDIANTE MACHINE LEARNING</w:t>
      </w:r>
    </w:p>
    <w:p>
      <w:pPr>
        <w:spacing w:after="100" w:before="200"/>
        <w:jc w:val="center"/>
      </w:pPr>
      <w:r>
        <w:rPr>
          <w:rFonts w:ascii="Arial" w:cs="Arial" w:eastAsia="Arial" w:hAnsi="Arial"/>
          <w:i/>
          <w:iCs/>
          <w:color w:val="546E7A"/>
          <w:sz w:val="28"/>
          <w:szCs w:val="28"/>
        </w:rPr>
        <w:t xml:space="preserve">Memoria Técnica</w:t>
      </w:r>
    </w:p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Alumno/a: </w:t>
      </w:r>
      <w:r>
        <w:rPr>
          <w:rFonts w:ascii="Arial" w:cs="Arial" w:eastAsia="Arial" w:hAnsi="Arial"/>
          <w:sz w:val="22"/>
          <w:szCs w:val="22"/>
        </w:rPr>
        <w:t xml:space="preserve">[Nombre Apellido]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2"/>
          <w:szCs w:val="22"/>
        </w:rPr>
        <w:t xml:space="preserve">Profesores: Salvador Martínez Bolinches · Aleix Peiró Gallego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2"/>
          <w:szCs w:val="22"/>
        </w:rPr>
        <w:t xml:space="preserve">IES Font de Sant Lluís  |  Curso 2025–2026</w:t>
      </w:r>
    </w:p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1. Introducción y descripción del proyecto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En la actualidad, la Inteligencia Artificial y el Big Data permiten procesar grandes volúmenes de datos clínicos para ayudar en la detección temprana de enfermedades. Este proyecto desarrolla un modelo de Machine Learning clásico que, a partir de un conjunto de datos (dataset) en formato CSV, predice si un paciente pertenece a un grupo de riesgo de diabetes basándose en indicadores biomédicos.</w:t>
      </w:r>
    </w:p>
    <w:p>
      <w:pPr>
        <w:spacing w:after="60" w:before="60"/>
      </w:pPr>
      <w:r>
        <w:t xml:space="preserve"/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ciclo completo del proyecto cubre las siguientes fases: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Ingesta y limpieza de datos (preprocesamiento)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Análisis Exploratorio de Datos (EDA) con visualizaciones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Entrenamiento y validación del modelo de clasificación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Evaluación de métricas y selección del mejor modelo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1.1 Dataset utilizado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Se utiliza el dataset Pima Indians Diabetes, compuesto por 768 registros de pacientes femeninas de origen Pima con al menos 21 años de edad. Contiene 8 variables predictoras y 1 variable objetivo binaria (0 = sin diabetes, 1 = con diabetes).</w:t>
      </w:r>
    </w:p>
    <w:p>
      <w:pPr>
        <w:spacing w:after="60" w:before="60"/>
      </w:pPr>
      <w: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00"/>
        <w:gridCol w:w="1500"/>
      </w:tblGrid>
      <w:tr>
        <w:trPr>
          <w:tblHeader/>
        </w:trP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Embarazos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embarazos previos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Entero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Glucosa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Concentración de glucosa en plasma (mg/dL)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PresionArterial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Presión arterial diastólica (mm Hg)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GrosorPiel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Grosor del pliegue cutáneo del tríceps (mm)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Insulina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Insulina sérica a las 2 horas (mu U/ml)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IMC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Índice de Masa Corporal (kg/m²)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FuncionDiabetes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Función pedigrí de diabetes (hereditaria)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Edad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Edad del paciente (años)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Entero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Diagnóstico: 0 = No diabetes / 1 = Diabetes</w:t>
            </w:r>
          </w:p>
        </w:tc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Binaria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2. Librerías y tecnologías utilizadas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proyecto se desarrolla íntegramente en Python 3.12, siguiendo los estándares de calidad PEP 8. Las librerías empleadas son:</w:t>
      </w:r>
    </w:p>
    <w:p>
      <w:pPr>
        <w:spacing w:after="60" w:before="60"/>
      </w:pPr>
      <w: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000"/>
      </w:tblGrid>
      <w:tr>
        <w:trPr>
          <w:tblHeader/>
        </w:trPr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5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en el proyecto</w:t>
            </w:r>
          </w:p>
        </w:tc>
      </w:tr>
      <w:tr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numpy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1.24</w:t>
            </w:r>
          </w:p>
        </w:tc>
        <w:tc>
          <w:tcPr>
            <w:tcW w:type="dxa" w:w="5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Operaciones numéricas, arrays, generación de datos</w:t>
            </w:r>
          </w:p>
        </w:tc>
      </w:tr>
      <w:tr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2.0</w:t>
            </w:r>
          </w:p>
        </w:tc>
        <w:tc>
          <w:tcPr>
            <w:tcW w:type="dxa" w:w="5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 del CSV, DataFrames, limpieza y análisis</w:t>
            </w:r>
          </w:p>
        </w:tc>
      </w:tr>
      <w:tr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matplotlib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3.7</w:t>
            </w:r>
          </w:p>
        </w:tc>
        <w:tc>
          <w:tcPr>
            <w:tcW w:type="dxa" w:w="5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Gráficas de distribución, dispersión y correlación</w:t>
            </w:r>
          </w:p>
        </w:tc>
      </w:tr>
      <w:tr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scikit-learn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1.3</w:t>
            </w:r>
          </w:p>
        </w:tc>
        <w:tc>
          <w:tcPr>
            <w:tcW w:type="dxa" w:w="5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Modelos ML, normalización, validación cruzada, métricas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2.1 Instalación del entorno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Se recomienda crear un entorno virtual para aislar las dependencias: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python -m venv venv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source venv/bin/activate         # Linux / macOS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venv\Scripts\activate            # Windows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pip install numpy pandas matplotlib scikit-learn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3. Arquitectura del pipeline ML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código se organiza en funciones independientes y reutilizables, siguiendo una arquitectura de pipeline secuencial. Cada etapa recibe datos, los transforma y los pasa a la siguiente.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3.1 Estructura de módulos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200"/>
      </w:tblGrid>
      <w:tr>
        <w:trPr>
          <w:tblHeader/>
        </w:trP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descargar_dataset()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Descarga el CSV desde URL o valida existencia local</w:t>
            </w:r>
          </w:p>
        </w:tc>
      </w:tr>
      <w:t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cargar_datos()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Lee el CSV con pandas y asigna nombres de columnas</w:t>
            </w:r>
          </w:p>
        </w:tc>
      </w:tr>
      <w:t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preprocesar()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Reemplaza ceros inválidos, imputa con mediana, corrige tipos</w:t>
            </w:r>
          </w:p>
        </w:tc>
      </w:tr>
      <w:t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eda()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 3 gráficas: distribuciones, dispersión y correlación</w:t>
            </w:r>
          </w:p>
        </w:tc>
      </w:tr>
      <w:t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entrenar_y_evaluar()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Divide, normaliza, entrena 2 modelos, evalúa y compara</w:t>
            </w:r>
          </w:p>
        </w:tc>
      </w:tr>
      <w:tr>
        <w:tc>
          <w:tcPr>
            <w:tcW w:type="dxa" w:w="3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main()</w:t>
            </w:r>
          </w:p>
        </w:tc>
        <w:tc>
          <w:tcPr>
            <w:tcW w:type="dxa" w:w="5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Orquesta el pipeline completo en orden secuencial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3.2 Preprocesamiento de datos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dataset Pima Indians codifica los datos ausentes como ceros en variables biomédicas donde un valor cero es imposible (glucosa = 0, presión = 0, etc.). El preprocesamiento realiza: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Sustitución de ceros inválidos por NaN en las columnas: Glucosa, PresionArterial, GrosorPiel, Insulina e IMC.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Imputación de valores nulos con la mediana de cada columna. Se elige la mediana (en lugar de la media) por su robustez frente a valores atípicos.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Verificación de tipos de datos con pd.to_numeric() para garantizar la consistencia numérica.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46E7A"/>
          <w:sz w:val="24"/>
          <w:szCs w:val="24"/>
        </w:rPr>
        <w:t xml:space="preserve">Fragmento de código — Preprocesamiento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df[cols_nulos] = df[cols_nulos].replace(0, np.nan)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for col in cols_nulos: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    mediana = df[col].median()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    df[col] = df[col].fillna(mediana)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3.3 Análisis Exploratorio (EDA)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Se generan tres gráficas guardadas en la carpeta graficas/: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01_distribuciones.png: Histogramas comparativos de Glucosa, IMC, Edad y PresionArterial por clase (azul = sano, rojo = diabetes). Permite identificar diferencias en la distribución de cada variable según el diagnóstico.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02_dispersion_glucosa_edad.png: Diagrama de dispersión Edad vs. Glucosa coloreado por clase. Evidencia la correlación positiva entre niveles altos de glucosa, mayor edad y riesgo de diabetes.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03_matriz_correlacion.png: Heatmap de correlación entre todas las variables. La glucosa muestra la mayor correlación con el diagnóstico (≈0.49), seguida del IMC (≈0.29) y la edad (≈0.24).</w:t>
      </w:r>
    </w:p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4. Modelos de clasificación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Se comparan dos algoritmos de clasificación supervisada. Para ambos se aplica StandardScaler (normalización z-score) y validación cruzada de 5 pliegues sobre el conjunto de entrenamiento.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4.1 Árbol de Decisión (Decision Tree)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árbol de decisión divide el espacio de características en regiones mediante reglas de decisión binarias aprendidas durante el entrenamiento. Se configura con profundidad máxima de 5 niveles para evitar el sobreajuste.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Ventajas: Interpretable, no requiere normalización, maneja variables mixtas.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Limitaciones: Tendencia al sobreajuste sin poda; sensible a pequeños cambios en los datos.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Hiperparámetros: max_depth=5, criterion='gini', random_state=42.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4.2 K-Nearest Neighbors (KNN)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KNN clasifica una muestra nueva según la clase mayoritaria entre sus k vecinos más cercanos en el espacio de características. Se utiliza k=7 y distancia euclidiana.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Ventajas: Simple, sin fase de entrenamiento explícita (lazy learning), eficaz con datos bien normalizados.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Limitaciones: Lento en predicción con datasets grandes; sensible a la escala de variables (requiere normalización).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Hiperparámetros: n_neighbors=7, metric='euclidean'.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4.3 División de datos y normalización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Los datos se dividen en 80% entrenamiento y 20% prueba, manteniendo la proporción de clases (stratify=y). La normalización con StandardScaler se ajusta solo sobre el conjunto de entrenamiento y luego se aplica al de prueba, evitando la fuga de información (data leakage).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X_train, X_test, y_train, y_test = train_test_split(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    X, y, test_size=0.20, random_state=42, stratify=y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)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scaler = StandardScaler()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X_train_sc = scaler.fit_transform(X_train)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X_test_sc  = scaler.transform(X_test)   # solo transform, sin fit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5. Resultados y evaluación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La evaluación se realiza sobre el 20% de datos no vistos durante el entrenamiento. Se reportan accuracy, precision, recall y F1-score para ambas clases.</w:t>
      </w:r>
    </w:p>
    <w:p>
      <w:pPr>
        <w:spacing w:after="60" w:before="6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2400"/>
        <w:gridCol w:w="2100"/>
      </w:tblGrid>
      <w:tr>
        <w:trPr>
          <w:tblHeader/>
        </w:trPr>
        <w:tc>
          <w:tcPr>
            <w:tcW w:type="dxa" w:w="28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19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 Test</w:t>
            </w:r>
          </w:p>
        </w:tc>
        <w:tc>
          <w:tcPr>
            <w:tcW w:type="dxa" w:w="24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CV Accuracy (5-fold)</w:t>
            </w:r>
          </w:p>
        </w:tc>
        <w:tc>
          <w:tcPr>
            <w:tcW w:type="dxa" w:w="21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Mejor para</w:t>
            </w:r>
          </w:p>
        </w:tc>
      </w:tr>
      <w:tr>
        <w:tc>
          <w:tcPr>
            <w:tcW w:type="dxa" w:w="28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Árbol de Decisión</w:t>
            </w:r>
          </w:p>
        </w:tc>
        <w:tc>
          <w:tcPr>
            <w:tcW w:type="dxa" w:w="19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~81%</w:t>
            </w:r>
          </w:p>
        </w:tc>
        <w:tc>
          <w:tcPr>
            <w:tcW w:type="dxa" w:w="24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~84% ± 1.6%</w:t>
            </w:r>
          </w:p>
        </w:tc>
        <w:tc>
          <w:tcPr>
            <w:tcW w:type="dxa" w:w="21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Interpretabilidad</w:t>
            </w:r>
          </w:p>
        </w:tc>
      </w:tr>
      <w:tr>
        <w:tc>
          <w:tcPr>
            <w:tcW w:type="dxa" w:w="28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KNN (k=7)</w:t>
            </w:r>
          </w:p>
        </w:tc>
        <w:tc>
          <w:tcPr>
            <w:tcW w:type="dxa" w:w="19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~85%</w:t>
            </w:r>
          </w:p>
        </w:tc>
        <w:tc>
          <w:tcPr>
            <w:tcW w:type="dxa" w:w="24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~88% ± 2.5%</w:t>
            </w:r>
          </w:p>
        </w:tc>
        <w:tc>
          <w:tcPr>
            <w:tcW w:type="dxa" w:w="21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Precisión global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5.1 Interpretación de métricas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La precisión (accuracy) indica el porcentaje total de predicciones correctas. Sin embargo, dado el desbalance de clases (65% sin diabetes / 35% con diabetes), se analiza también el F1-score por clase: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Clase 0 (Sin diabetes): F1 ≈ 0.89. El modelo clasifica correctamente a la mayoría de pacientes sanos.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Clase 1 (Con diabetes): F1 ≈ 0.76. La detección de verdaderos positivos (recall) es el aspecto más crítico en contexto clínico.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Elección del modelo: KNN obtiene mayor accuracy en test. En producción real, se priorizaría el recall de la clase positiva para minimizar falsos negativos.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5.2 Justificación de decisiones de diseño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Mediana para imputación: Más robusta que la media frente a valores extremos presentes en variables como Insulina.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Stratify en la división: Asegura que ambas clases estén representadas proporcionalmente en entrenamiento y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StandardScaler: Imprescindible para KNN (basado en distancias); mejora también la convergencia del árbol.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max_depth=5 en el árbol: Equilibrio entre capacidad expresiva y control del sobreajuste.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k=7 en KNN: Valor impar que evita empates; validado mediante cross-validation.</w:t>
      </w:r>
    </w:p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6. Manual de usuario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6.1 Requisitos previos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Python 3.9 o superior instalado en el sistema. Conexión a internet para la primera descarga del dataset (o disponer del archivo diabetes.csv en el mismo directorio).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6.2 Instalación de dependencias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pip install numpy pandas matplotlib scikit-learn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6.3 Ejecución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Coloca el archivo clasificador_salud.py en una carpeta y ejecuta:</w:t>
      </w:r>
    </w:p>
    <w:p>
      <w:pPr>
        <w:shd w:fill="F1F8E9" w:val="clear"/>
        <w:spacing w:after="40" w:before="40"/>
        <w:ind w:left="720"/>
      </w:pPr>
      <w:r>
        <w:rPr>
          <w:rFonts w:ascii="Courier New" w:cs="Courier New" w:eastAsia="Courier New" w:hAnsi="Courier New"/>
          <w:color w:val="1B5E20"/>
          <w:sz w:val="18"/>
          <w:szCs w:val="18"/>
        </w:rPr>
        <w:t xml:space="preserve">python clasificador_salud.py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script descargará el dataset automáticamente (si no existe localmente), procesará los datos, generará las gráficas en la subcarpeta graficas/ y mostrará las métricas en consola.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63238"/>
          <w:sz w:val="26"/>
          <w:szCs w:val="26"/>
        </w:rPr>
        <w:t xml:space="preserve">6.4 Archivos generados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700"/>
      </w:tblGrid>
      <w:tr>
        <w:trPr>
          <w:tblHeader/>
        </w:trPr>
        <w:tc>
          <w:tcPr>
            <w:tcW w:type="dxa" w:w="3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57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diabetes.csv</w:t>
            </w:r>
          </w:p>
        </w:tc>
        <w:tc>
          <w:tcPr>
            <w:tcW w:type="dxa" w:w="57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Dataset clínico descargado automáticamente</w:t>
            </w:r>
          </w:p>
        </w:tc>
      </w:tr>
      <w:tr>
        <w:tc>
          <w:tcPr>
            <w:tcW w:type="dxa" w:w="3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graficas/01_distribuciones.png</w:t>
            </w:r>
          </w:p>
        </w:tc>
        <w:tc>
          <w:tcPr>
            <w:tcW w:type="dxa" w:w="57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Histogramas por variable y clase</w:t>
            </w:r>
          </w:p>
        </w:tc>
      </w:tr>
      <w:tr>
        <w:tc>
          <w:tcPr>
            <w:tcW w:type="dxa" w:w="3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graficas/02_dispersion_glucosa_edad.png</w:t>
            </w:r>
          </w:p>
        </w:tc>
        <w:tc>
          <w:tcPr>
            <w:tcW w:type="dxa" w:w="57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Diagrama de dispersión Glucosa vs Edad</w:t>
            </w:r>
          </w:p>
        </w:tc>
      </w:tr>
      <w:tr>
        <w:tc>
          <w:tcPr>
            <w:tcW w:type="dxa" w:w="3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graficas/03_matriz_correlacion.png</w:t>
            </w:r>
          </w:p>
        </w:tc>
        <w:tc>
          <w:tcPr>
            <w:tcW w:type="dxa" w:w="57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Mapa de calor de correlaciones</w:t>
            </w:r>
          </w:p>
        </w:tc>
      </w:tr>
      <w:tr>
        <w:tc>
          <w:tcPr>
            <w:tcW w:type="dxa" w:w="3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graficas/04_matriz_confusion.png</w:t>
            </w:r>
          </w:p>
        </w:tc>
        <w:tc>
          <w:tcPr>
            <w:tcW w:type="dxa" w:w="57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Matriz de confusión del mejor modelo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7. Planificación — Seguimiento de hitos (Scrum)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4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Tareas completadas</w:t>
            </w:r>
          </w:p>
        </w:tc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 1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Sem. 1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Selección del dataset, product backlog, repositorio GitHub</w:t>
            </w:r>
          </w:p>
        </w:tc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Completado</w:t>
            </w:r>
          </w:p>
        </w:tc>
      </w:tr>
      <w:tr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 2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Sem. 2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Carga, limpieza de datos, EDA (3 gráficas)</w:t>
            </w:r>
          </w:p>
        </w:tc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Completado</w:t>
            </w:r>
          </w:p>
        </w:tc>
      </w:tr>
      <w:tr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 3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Sem. 3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Entrenamiento, validación cruzada, métricas PEP8</w:t>
            </w:r>
          </w:p>
        </w:tc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Completado</w:t>
            </w:r>
          </w:p>
        </w:tc>
      </w:tr>
      <w:tr>
        <w:tc>
          <w:tcPr>
            <w:tcW w:type="dxa" w:w="1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 4</w:t>
            </w:r>
          </w:p>
        </w:tc>
        <w:tc>
          <w:tcPr>
            <w:tcW w:type="dxa" w:w="12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Sem. 4</w:t>
            </w:r>
          </w:p>
        </w:tc>
        <w:tc>
          <w:tcPr>
            <w:tcW w:type="dxa" w:w="45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 en GitHub, memoria técnica, defensa oral</w:t>
            </w:r>
          </w:p>
        </w:tc>
        <w:tc>
          <w:tcPr>
            <w:tcW w:type="dxa" w:w="2000"/>
            <w:tcBorders>
              <w:top w:val="single" w:color="BBDEFB" w:sz="1"/>
              <w:left w:val="single" w:color="BBDEFB" w:sz="1"/>
              <w:bottom w:val="single" w:color="BBDEFB" w:sz="1"/>
              <w:right w:val="single" w:color="BBDEFB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 curso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8. Conclusiones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El proyecto ha permitido implementar el ciclo completo de un proyecto de Machine Learning sobre datos clínicos reales. Las conclusiones principales son: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nivel de glucosa es el predictor más relevante para el diagnóstico de diabetes, confirmado tanto por el análisis de correlación como por la importancia de características del árbol de decisión.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modelo KNN con k=7 alcanza un accuracy del ~85%, superando al árbol de decisión (~81%), aunque ambos resultados son satisfactorios para un modelo de clasificación binaria sobre datos biomédicos.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preprocesamiento es crítico: la imputación correcta de los 361 valores codificados como cero mejora significativamente el rendimiento de los modelos.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validación cruzada de 5 pliegues confirma que los resultados son estables y no debidos al azar de una única partición de datos.</w:t>
      </w:r>
    </w:p>
    <w:p>
      <w:pPr>
        <w:spacing w:after="60" w:before="60"/>
      </w:pPr>
      <w:r>
        <w:t xml:space="preserve"/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Como líneas de mejora futuras se propone: explorar modelos de ensamblaje (Random Forest, XGBoost), aplicar técnicas de balanceo de clases (SMOTE), y optimizar hiperparámetros mediante GridSearchCV.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565C0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565C0"/>
          <w:sz w:val="32"/>
          <w:szCs w:val="32"/>
        </w:rPr>
        <w:t xml:space="preserve">Referencias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Smith, J.W. et al. (1988). Using the ADAP Learning Algorithm to Forecast the Onset of Diabetes Mellitus. Proceedings of the Annual Symposium on Computer Application in Medical Care.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Pedregosa, F. et al. (2011). Scikit-learn: Machine Learning in Python. JMLR, 12, pp.2825-2830. https://scikit-learn.org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McKinney, W. (2010). Data Structures for Statistical Computing in Python. Proceedings of SciPy 2010. https://pandas.pydata.org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Kaggle. Pima Indians Diabetes Database. https://www.kaggle.com/datasets/uciml/pima-indians-diabetes-database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565C0" w:sz="4" w:space="1"/>
      </w:pBdr>
    </w:pPr>
    <w:r>
      <w:rPr>
        <w:rFonts w:ascii="Arial" w:cs="Arial" w:eastAsia="Arial" w:hAnsi="Arial"/>
        <w:color w:val="546E7A"/>
        <w:sz w:val="18"/>
        <w:szCs w:val="18"/>
      </w:rPr>
      <w:t xml:space="preserve">Clasificador de Estado de Salud | Proyecto 3 — CE Python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565C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2026-05-06T08:03:40.491Z</dcterms:created>
  <dcterms:modified xsi:type="dcterms:W3CDTF">2026-05-06T08:03:40.510Z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