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BD37B" w14:textId="77777777" w:rsidR="004E6A2B" w:rsidRDefault="004E6A2B" w:rsidP="00E92862">
      <w:pPr>
        <w:spacing w:before="100" w:beforeAutospacing="1" w:after="100" w:afterAutospacing="1" w:line="240" w:lineRule="auto"/>
        <w:jc w:val="both"/>
        <w:rPr>
          <w:rFonts w:ascii="Times New Roman" w:eastAsia="Times New Roman" w:hAnsi="Times New Roman" w:cs="Times New Roman"/>
          <w:b/>
          <w:bCs/>
          <w:kern w:val="0"/>
          <w:lang w:eastAsia="it-IT"/>
          <w14:ligatures w14:val="none"/>
        </w:rPr>
      </w:pPr>
    </w:p>
    <w:p w14:paraId="2280B05F" w14:textId="4E60A7A2" w:rsidR="00CF51F1" w:rsidRDefault="00CF51F1" w:rsidP="00E92862">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b/>
          <w:bCs/>
          <w:kern w:val="0"/>
          <w:lang w:eastAsia="it-IT"/>
          <w14:ligatures w14:val="none"/>
        </w:rPr>
        <w:t>Nuclei Tematici:</w:t>
      </w:r>
      <w:r w:rsidRPr="00CF51F1">
        <w:rPr>
          <w:rFonts w:ascii="Times New Roman" w:eastAsia="Times New Roman" w:hAnsi="Times New Roman" w:cs="Times New Roman"/>
          <w:kern w:val="0"/>
          <w:lang w:eastAsia="it-IT"/>
          <w14:ligatures w14:val="none"/>
        </w:rPr>
        <w:t xml:space="preserve"> </w:t>
      </w:r>
    </w:p>
    <w:p w14:paraId="2AC44E19" w14:textId="77777777" w:rsidR="007E20A0" w:rsidRDefault="00CF51F1" w:rsidP="00E92862">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 xml:space="preserve">7. Attività educative, di animazione, ludiche e culturali in rapporto alle diverse tipologie di utenza. </w:t>
      </w:r>
    </w:p>
    <w:p w14:paraId="4DA8EB1A" w14:textId="4177C4C3" w:rsidR="00CF51F1" w:rsidRPr="00CF51F1" w:rsidRDefault="00CF51F1" w:rsidP="00E92862">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8. Inclusione socio-culturale di singoli o gruppi, prevenzione e contrasto all’emarginazione e alla discriminazione sociale.</w:t>
      </w:r>
    </w:p>
    <w:p w14:paraId="5528645F" w14:textId="099F81BB" w:rsidR="00A54593" w:rsidRDefault="00CF51F1" w:rsidP="00E92862">
      <w:pPr>
        <w:spacing w:before="100" w:beforeAutospacing="1" w:after="100" w:afterAutospacing="1" w:line="240" w:lineRule="auto"/>
        <w:jc w:val="both"/>
        <w:rPr>
          <w:rFonts w:ascii="Times New Roman" w:eastAsia="Times New Roman" w:hAnsi="Times New Roman" w:cs="Times New Roman"/>
          <w:b/>
          <w:bCs/>
          <w:kern w:val="0"/>
          <w:lang w:eastAsia="it-IT"/>
          <w14:ligatures w14:val="none"/>
        </w:rPr>
      </w:pPr>
      <w:r w:rsidRPr="00CF51F1">
        <w:rPr>
          <w:rFonts w:ascii="Times New Roman" w:eastAsia="Times New Roman" w:hAnsi="Times New Roman" w:cs="Times New Roman"/>
          <w:b/>
          <w:bCs/>
          <w:kern w:val="0"/>
          <w:lang w:eastAsia="it-IT"/>
          <w14:ligatures w14:val="none"/>
        </w:rPr>
        <w:t>Testo della Prova</w:t>
      </w:r>
    </w:p>
    <w:p w14:paraId="724D352D" w14:textId="0F1DD439" w:rsidR="00CF51F1" w:rsidRPr="00CF51F1" w:rsidRDefault="00CF51F1" w:rsidP="00E92862">
      <w:pPr>
        <w:spacing w:after="0"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 xml:space="preserve">Il/la candidato/a, in qualità di operatore dei servizi territoriali, è invitato/a ad analizzare i documenti forniti nonché le indagini statistiche </w:t>
      </w:r>
      <w:r w:rsidR="00627259">
        <w:rPr>
          <w:rFonts w:ascii="Times New Roman" w:eastAsia="Times New Roman" w:hAnsi="Times New Roman" w:cs="Times New Roman"/>
          <w:kern w:val="0"/>
          <w:lang w:eastAsia="it-IT"/>
          <w14:ligatures w14:val="none"/>
        </w:rPr>
        <w:t xml:space="preserve">e a </w:t>
      </w:r>
      <w:r w:rsidR="003C1DB4">
        <w:rPr>
          <w:rFonts w:ascii="Times New Roman" w:eastAsia="Times New Roman" w:hAnsi="Times New Roman" w:cs="Times New Roman"/>
          <w:kern w:val="0"/>
          <w:lang w:eastAsia="it-IT"/>
          <w14:ligatures w14:val="none"/>
        </w:rPr>
        <w:t>redigere</w:t>
      </w:r>
      <w:r w:rsidR="00627259">
        <w:rPr>
          <w:rFonts w:ascii="Times New Roman" w:eastAsia="Times New Roman" w:hAnsi="Times New Roman" w:cs="Times New Roman"/>
          <w:kern w:val="0"/>
          <w:lang w:eastAsia="it-IT"/>
          <w14:ligatures w14:val="none"/>
        </w:rPr>
        <w:t xml:space="preserve"> una relazione professionale</w:t>
      </w:r>
      <w:r w:rsidR="0075676C">
        <w:rPr>
          <w:rFonts w:ascii="Times New Roman" w:eastAsia="Times New Roman" w:hAnsi="Times New Roman" w:cs="Times New Roman"/>
          <w:kern w:val="0"/>
          <w:lang w:eastAsia="it-IT"/>
          <w14:ligatures w14:val="none"/>
        </w:rPr>
        <w:t xml:space="preserve"> </w:t>
      </w:r>
      <w:r w:rsidRPr="00CF51F1">
        <w:rPr>
          <w:rFonts w:ascii="Times New Roman" w:eastAsia="Times New Roman" w:hAnsi="Times New Roman" w:cs="Times New Roman"/>
          <w:kern w:val="0"/>
          <w:lang w:eastAsia="it-IT"/>
          <w14:ligatures w14:val="none"/>
        </w:rPr>
        <w:t xml:space="preserve">su uno o più aspetti significativi, eventualmente interrelati fra loro, fornendo motivazioni pertinenti alla scelta effettuata. </w:t>
      </w:r>
      <w:r w:rsidR="00CC2DDF">
        <w:rPr>
          <w:rFonts w:ascii="Times New Roman" w:eastAsia="Times New Roman" w:hAnsi="Times New Roman" w:cs="Times New Roman"/>
          <w:kern w:val="0"/>
          <w:lang w:eastAsia="it-IT"/>
          <w14:ligatures w14:val="none"/>
        </w:rPr>
        <w:t>Il</w:t>
      </w:r>
      <w:r w:rsidRPr="00CF51F1">
        <w:rPr>
          <w:rFonts w:ascii="Times New Roman" w:eastAsia="Times New Roman" w:hAnsi="Times New Roman" w:cs="Times New Roman"/>
          <w:kern w:val="0"/>
          <w:lang w:eastAsia="it-IT"/>
          <w14:ligatures w14:val="none"/>
        </w:rPr>
        <w:t xml:space="preserve"> candidato/a dovrà </w:t>
      </w:r>
      <w:r w:rsidR="00E60CEC">
        <w:rPr>
          <w:rFonts w:ascii="Times New Roman" w:eastAsia="Times New Roman" w:hAnsi="Times New Roman" w:cs="Times New Roman"/>
          <w:kern w:val="0"/>
          <w:lang w:eastAsia="it-IT"/>
          <w14:ligatures w14:val="none"/>
        </w:rPr>
        <w:t>elaborare</w:t>
      </w:r>
      <w:r w:rsidRPr="00CF51F1">
        <w:rPr>
          <w:rFonts w:ascii="Times New Roman" w:eastAsia="Times New Roman" w:hAnsi="Times New Roman" w:cs="Times New Roman"/>
          <w:kern w:val="0"/>
          <w:lang w:eastAsia="it-IT"/>
          <w14:ligatures w14:val="none"/>
        </w:rPr>
        <w:t xml:space="preserve"> un documento da presentare al Responsabile d’area sociosanitaria del Piano Integrato di Zona (istituito ai sensi della L. 328/2000)</w:t>
      </w:r>
      <w:r>
        <w:rPr>
          <w:rFonts w:ascii="Times New Roman" w:eastAsia="Times New Roman" w:hAnsi="Times New Roman" w:cs="Times New Roman"/>
          <w:kern w:val="0"/>
          <w:lang w:eastAsia="it-IT"/>
          <w14:ligatures w14:val="none"/>
        </w:rPr>
        <w:t>, quale organo</w:t>
      </w:r>
      <w:r w:rsidRPr="00CF51F1">
        <w:rPr>
          <w:rFonts w:ascii="Times New Roman" w:eastAsia="Times New Roman" w:hAnsi="Times New Roman" w:cs="Times New Roman"/>
          <w:kern w:val="0"/>
          <w:lang w:eastAsia="it-IT"/>
          <w14:ligatures w14:val="none"/>
        </w:rPr>
        <w:t xml:space="preserve"> decisionale</w:t>
      </w:r>
      <w:r>
        <w:rPr>
          <w:rFonts w:ascii="Times New Roman" w:eastAsia="Times New Roman" w:hAnsi="Times New Roman" w:cs="Times New Roman"/>
          <w:kern w:val="0"/>
          <w:lang w:eastAsia="it-IT"/>
          <w14:ligatures w14:val="none"/>
        </w:rPr>
        <w:t xml:space="preserve"> del settore dei servizi socio sanitari territoriali, fornendo </w:t>
      </w:r>
      <w:r w:rsidRPr="00CF51F1">
        <w:rPr>
          <w:rFonts w:ascii="Times New Roman" w:eastAsia="Times New Roman" w:hAnsi="Times New Roman" w:cs="Times New Roman"/>
          <w:kern w:val="0"/>
          <w:lang w:eastAsia="it-IT"/>
          <w14:ligatures w14:val="none"/>
        </w:rPr>
        <w:t>informazioni accurate e dati concreti che delineano chiaramente il/i problema/i oggetto di attenzione.</w:t>
      </w:r>
    </w:p>
    <w:p w14:paraId="16FE071F" w14:textId="14E69922" w:rsidR="00CF51F1" w:rsidRPr="00CF51F1" w:rsidRDefault="00CF51F1" w:rsidP="00E92862">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 xml:space="preserve">Inoltre, il/la candidato/a dovrà approfondire le azioni e gli interventi </w:t>
      </w:r>
      <w:r w:rsidR="00DD221C">
        <w:rPr>
          <w:rFonts w:ascii="Times New Roman" w:eastAsia="Times New Roman" w:hAnsi="Times New Roman" w:cs="Times New Roman"/>
          <w:kern w:val="0"/>
          <w:lang w:eastAsia="it-IT"/>
          <w14:ligatures w14:val="none"/>
        </w:rPr>
        <w:t>da attuare a fa</w:t>
      </w:r>
      <w:r w:rsidR="004762A1">
        <w:rPr>
          <w:rFonts w:ascii="Times New Roman" w:eastAsia="Times New Roman" w:hAnsi="Times New Roman" w:cs="Times New Roman"/>
          <w:kern w:val="0"/>
          <w:lang w:eastAsia="it-IT"/>
          <w14:ligatures w14:val="none"/>
        </w:rPr>
        <w:t>vore</w:t>
      </w:r>
      <w:r w:rsidRPr="00CF51F1">
        <w:rPr>
          <w:rFonts w:ascii="Times New Roman" w:eastAsia="Times New Roman" w:hAnsi="Times New Roman" w:cs="Times New Roman"/>
          <w:kern w:val="0"/>
          <w:lang w:eastAsia="it-IT"/>
          <w14:ligatures w14:val="none"/>
        </w:rPr>
        <w:t xml:space="preserve"> </w:t>
      </w:r>
      <w:r w:rsidR="004762A1">
        <w:rPr>
          <w:rFonts w:ascii="Times New Roman" w:eastAsia="Times New Roman" w:hAnsi="Times New Roman" w:cs="Times New Roman"/>
          <w:kern w:val="0"/>
          <w:lang w:eastAsia="it-IT"/>
          <w14:ligatures w14:val="none"/>
        </w:rPr>
        <w:t>del</w:t>
      </w:r>
      <w:r w:rsidRPr="00CF51F1">
        <w:rPr>
          <w:rFonts w:ascii="Times New Roman" w:eastAsia="Times New Roman" w:hAnsi="Times New Roman" w:cs="Times New Roman"/>
          <w:kern w:val="0"/>
          <w:lang w:eastAsia="it-IT"/>
          <w14:ligatures w14:val="none"/>
        </w:rPr>
        <w:t>la popolazione anziana, identificare eventuali criticità e avanzare proposte per migliorare la qualità di vita della popolazione in oggetto.</w:t>
      </w:r>
    </w:p>
    <w:p w14:paraId="2A63E8D6" w14:textId="77777777" w:rsidR="00CF51F1" w:rsidRPr="00CF51F1" w:rsidRDefault="00CF51F1" w:rsidP="00E92862">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b/>
          <w:bCs/>
          <w:kern w:val="0"/>
          <w:lang w:eastAsia="it-IT"/>
          <w14:ligatures w14:val="none"/>
        </w:rPr>
        <w:t>La relazione dovrà contenere:</w:t>
      </w:r>
    </w:p>
    <w:p w14:paraId="55E81289" w14:textId="77777777" w:rsidR="00CF51F1" w:rsidRPr="00CF51F1" w:rsidRDefault="00CF51F1" w:rsidP="00E92862">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La finalità della relazione</w:t>
      </w:r>
    </w:p>
    <w:p w14:paraId="431C05D5" w14:textId="560D0B14" w:rsidR="00CF51F1" w:rsidRPr="00CF51F1" w:rsidRDefault="00CF51F1" w:rsidP="00E92862">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L’analisi della problematica</w:t>
      </w:r>
      <w:r w:rsidR="00016935">
        <w:rPr>
          <w:rFonts w:ascii="Times New Roman" w:eastAsia="Times New Roman" w:hAnsi="Times New Roman" w:cs="Times New Roman"/>
          <w:kern w:val="0"/>
          <w:lang w:eastAsia="it-IT"/>
          <w14:ligatures w14:val="none"/>
        </w:rPr>
        <w:t xml:space="preserve"> e dei bisogni rilevati</w:t>
      </w:r>
    </w:p>
    <w:p w14:paraId="3D5B7C17" w14:textId="51E521BA" w:rsidR="00CF51F1" w:rsidRPr="00CF51F1" w:rsidRDefault="00CF51F1" w:rsidP="00E92862">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CF51F1">
        <w:rPr>
          <w:rFonts w:ascii="Times New Roman" w:eastAsia="Times New Roman" w:hAnsi="Times New Roman" w:cs="Times New Roman"/>
          <w:kern w:val="0"/>
          <w:lang w:eastAsia="it-IT"/>
          <w14:ligatures w14:val="none"/>
        </w:rPr>
        <w:t xml:space="preserve">I servizi e gli interventi </w:t>
      </w:r>
      <w:r w:rsidR="00D82954">
        <w:rPr>
          <w:rFonts w:ascii="Times New Roman" w:eastAsia="Times New Roman" w:hAnsi="Times New Roman" w:cs="Times New Roman"/>
          <w:kern w:val="0"/>
          <w:lang w:eastAsia="it-IT"/>
          <w14:ligatures w14:val="none"/>
        </w:rPr>
        <w:t>di carattere educativo</w:t>
      </w:r>
      <w:r w:rsidR="00007AB3">
        <w:rPr>
          <w:rFonts w:ascii="Times New Roman" w:eastAsia="Times New Roman" w:hAnsi="Times New Roman" w:cs="Times New Roman"/>
          <w:kern w:val="0"/>
          <w:lang w:eastAsia="it-IT"/>
          <w14:ligatures w14:val="none"/>
        </w:rPr>
        <w:t>, animazione sociale e culturale</w:t>
      </w:r>
      <w:r w:rsidR="00543244">
        <w:rPr>
          <w:rFonts w:ascii="Times New Roman" w:eastAsia="Times New Roman" w:hAnsi="Times New Roman" w:cs="Times New Roman"/>
          <w:kern w:val="0"/>
          <w:lang w:eastAsia="it-IT"/>
          <w14:ligatures w14:val="none"/>
        </w:rPr>
        <w:t xml:space="preserve"> </w:t>
      </w:r>
      <w:r w:rsidR="009E518B">
        <w:rPr>
          <w:rFonts w:ascii="Times New Roman" w:eastAsia="Times New Roman" w:hAnsi="Times New Roman" w:cs="Times New Roman"/>
          <w:kern w:val="0"/>
          <w:lang w:eastAsia="it-IT"/>
          <w14:ligatures w14:val="none"/>
        </w:rPr>
        <w:t>finalizzati</w:t>
      </w:r>
      <w:r w:rsidR="00543244">
        <w:rPr>
          <w:rFonts w:ascii="Times New Roman" w:eastAsia="Times New Roman" w:hAnsi="Times New Roman" w:cs="Times New Roman"/>
          <w:kern w:val="0"/>
          <w:lang w:eastAsia="it-IT"/>
          <w14:ligatures w14:val="none"/>
        </w:rPr>
        <w:t xml:space="preserve"> a</w:t>
      </w:r>
      <w:r w:rsidR="003F32AD">
        <w:rPr>
          <w:rFonts w:ascii="Times New Roman" w:eastAsia="Times New Roman" w:hAnsi="Times New Roman" w:cs="Times New Roman"/>
          <w:kern w:val="0"/>
          <w:lang w:eastAsia="it-IT"/>
          <w14:ligatures w14:val="none"/>
        </w:rPr>
        <w:t xml:space="preserve"> rispondere ai problemi </w:t>
      </w:r>
      <w:r w:rsidR="004E0D71">
        <w:rPr>
          <w:rFonts w:ascii="Times New Roman" w:eastAsia="Times New Roman" w:hAnsi="Times New Roman" w:cs="Times New Roman"/>
          <w:kern w:val="0"/>
          <w:lang w:eastAsia="it-IT"/>
          <w14:ligatures w14:val="none"/>
        </w:rPr>
        <w:t>emersi dall’analisi dei document</w:t>
      </w:r>
      <w:r w:rsidR="00D82954">
        <w:rPr>
          <w:rFonts w:ascii="Times New Roman" w:eastAsia="Times New Roman" w:hAnsi="Times New Roman" w:cs="Times New Roman"/>
          <w:kern w:val="0"/>
          <w:lang w:eastAsia="it-IT"/>
          <w14:ligatures w14:val="none"/>
        </w:rPr>
        <w:t>i</w:t>
      </w:r>
      <w:r w:rsidR="00F42410">
        <w:rPr>
          <w:rFonts w:ascii="Times New Roman" w:eastAsia="Times New Roman" w:hAnsi="Times New Roman" w:cs="Times New Roman"/>
          <w:kern w:val="0"/>
          <w:lang w:eastAsia="it-IT"/>
          <w14:ligatures w14:val="none"/>
        </w:rPr>
        <w:t xml:space="preserve">, e specificatamente pensati </w:t>
      </w:r>
      <w:r w:rsidR="00A82DF4">
        <w:rPr>
          <w:rFonts w:ascii="Times New Roman" w:eastAsia="Times New Roman" w:hAnsi="Times New Roman" w:cs="Times New Roman"/>
          <w:kern w:val="0"/>
          <w:lang w:eastAsia="it-IT"/>
          <w14:ligatures w14:val="none"/>
        </w:rPr>
        <w:t>per la popolazione anziana</w:t>
      </w:r>
      <w:r w:rsidR="009771DB">
        <w:rPr>
          <w:rFonts w:ascii="Times New Roman" w:eastAsia="Times New Roman" w:hAnsi="Times New Roman" w:cs="Times New Roman"/>
          <w:kern w:val="0"/>
          <w:lang w:eastAsia="it-IT"/>
          <w14:ligatures w14:val="none"/>
        </w:rPr>
        <w:t xml:space="preserve"> </w:t>
      </w:r>
      <w:r w:rsidR="0030319D">
        <w:rPr>
          <w:rFonts w:ascii="Times New Roman" w:eastAsia="Times New Roman" w:hAnsi="Times New Roman" w:cs="Times New Roman"/>
          <w:kern w:val="0"/>
          <w:lang w:eastAsia="it-IT"/>
          <w14:ligatures w14:val="none"/>
        </w:rPr>
        <w:t>autosufficiente o parzialmente autosufficiente</w:t>
      </w:r>
      <w:r w:rsidR="00A82DF4">
        <w:rPr>
          <w:rFonts w:ascii="Times New Roman" w:eastAsia="Times New Roman" w:hAnsi="Times New Roman" w:cs="Times New Roman"/>
          <w:kern w:val="0"/>
          <w:lang w:eastAsia="it-IT"/>
          <w14:ligatures w14:val="none"/>
        </w:rPr>
        <w:t>.</w:t>
      </w:r>
      <w:r w:rsidR="0006164E">
        <w:rPr>
          <w:rFonts w:ascii="Times New Roman" w:eastAsia="Times New Roman" w:hAnsi="Times New Roman" w:cs="Times New Roman"/>
          <w:kern w:val="0"/>
          <w:lang w:eastAsia="it-IT"/>
          <w14:ligatures w14:val="none"/>
        </w:rPr>
        <w:t xml:space="preserve"> </w:t>
      </w:r>
    </w:p>
    <w:p w14:paraId="3B131DC2" w14:textId="275C76D3" w:rsidR="00CF51F1" w:rsidRDefault="004762A1" w:rsidP="00E92862">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Le s</w:t>
      </w:r>
      <w:r w:rsidR="00CF51F1" w:rsidRPr="00CF51F1">
        <w:rPr>
          <w:rFonts w:ascii="Times New Roman" w:eastAsia="Times New Roman" w:hAnsi="Times New Roman" w:cs="Times New Roman"/>
          <w:kern w:val="0"/>
          <w:lang w:eastAsia="it-IT"/>
          <w14:ligatures w14:val="none"/>
        </w:rPr>
        <w:t>trategie e</w:t>
      </w:r>
      <w:r>
        <w:rPr>
          <w:rFonts w:ascii="Times New Roman" w:eastAsia="Times New Roman" w:hAnsi="Times New Roman" w:cs="Times New Roman"/>
          <w:kern w:val="0"/>
          <w:lang w:eastAsia="it-IT"/>
          <w14:ligatures w14:val="none"/>
        </w:rPr>
        <w:t xml:space="preserve"> gli</w:t>
      </w:r>
      <w:r w:rsidR="00CF51F1" w:rsidRPr="00CF51F1">
        <w:rPr>
          <w:rFonts w:ascii="Times New Roman" w:eastAsia="Times New Roman" w:hAnsi="Times New Roman" w:cs="Times New Roman"/>
          <w:kern w:val="0"/>
          <w:lang w:eastAsia="it-IT"/>
          <w14:ligatures w14:val="none"/>
        </w:rPr>
        <w:t xml:space="preserve"> interventi per promuovere l’inclusione socio-culturale di singoli o gruppi, prevenendo e contrastando l’emarginazione e la discriminazione sociale</w:t>
      </w:r>
      <w:r w:rsidR="0032008C">
        <w:rPr>
          <w:rFonts w:ascii="Times New Roman" w:eastAsia="Times New Roman" w:hAnsi="Times New Roman" w:cs="Times New Roman"/>
          <w:kern w:val="0"/>
          <w:lang w:eastAsia="it-IT"/>
          <w14:ligatures w14:val="none"/>
        </w:rPr>
        <w:t xml:space="preserve"> degli anziani</w:t>
      </w:r>
      <w:r w:rsidR="0030319D">
        <w:rPr>
          <w:rFonts w:ascii="Times New Roman" w:eastAsia="Times New Roman" w:hAnsi="Times New Roman" w:cs="Times New Roman"/>
          <w:kern w:val="0"/>
          <w:lang w:eastAsia="it-IT"/>
          <w14:ligatures w14:val="none"/>
        </w:rPr>
        <w:t>.</w:t>
      </w:r>
    </w:p>
    <w:p w14:paraId="5E35EA26" w14:textId="6D332484" w:rsidR="00CF51F1" w:rsidRPr="00CF51F1" w:rsidRDefault="00CF51F1" w:rsidP="00E92862">
      <w:pPr>
        <w:numPr>
          <w:ilvl w:val="0"/>
          <w:numId w:val="1"/>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Indicazioni dell</w:t>
      </w:r>
      <w:r w:rsidRPr="00CF51F1">
        <w:rPr>
          <w:rFonts w:ascii="Times New Roman" w:eastAsia="Times New Roman" w:hAnsi="Times New Roman" w:cs="Times New Roman"/>
          <w:kern w:val="0"/>
          <w:lang w:eastAsia="it-IT"/>
          <w14:ligatures w14:val="none"/>
        </w:rPr>
        <w:t>a natura giuridica d</w:t>
      </w:r>
      <w:r>
        <w:rPr>
          <w:rFonts w:ascii="Times New Roman" w:eastAsia="Times New Roman" w:hAnsi="Times New Roman" w:cs="Times New Roman"/>
          <w:kern w:val="0"/>
          <w:lang w:eastAsia="it-IT"/>
          <w14:ligatures w14:val="none"/>
        </w:rPr>
        <w:t>ell’ente</w:t>
      </w:r>
      <w:r w:rsidRPr="00CF51F1">
        <w:rPr>
          <w:rFonts w:ascii="Times New Roman" w:eastAsia="Times New Roman" w:hAnsi="Times New Roman" w:cs="Times New Roman"/>
          <w:kern w:val="0"/>
          <w:lang w:eastAsia="it-IT"/>
          <w14:ligatures w14:val="none"/>
        </w:rPr>
        <w:t xml:space="preserve"> (cooperative sociali, associazioni riconosciute, ecc.) de</w:t>
      </w:r>
      <w:r>
        <w:rPr>
          <w:rFonts w:ascii="Times New Roman" w:eastAsia="Times New Roman" w:hAnsi="Times New Roman" w:cs="Times New Roman"/>
          <w:kern w:val="0"/>
          <w:lang w:eastAsia="it-IT"/>
          <w14:ligatures w14:val="none"/>
        </w:rPr>
        <w:t>l settore dei</w:t>
      </w:r>
      <w:r w:rsidRPr="00CF51F1">
        <w:rPr>
          <w:rFonts w:ascii="Times New Roman" w:eastAsia="Times New Roman" w:hAnsi="Times New Roman" w:cs="Times New Roman"/>
          <w:kern w:val="0"/>
          <w:lang w:eastAsia="it-IT"/>
          <w14:ligatures w14:val="none"/>
        </w:rPr>
        <w:t xml:space="preserve"> servizi socio sanitari</w:t>
      </w:r>
      <w:r>
        <w:rPr>
          <w:rFonts w:ascii="Times New Roman" w:eastAsia="Times New Roman" w:hAnsi="Times New Roman" w:cs="Times New Roman"/>
          <w:kern w:val="0"/>
          <w:lang w:eastAsia="it-IT"/>
          <w14:ligatures w14:val="none"/>
        </w:rPr>
        <w:t>, motivando la scelta</w:t>
      </w:r>
      <w:r w:rsidR="007D400D">
        <w:rPr>
          <w:rFonts w:ascii="Times New Roman" w:eastAsia="Times New Roman" w:hAnsi="Times New Roman" w:cs="Times New Roman"/>
          <w:kern w:val="0"/>
          <w:lang w:eastAsia="it-IT"/>
          <w14:ligatures w14:val="none"/>
        </w:rPr>
        <w:t>, nonché le figure professionali</w:t>
      </w:r>
      <w:r w:rsidR="0049069B">
        <w:rPr>
          <w:rFonts w:ascii="Times New Roman" w:eastAsia="Times New Roman" w:hAnsi="Times New Roman" w:cs="Times New Roman"/>
          <w:kern w:val="0"/>
          <w:lang w:eastAsia="it-IT"/>
          <w14:ligatures w14:val="none"/>
        </w:rPr>
        <w:t xml:space="preserve"> eventualmente da coinvolgere.</w:t>
      </w:r>
    </w:p>
    <w:p w14:paraId="48D65456" w14:textId="77777777" w:rsidR="00CF51F1" w:rsidRDefault="00CF51F1" w:rsidP="00E92862">
      <w:pPr>
        <w:jc w:val="both"/>
      </w:pPr>
    </w:p>
    <w:p w14:paraId="465E2759" w14:textId="77777777" w:rsidR="003A263B" w:rsidRDefault="003A263B" w:rsidP="00E92862">
      <w:pPr>
        <w:jc w:val="both"/>
      </w:pPr>
    </w:p>
    <w:p w14:paraId="30CACB8A" w14:textId="77777777" w:rsidR="003A263B" w:rsidRDefault="003A263B" w:rsidP="00E92862">
      <w:pPr>
        <w:jc w:val="both"/>
      </w:pPr>
    </w:p>
    <w:p w14:paraId="6A9FA5DA" w14:textId="77777777" w:rsidR="003A263B" w:rsidRDefault="003A263B" w:rsidP="00E92862">
      <w:pPr>
        <w:jc w:val="both"/>
      </w:pPr>
    </w:p>
    <w:p w14:paraId="71784423" w14:textId="77777777" w:rsidR="003A263B" w:rsidRDefault="003A263B" w:rsidP="00E92862">
      <w:pPr>
        <w:jc w:val="both"/>
      </w:pPr>
    </w:p>
    <w:p w14:paraId="42BA3DB9" w14:textId="77777777" w:rsidR="003A263B" w:rsidRDefault="003A263B" w:rsidP="00E92862">
      <w:pPr>
        <w:jc w:val="both"/>
      </w:pPr>
    </w:p>
    <w:p w14:paraId="64C14B74" w14:textId="77777777" w:rsidR="003A263B" w:rsidRDefault="003A263B" w:rsidP="00E92862">
      <w:pPr>
        <w:jc w:val="both"/>
      </w:pPr>
    </w:p>
    <w:p w14:paraId="39B0FCAA" w14:textId="77777777" w:rsidR="00E57726" w:rsidRDefault="00E57726" w:rsidP="00E92862">
      <w:pPr>
        <w:jc w:val="both"/>
      </w:pPr>
    </w:p>
    <w:p w14:paraId="35F11A45" w14:textId="77777777" w:rsidR="00E57726" w:rsidRDefault="00E57726" w:rsidP="00E92862">
      <w:pPr>
        <w:jc w:val="both"/>
      </w:pPr>
    </w:p>
    <w:p w14:paraId="09D69D7E" w14:textId="77777777" w:rsidR="00F646BB" w:rsidRDefault="003A263B" w:rsidP="00E92862">
      <w:pPr>
        <w:pStyle w:val="Titolo2"/>
        <w:spacing w:before="0" w:line="420" w:lineRule="auto"/>
        <w:jc w:val="both"/>
        <w:rPr>
          <w:rFonts w:cstheme="minorHAnsi"/>
          <w:b/>
          <w:bCs/>
          <w:color w:val="000000" w:themeColor="text1"/>
          <w:sz w:val="24"/>
          <w:szCs w:val="24"/>
        </w:rPr>
      </w:pPr>
      <w:r w:rsidRPr="00511926">
        <w:rPr>
          <w:rFonts w:asciiTheme="minorHAnsi" w:hAnsiTheme="minorHAnsi" w:cstheme="minorHAnsi"/>
          <w:b/>
          <w:bCs/>
          <w:color w:val="000000" w:themeColor="text1"/>
          <w:sz w:val="24"/>
          <w:szCs w:val="24"/>
        </w:rPr>
        <w:lastRenderedPageBreak/>
        <w:t>Allegato 1</w:t>
      </w:r>
    </w:p>
    <w:p w14:paraId="5C1AB941" w14:textId="0964B328" w:rsidR="003A263B" w:rsidRPr="00511926" w:rsidRDefault="003A263B" w:rsidP="00E92862">
      <w:pPr>
        <w:pStyle w:val="Titolo2"/>
        <w:spacing w:before="0" w:line="420" w:lineRule="auto"/>
        <w:jc w:val="both"/>
        <w:rPr>
          <w:rFonts w:asciiTheme="minorHAnsi" w:hAnsiTheme="minorHAnsi" w:cstheme="minorHAnsi"/>
          <w:color w:val="000000" w:themeColor="text1"/>
          <w:sz w:val="24"/>
          <w:szCs w:val="24"/>
        </w:rPr>
      </w:pPr>
      <w:r w:rsidRPr="00511926">
        <w:rPr>
          <w:rFonts w:asciiTheme="minorHAnsi" w:eastAsia="Lora" w:hAnsiTheme="minorHAnsi" w:cstheme="minorHAnsi"/>
          <w:b/>
          <w:bCs/>
          <w:color w:val="000000" w:themeColor="text1"/>
          <w:sz w:val="24"/>
          <w:szCs w:val="24"/>
        </w:rPr>
        <w:t>Cos’è la 328/2000</w:t>
      </w:r>
    </w:p>
    <w:p w14:paraId="4B8D7B95" w14:textId="77777777" w:rsidR="00D9503C" w:rsidRDefault="003A263B" w:rsidP="00E92862">
      <w:pPr>
        <w:spacing w:after="0"/>
        <w:jc w:val="both"/>
        <w:rPr>
          <w:rFonts w:eastAsia="Times New Roman" w:cstheme="minorHAnsi"/>
          <w:color w:val="000000" w:themeColor="text1"/>
        </w:rPr>
      </w:pPr>
      <w:r w:rsidRPr="00511926">
        <w:rPr>
          <w:rFonts w:eastAsia="Times New Roman" w:cstheme="minorHAnsi"/>
          <w:color w:val="000000" w:themeColor="text1"/>
        </w:rPr>
        <w:t xml:space="preserve">La legge 328 è un </w:t>
      </w:r>
      <w:r w:rsidRPr="00511926">
        <w:rPr>
          <w:rFonts w:eastAsia="Times New Roman" w:cstheme="minorHAnsi"/>
          <w:b/>
          <w:bCs/>
          <w:color w:val="000000" w:themeColor="text1"/>
        </w:rPr>
        <w:t xml:space="preserve">provvedimento normativo </w:t>
      </w:r>
      <w:r w:rsidR="00DD36E9">
        <w:rPr>
          <w:rFonts w:eastAsia="Times New Roman" w:cstheme="minorHAnsi"/>
          <w:color w:val="000000" w:themeColor="text1"/>
        </w:rPr>
        <w:t xml:space="preserve">di portata storica ed è così strutturato. </w:t>
      </w:r>
    </w:p>
    <w:p w14:paraId="60D71E18" w14:textId="43D7DEDC" w:rsidR="003A263B" w:rsidRPr="00DD36E9" w:rsidRDefault="003A263B" w:rsidP="00E92862">
      <w:pPr>
        <w:spacing w:after="0"/>
        <w:jc w:val="both"/>
        <w:rPr>
          <w:rFonts w:cstheme="minorHAnsi"/>
          <w:color w:val="000000" w:themeColor="text1"/>
        </w:rPr>
      </w:pPr>
      <w:r w:rsidRPr="00511926">
        <w:rPr>
          <w:rFonts w:eastAsia="Times New Roman" w:cstheme="minorHAnsi"/>
          <w:color w:val="000000" w:themeColor="text1"/>
        </w:rPr>
        <w:t xml:space="preserve">Il </w:t>
      </w:r>
      <w:r w:rsidRPr="00511926">
        <w:rPr>
          <w:rFonts w:eastAsia="Times New Roman" w:cstheme="minorHAnsi"/>
          <w:b/>
          <w:bCs/>
          <w:color w:val="000000" w:themeColor="text1"/>
        </w:rPr>
        <w:t xml:space="preserve">Capo I </w:t>
      </w:r>
      <w:r w:rsidRPr="00511926">
        <w:rPr>
          <w:rFonts w:eastAsia="Times New Roman" w:cstheme="minorHAnsi"/>
          <w:color w:val="000000" w:themeColor="text1"/>
        </w:rPr>
        <w:t xml:space="preserve">si concentra sui </w:t>
      </w:r>
      <w:r w:rsidRPr="00511926">
        <w:rPr>
          <w:rFonts w:eastAsia="Times New Roman" w:cstheme="minorHAnsi"/>
          <w:b/>
          <w:bCs/>
          <w:color w:val="000000" w:themeColor="text1"/>
        </w:rPr>
        <w:t>principi generali del sistema</w:t>
      </w:r>
      <w:r w:rsidRPr="00511926">
        <w:rPr>
          <w:rFonts w:eastAsia="Times New Roman" w:cstheme="minorHAnsi"/>
          <w:color w:val="000000" w:themeColor="text1"/>
        </w:rPr>
        <w:t xml:space="preserve">, individuando nella </w:t>
      </w:r>
      <w:r w:rsidRPr="00511926">
        <w:rPr>
          <w:rFonts w:eastAsia="Times New Roman" w:cstheme="minorHAnsi"/>
          <w:b/>
          <w:bCs/>
          <w:color w:val="000000" w:themeColor="text1"/>
        </w:rPr>
        <w:t xml:space="preserve">Costituzione </w:t>
      </w:r>
      <w:r w:rsidRPr="00511926">
        <w:rPr>
          <w:rFonts w:eastAsia="Times New Roman" w:cstheme="minorHAnsi"/>
          <w:color w:val="000000" w:themeColor="text1"/>
        </w:rPr>
        <w:t xml:space="preserve">la </w:t>
      </w:r>
      <w:r w:rsidRPr="00511926">
        <w:rPr>
          <w:rFonts w:eastAsia="Times New Roman" w:cstheme="minorHAnsi"/>
          <w:b/>
          <w:bCs/>
          <w:color w:val="000000" w:themeColor="text1"/>
        </w:rPr>
        <w:t>prima e fondamentale radice della 328</w:t>
      </w:r>
      <w:r w:rsidRPr="00511926">
        <w:rPr>
          <w:rFonts w:eastAsia="Times New Roman" w:cstheme="minorHAnsi"/>
          <w:color w:val="000000" w:themeColor="text1"/>
        </w:rPr>
        <w:t xml:space="preserve">: in coerenza con gli articoli 2, 3 e 38 devono essere promossi interventi volti a garantire la qualità della vita, pari opportunità, non discriminazione e diritti di cittadinanza e a prevenire, eliminare o ridurre le condizioni di disabilità, di bisogno e di disagio individuale e familiare. </w:t>
      </w:r>
    </w:p>
    <w:p w14:paraId="37AA62F9" w14:textId="370BC643" w:rsidR="003A263B" w:rsidRPr="00511926" w:rsidRDefault="003A263B" w:rsidP="00E92862">
      <w:pPr>
        <w:spacing w:after="0"/>
        <w:jc w:val="both"/>
        <w:rPr>
          <w:rFonts w:cstheme="minorHAnsi"/>
          <w:color w:val="000000" w:themeColor="text1"/>
        </w:rPr>
      </w:pPr>
      <w:r w:rsidRPr="00511926">
        <w:rPr>
          <w:rFonts w:eastAsia="Times New Roman" w:cstheme="minorHAnsi"/>
          <w:color w:val="000000" w:themeColor="text1"/>
        </w:rPr>
        <w:t xml:space="preserve">La Legge afferma dunque il diritto di tutti i cittadini ad accedere al sistema integrato dei servizi sociali (principio di universalità), pur garantendo l’accesso prioritario in base alla condizione di bisogno. Il sistema integrato </w:t>
      </w:r>
      <w:r w:rsidRPr="00511926">
        <w:rPr>
          <w:rFonts w:eastAsia="Times New Roman" w:cstheme="minorHAnsi"/>
          <w:b/>
          <w:bCs/>
          <w:color w:val="000000" w:themeColor="text1"/>
        </w:rPr>
        <w:t>deve tenere conto</w:t>
      </w:r>
      <w:r w:rsidRPr="00511926">
        <w:rPr>
          <w:rFonts w:eastAsia="Times New Roman" w:cstheme="minorHAnsi"/>
          <w:color w:val="000000" w:themeColor="text1"/>
        </w:rPr>
        <w:t xml:space="preserve"> innanzitutto </w:t>
      </w:r>
      <w:r w:rsidRPr="00511926">
        <w:rPr>
          <w:rFonts w:eastAsia="Times New Roman" w:cstheme="minorHAnsi"/>
          <w:b/>
          <w:bCs/>
          <w:color w:val="000000" w:themeColor="text1"/>
        </w:rPr>
        <w:t>dei principi chiave della pubblica amministrazione</w:t>
      </w:r>
      <w:r w:rsidRPr="00511926">
        <w:rPr>
          <w:rFonts w:eastAsia="Times New Roman" w:cstheme="minorHAnsi"/>
          <w:color w:val="000000" w:themeColor="text1"/>
        </w:rPr>
        <w:t xml:space="preserve"> (efficacia, efficienza, economicità, ecc.) </w:t>
      </w:r>
      <w:r w:rsidRPr="00511926">
        <w:rPr>
          <w:rFonts w:eastAsia="Times New Roman" w:cstheme="minorHAnsi"/>
          <w:b/>
          <w:bCs/>
          <w:color w:val="000000" w:themeColor="text1"/>
        </w:rPr>
        <w:t>ma deve anche ispirarsi a valori quali la cooperazione e la sussidiarietà</w:t>
      </w:r>
      <w:r w:rsidRPr="00511926">
        <w:rPr>
          <w:rFonts w:eastAsia="Times New Roman" w:cstheme="minorHAnsi"/>
          <w:color w:val="000000" w:themeColor="text1"/>
        </w:rPr>
        <w:t xml:space="preserve">; proprio in questo Capo un intero articolo è dedicato al ruolo del Terzo Settore. Infine, si evidenzia che la programmazione dei servizi e degli interventi deve avvenire in modo coordinato e integrato rispetto </w:t>
      </w:r>
      <w:r w:rsidR="003074F9">
        <w:rPr>
          <w:rFonts w:eastAsia="Times New Roman" w:cstheme="minorHAnsi"/>
          <w:color w:val="000000" w:themeColor="text1"/>
        </w:rPr>
        <w:t xml:space="preserve">agli interventi </w:t>
      </w:r>
      <w:r w:rsidRPr="00511926">
        <w:rPr>
          <w:rFonts w:eastAsia="Times New Roman" w:cstheme="minorHAnsi"/>
          <w:color w:val="000000" w:themeColor="text1"/>
        </w:rPr>
        <w:t>sanitari</w:t>
      </w:r>
      <w:r w:rsidR="006C4919">
        <w:rPr>
          <w:rFonts w:eastAsia="Times New Roman" w:cstheme="minorHAnsi"/>
          <w:color w:val="000000" w:themeColor="text1"/>
        </w:rPr>
        <w:t xml:space="preserve"> e sociali.</w:t>
      </w:r>
    </w:p>
    <w:p w14:paraId="1EA3C5A6" w14:textId="496D9D2A" w:rsidR="003A263B" w:rsidRPr="00511926" w:rsidRDefault="003A263B" w:rsidP="00E92862">
      <w:pPr>
        <w:spacing w:after="0"/>
        <w:jc w:val="both"/>
        <w:rPr>
          <w:rFonts w:cstheme="minorHAnsi"/>
          <w:color w:val="000000" w:themeColor="text1"/>
        </w:rPr>
      </w:pPr>
      <w:r w:rsidRPr="00511926">
        <w:rPr>
          <w:rFonts w:eastAsia="Times New Roman" w:cstheme="minorHAnsi"/>
          <w:color w:val="000000" w:themeColor="text1"/>
        </w:rPr>
        <w:t xml:space="preserve">Il </w:t>
      </w:r>
      <w:r w:rsidRPr="00511926">
        <w:rPr>
          <w:rFonts w:eastAsia="Times New Roman" w:cstheme="minorHAnsi"/>
          <w:b/>
          <w:bCs/>
          <w:color w:val="000000" w:themeColor="text1"/>
        </w:rPr>
        <w:t>Capo II</w:t>
      </w:r>
      <w:r w:rsidRPr="00511926">
        <w:rPr>
          <w:rFonts w:eastAsia="Times New Roman" w:cstheme="minorHAnsi"/>
          <w:color w:val="000000" w:themeColor="text1"/>
        </w:rPr>
        <w:t xml:space="preserve"> si concentra sull’</w:t>
      </w:r>
      <w:r w:rsidRPr="00511926">
        <w:rPr>
          <w:rFonts w:eastAsia="Times New Roman" w:cstheme="minorHAnsi"/>
          <w:b/>
          <w:bCs/>
          <w:color w:val="000000" w:themeColor="text1"/>
        </w:rPr>
        <w:t>assetto istituzionale e organizzativo del sistema dei servizi</w:t>
      </w:r>
      <w:r w:rsidRPr="00511926">
        <w:rPr>
          <w:rFonts w:eastAsia="Times New Roman" w:cstheme="minorHAnsi"/>
          <w:color w:val="000000" w:themeColor="text1"/>
        </w:rPr>
        <w:t xml:space="preserve">, individuando le funzioni e le </w:t>
      </w:r>
      <w:r w:rsidRPr="00511926">
        <w:rPr>
          <w:rFonts w:eastAsia="Times New Roman" w:cstheme="minorHAnsi"/>
          <w:b/>
          <w:bCs/>
          <w:color w:val="000000" w:themeColor="text1"/>
        </w:rPr>
        <w:t>responsabilità in capo a Comuni, Province, Regioni e Stato</w:t>
      </w:r>
      <w:r w:rsidRPr="00511926">
        <w:rPr>
          <w:rFonts w:eastAsia="Times New Roman" w:cstheme="minorHAnsi"/>
          <w:color w:val="000000" w:themeColor="text1"/>
        </w:rPr>
        <w:t>..</w:t>
      </w:r>
    </w:p>
    <w:p w14:paraId="0BE226F5" w14:textId="6CA921D9" w:rsidR="003A263B" w:rsidRPr="00511926" w:rsidRDefault="003A263B" w:rsidP="00E92862">
      <w:pPr>
        <w:spacing w:after="0"/>
        <w:jc w:val="both"/>
        <w:rPr>
          <w:rFonts w:cstheme="minorHAnsi"/>
          <w:color w:val="000000" w:themeColor="text1"/>
        </w:rPr>
      </w:pPr>
      <w:r w:rsidRPr="00511926">
        <w:rPr>
          <w:rFonts w:eastAsia="Times New Roman" w:cstheme="minorHAnsi"/>
          <w:color w:val="000000" w:themeColor="text1"/>
        </w:rPr>
        <w:t xml:space="preserve">Nel </w:t>
      </w:r>
      <w:r w:rsidRPr="00511926">
        <w:rPr>
          <w:rFonts w:eastAsia="Times New Roman" w:cstheme="minorHAnsi"/>
          <w:b/>
          <w:bCs/>
          <w:color w:val="000000" w:themeColor="text1"/>
        </w:rPr>
        <w:t>Capo III</w:t>
      </w:r>
      <w:r w:rsidRPr="00511926">
        <w:rPr>
          <w:rFonts w:eastAsia="Times New Roman" w:cstheme="minorHAnsi"/>
          <w:color w:val="000000" w:themeColor="text1"/>
        </w:rPr>
        <w:t xml:space="preserve"> sono contenute </w:t>
      </w:r>
      <w:r w:rsidRPr="00511926">
        <w:rPr>
          <w:rFonts w:eastAsia="Times New Roman" w:cstheme="minorHAnsi"/>
          <w:b/>
          <w:bCs/>
          <w:color w:val="000000" w:themeColor="text1"/>
        </w:rPr>
        <w:t>disposizioni relative ad alcuni gruppi di utenti/cittadini</w:t>
      </w:r>
      <w:r w:rsidRPr="00511926">
        <w:rPr>
          <w:rFonts w:eastAsia="Times New Roman" w:cstheme="minorHAnsi"/>
          <w:color w:val="000000" w:themeColor="text1"/>
        </w:rPr>
        <w:t xml:space="preserve"> le cui </w:t>
      </w:r>
      <w:r w:rsidRPr="00511926">
        <w:rPr>
          <w:rFonts w:eastAsia="Times New Roman" w:cstheme="minorHAnsi"/>
          <w:b/>
          <w:bCs/>
          <w:color w:val="000000" w:themeColor="text1"/>
        </w:rPr>
        <w:t xml:space="preserve">necessità </w:t>
      </w:r>
      <w:r w:rsidRPr="00511926">
        <w:rPr>
          <w:rFonts w:eastAsia="Times New Roman" w:cstheme="minorHAnsi"/>
          <w:color w:val="000000" w:themeColor="text1"/>
        </w:rPr>
        <w:t xml:space="preserve">sono considerate </w:t>
      </w:r>
      <w:r w:rsidRPr="00511926">
        <w:rPr>
          <w:rFonts w:eastAsia="Times New Roman" w:cstheme="minorHAnsi"/>
          <w:b/>
          <w:bCs/>
          <w:color w:val="000000" w:themeColor="text1"/>
        </w:rPr>
        <w:t>prioritarie</w:t>
      </w:r>
      <w:r w:rsidRPr="00511926">
        <w:rPr>
          <w:rFonts w:eastAsia="Times New Roman" w:cstheme="minorHAnsi"/>
          <w:color w:val="000000" w:themeColor="text1"/>
        </w:rPr>
        <w:t xml:space="preserve">: persone con disabilità, anziani non autosufficienti, famiglie. </w:t>
      </w:r>
      <w:r w:rsidR="000E4635">
        <w:rPr>
          <w:rFonts w:eastAsia="Times New Roman" w:cstheme="minorHAnsi"/>
          <w:color w:val="000000" w:themeColor="text1"/>
        </w:rPr>
        <w:t>Il</w:t>
      </w:r>
      <w:r w:rsidRPr="00511926">
        <w:rPr>
          <w:rFonts w:eastAsia="Times New Roman" w:cstheme="minorHAnsi"/>
          <w:color w:val="000000" w:themeColor="text1"/>
        </w:rPr>
        <w:t xml:space="preserve"> Capo V definisce e riordina alcuni specifici interventi (reddito minimo di inserimento, indennità da invalidità civile, </w:t>
      </w:r>
      <w:r w:rsidR="00FD44D3">
        <w:rPr>
          <w:rFonts w:eastAsia="Times New Roman" w:cstheme="minorHAnsi"/>
          <w:color w:val="000000" w:themeColor="text1"/>
        </w:rPr>
        <w:t>l’assistenza domiciliare, semiresidenziale e residenziale</w:t>
      </w:r>
      <w:r w:rsidRPr="00511926">
        <w:rPr>
          <w:rFonts w:eastAsia="Times New Roman" w:cstheme="minorHAnsi"/>
          <w:color w:val="000000" w:themeColor="text1"/>
        </w:rPr>
        <w:t>).</w:t>
      </w:r>
    </w:p>
    <w:p w14:paraId="7DFD3A93" w14:textId="5EA23056" w:rsidR="003A263B" w:rsidRPr="00511926" w:rsidRDefault="003A263B" w:rsidP="00E92862">
      <w:pPr>
        <w:spacing w:after="0"/>
        <w:jc w:val="both"/>
        <w:rPr>
          <w:rFonts w:eastAsia="Times New Roman" w:cstheme="minorHAnsi"/>
          <w:color w:val="000000" w:themeColor="text1"/>
        </w:rPr>
      </w:pPr>
      <w:r w:rsidRPr="00511926">
        <w:rPr>
          <w:rFonts w:eastAsia="Times New Roman" w:cstheme="minorHAnsi"/>
          <w:color w:val="000000" w:themeColor="text1"/>
        </w:rPr>
        <w:t xml:space="preserve">Il </w:t>
      </w:r>
      <w:r w:rsidRPr="00511926">
        <w:rPr>
          <w:rFonts w:eastAsia="Times New Roman" w:cstheme="minorHAnsi"/>
          <w:b/>
          <w:bCs/>
          <w:color w:val="000000" w:themeColor="text1"/>
        </w:rPr>
        <w:t>Capo IV</w:t>
      </w:r>
      <w:r w:rsidRPr="00511926">
        <w:rPr>
          <w:rFonts w:eastAsia="Times New Roman" w:cstheme="minorHAnsi"/>
          <w:color w:val="000000" w:themeColor="text1"/>
        </w:rPr>
        <w:t xml:space="preserve"> individua, infine, diversi </w:t>
      </w:r>
      <w:r w:rsidRPr="00511926">
        <w:rPr>
          <w:rFonts w:eastAsia="Times New Roman" w:cstheme="minorHAnsi"/>
          <w:b/>
          <w:bCs/>
          <w:color w:val="000000" w:themeColor="text1"/>
        </w:rPr>
        <w:t>strumenti per favorire il riordino del sistema integrato dei servizi sociali</w:t>
      </w:r>
      <w:r w:rsidRPr="00511926">
        <w:rPr>
          <w:rFonts w:eastAsia="Times New Roman" w:cstheme="minorHAnsi"/>
          <w:color w:val="000000" w:themeColor="text1"/>
        </w:rPr>
        <w:t>. Sono individuati tre strumenti programmatori – il Piano di Zona</w:t>
      </w:r>
      <w:r w:rsidR="00FD44D3">
        <w:rPr>
          <w:rFonts w:eastAsia="Times New Roman" w:cstheme="minorHAnsi"/>
          <w:color w:val="000000" w:themeColor="text1"/>
        </w:rPr>
        <w:t xml:space="preserve"> (PLUS – Piano Locale Unitario dei Servizi </w:t>
      </w:r>
      <w:r w:rsidR="00FA2C77">
        <w:rPr>
          <w:rFonts w:eastAsia="Times New Roman" w:cstheme="minorHAnsi"/>
          <w:color w:val="000000" w:themeColor="text1"/>
        </w:rPr>
        <w:t>alla Persona</w:t>
      </w:r>
      <w:r w:rsidR="00155373">
        <w:rPr>
          <w:rFonts w:eastAsia="Times New Roman" w:cstheme="minorHAnsi"/>
          <w:color w:val="000000" w:themeColor="text1"/>
        </w:rPr>
        <w:t>)</w:t>
      </w:r>
      <w:r w:rsidR="00B65A2E">
        <w:rPr>
          <w:rFonts w:eastAsia="Times New Roman" w:cstheme="minorHAnsi"/>
          <w:color w:val="000000" w:themeColor="text1"/>
        </w:rPr>
        <w:t xml:space="preserve">. </w:t>
      </w:r>
      <w:r w:rsidRPr="00511926">
        <w:rPr>
          <w:rFonts w:eastAsia="Times New Roman" w:cstheme="minorHAnsi"/>
          <w:color w:val="000000" w:themeColor="text1"/>
        </w:rPr>
        <w:t xml:space="preserve">È poi introdotta l’istituzione di un Sistema informativo dei servizi </w:t>
      </w:r>
      <w:r w:rsidR="00B65A2E">
        <w:rPr>
          <w:rFonts w:eastAsia="Times New Roman" w:cstheme="minorHAnsi"/>
          <w:color w:val="000000" w:themeColor="text1"/>
        </w:rPr>
        <w:t>fina</w:t>
      </w:r>
      <w:r w:rsidR="00153DAE">
        <w:rPr>
          <w:rFonts w:eastAsia="Times New Roman" w:cstheme="minorHAnsi"/>
          <w:color w:val="000000" w:themeColor="text1"/>
        </w:rPr>
        <w:t>lizzato al</w:t>
      </w:r>
      <w:r w:rsidRPr="00511926">
        <w:rPr>
          <w:rFonts w:eastAsia="Times New Roman" w:cstheme="minorHAnsi"/>
          <w:color w:val="000000" w:themeColor="text1"/>
        </w:rPr>
        <w:t>l’analisi dei bisogni territoriali</w:t>
      </w:r>
      <w:r w:rsidR="00153DAE">
        <w:rPr>
          <w:rFonts w:eastAsia="Times New Roman" w:cstheme="minorHAnsi"/>
          <w:color w:val="000000" w:themeColor="text1"/>
        </w:rPr>
        <w:t xml:space="preserve"> </w:t>
      </w:r>
      <w:r w:rsidRPr="00511926">
        <w:rPr>
          <w:rFonts w:eastAsia="Times New Roman" w:cstheme="minorHAnsi"/>
          <w:color w:val="000000" w:themeColor="text1"/>
        </w:rPr>
        <w:t>e degli interventi soci</w:t>
      </w:r>
      <w:r w:rsidR="00153DAE">
        <w:rPr>
          <w:rFonts w:eastAsia="Times New Roman" w:cstheme="minorHAnsi"/>
          <w:color w:val="000000" w:themeColor="text1"/>
        </w:rPr>
        <w:t>osanitari</w:t>
      </w:r>
      <w:r w:rsidRPr="00511926">
        <w:rPr>
          <w:rFonts w:eastAsia="Times New Roman" w:cstheme="minorHAnsi"/>
          <w:color w:val="000000" w:themeColor="text1"/>
        </w:rPr>
        <w:t>.</w:t>
      </w:r>
    </w:p>
    <w:p w14:paraId="76BD14BB" w14:textId="77777777" w:rsidR="003A263B" w:rsidRPr="00511926" w:rsidRDefault="003A263B" w:rsidP="00E92862">
      <w:pPr>
        <w:spacing w:after="0"/>
        <w:jc w:val="both"/>
        <w:rPr>
          <w:rFonts w:cstheme="minorHAnsi"/>
          <w:color w:val="000000" w:themeColor="text1"/>
        </w:rPr>
      </w:pPr>
    </w:p>
    <w:p w14:paraId="11C80B87" w14:textId="77777777" w:rsidR="003A263B" w:rsidRPr="00511926" w:rsidRDefault="003A263B" w:rsidP="00E92862">
      <w:pPr>
        <w:spacing w:after="0"/>
        <w:jc w:val="both"/>
        <w:rPr>
          <w:rFonts w:cstheme="minorHAnsi"/>
          <w:color w:val="000000" w:themeColor="text1"/>
        </w:rPr>
      </w:pPr>
    </w:p>
    <w:p w14:paraId="7C93D1C2" w14:textId="77777777" w:rsidR="003A263B" w:rsidRPr="00511926" w:rsidRDefault="003A263B" w:rsidP="00E92862">
      <w:pPr>
        <w:spacing w:after="0"/>
        <w:jc w:val="both"/>
        <w:rPr>
          <w:rFonts w:cstheme="minorHAnsi"/>
          <w:color w:val="000000" w:themeColor="text1"/>
        </w:rPr>
      </w:pPr>
    </w:p>
    <w:p w14:paraId="4DE2F09E" w14:textId="27DB862E" w:rsidR="003A263B" w:rsidRPr="00511926" w:rsidRDefault="008A585B" w:rsidP="00E92862">
      <w:pPr>
        <w:spacing w:after="0"/>
        <w:jc w:val="both"/>
        <w:rPr>
          <w:rFonts w:cstheme="minorHAnsi"/>
          <w:color w:val="000000" w:themeColor="text1"/>
        </w:rPr>
      </w:pPr>
      <w:r>
        <w:rPr>
          <w:rFonts w:cstheme="minorHAnsi"/>
          <w:color w:val="000000" w:themeColor="text1"/>
        </w:rPr>
        <w:t xml:space="preserve">Tratto da </w:t>
      </w:r>
      <w:r w:rsidR="003A263B" w:rsidRPr="00511926">
        <w:rPr>
          <w:rFonts w:cstheme="minorHAnsi"/>
          <w:color w:val="000000" w:themeColor="text1"/>
        </w:rPr>
        <w:t>https://www.secondowelfare.it/primo-welfare/la-legge-328-ha-vent-anni-valutiamone-la-maturita/</w:t>
      </w:r>
    </w:p>
    <w:p w14:paraId="39B84C59" w14:textId="77777777" w:rsidR="003A263B" w:rsidRDefault="003A263B" w:rsidP="00E92862">
      <w:pPr>
        <w:jc w:val="both"/>
      </w:pPr>
    </w:p>
    <w:p w14:paraId="1D23BCF2" w14:textId="77777777" w:rsidR="009C142A" w:rsidRDefault="009C142A" w:rsidP="00E92862">
      <w:pPr>
        <w:jc w:val="both"/>
      </w:pPr>
    </w:p>
    <w:p w14:paraId="486FB93B" w14:textId="77777777" w:rsidR="009C142A" w:rsidRDefault="009C142A" w:rsidP="00E92862">
      <w:pPr>
        <w:jc w:val="both"/>
      </w:pPr>
    </w:p>
    <w:p w14:paraId="0DC80EE1" w14:textId="77777777" w:rsidR="009C142A" w:rsidRDefault="009C142A" w:rsidP="00E92862">
      <w:pPr>
        <w:jc w:val="both"/>
      </w:pPr>
    </w:p>
    <w:p w14:paraId="5639ECC6" w14:textId="77777777" w:rsidR="009C142A" w:rsidRDefault="009C142A" w:rsidP="00E92862">
      <w:pPr>
        <w:jc w:val="both"/>
      </w:pPr>
    </w:p>
    <w:p w14:paraId="539559CC" w14:textId="77777777" w:rsidR="009C142A" w:rsidRDefault="009C142A" w:rsidP="00E92862">
      <w:pPr>
        <w:jc w:val="both"/>
      </w:pPr>
    </w:p>
    <w:p w14:paraId="62DD3B2E" w14:textId="77777777" w:rsidR="009C142A" w:rsidRDefault="009C142A" w:rsidP="00E92862">
      <w:pPr>
        <w:jc w:val="both"/>
      </w:pPr>
    </w:p>
    <w:p w14:paraId="5A651924" w14:textId="77777777" w:rsidR="009C142A" w:rsidRDefault="009C142A" w:rsidP="00E92862">
      <w:pPr>
        <w:jc w:val="both"/>
      </w:pPr>
    </w:p>
    <w:p w14:paraId="4BF1E501" w14:textId="77777777" w:rsidR="00731496" w:rsidRDefault="00E57726" w:rsidP="00E92862">
      <w:pPr>
        <w:jc w:val="both"/>
        <w:rPr>
          <w:b/>
          <w:bCs/>
        </w:rPr>
      </w:pPr>
      <w:r w:rsidRPr="00E57726">
        <w:rPr>
          <w:b/>
          <w:bCs/>
        </w:rPr>
        <w:t>Allegato 2</w:t>
      </w:r>
      <w:r w:rsidR="008E7BFE">
        <w:rPr>
          <w:b/>
          <w:bCs/>
        </w:rPr>
        <w:t xml:space="preserve">  </w:t>
      </w:r>
    </w:p>
    <w:p w14:paraId="3647EDAC" w14:textId="2D26FE2E" w:rsidR="00E57726" w:rsidRPr="00E57726" w:rsidRDefault="008E7BFE" w:rsidP="00E92862">
      <w:pPr>
        <w:jc w:val="both"/>
        <w:rPr>
          <w:b/>
          <w:bCs/>
        </w:rPr>
      </w:pPr>
      <w:r>
        <w:rPr>
          <w:b/>
          <w:bCs/>
        </w:rPr>
        <w:t>Anziani</w:t>
      </w:r>
      <w:r w:rsidR="00731496">
        <w:rPr>
          <w:b/>
          <w:bCs/>
        </w:rPr>
        <w:t>: tra tempo libero e solitudine</w:t>
      </w:r>
    </w:p>
    <w:p w14:paraId="67105BC3" w14:textId="5FF0DC7F" w:rsidR="006866BE" w:rsidRPr="006866BE" w:rsidRDefault="006866BE" w:rsidP="00E92862">
      <w:pPr>
        <w:jc w:val="both"/>
      </w:pPr>
      <w:r w:rsidRPr="006866BE">
        <w:t>Gli anziani oggi affrontano sfide particolari riguardanti il modo in cui trascorrono il loro tempo libero e gestiscono la solitudine. Ecco i punti principali:</w:t>
      </w:r>
    </w:p>
    <w:p w14:paraId="799D468A" w14:textId="77777777" w:rsidR="006866BE" w:rsidRPr="006866BE" w:rsidRDefault="006866BE" w:rsidP="00E92862">
      <w:pPr>
        <w:numPr>
          <w:ilvl w:val="0"/>
          <w:numId w:val="2"/>
        </w:numPr>
        <w:jc w:val="both"/>
      </w:pPr>
      <w:r w:rsidRPr="006866BE">
        <w:rPr>
          <w:b/>
          <w:bCs/>
        </w:rPr>
        <w:t>Tempo libero e attivismo</w:t>
      </w:r>
      <w:r w:rsidRPr="006866BE">
        <w:t>:</w:t>
      </w:r>
    </w:p>
    <w:p w14:paraId="21A82242" w14:textId="77777777" w:rsidR="006866BE" w:rsidRPr="006866BE" w:rsidRDefault="006866BE" w:rsidP="00E92862">
      <w:pPr>
        <w:numPr>
          <w:ilvl w:val="1"/>
          <w:numId w:val="2"/>
        </w:numPr>
        <w:jc w:val="both"/>
      </w:pPr>
      <w:r w:rsidRPr="006866BE">
        <w:t>Gli anziani spesso si trovano con molto tempo libero dopo la pensione, che può diventare un periodo di "inattività forzata" se non viene gestito correttamente. È importante per loro trovare attività significative per evitare l'isolamento sociale.</w:t>
      </w:r>
    </w:p>
    <w:p w14:paraId="4A36F6D9" w14:textId="10D64B27" w:rsidR="006866BE" w:rsidRPr="006866BE" w:rsidRDefault="006866BE" w:rsidP="00E92862">
      <w:pPr>
        <w:numPr>
          <w:ilvl w:val="1"/>
          <w:numId w:val="2"/>
        </w:numPr>
        <w:jc w:val="both"/>
      </w:pPr>
      <w:r w:rsidRPr="006866BE">
        <w:t>Le attività educative e culturali possono giocare un ruolo cruciale. Per esempio, l'educazione permanente e la partecipazione a corsi di formazione sono strumenti efficaci per mantenere gli anziani attivi e coinvolti nella società</w:t>
      </w:r>
      <w:r w:rsidRPr="006866BE">
        <w:rPr>
          <w:rFonts w:ascii="Arial" w:hAnsi="Arial" w:cs="Arial"/>
        </w:rPr>
        <w:t>​​</w:t>
      </w:r>
      <w:r w:rsidRPr="006866BE">
        <w:t>.</w:t>
      </w:r>
    </w:p>
    <w:p w14:paraId="39A8B780" w14:textId="77777777" w:rsidR="006866BE" w:rsidRPr="006866BE" w:rsidRDefault="006866BE" w:rsidP="00E92862">
      <w:pPr>
        <w:numPr>
          <w:ilvl w:val="0"/>
          <w:numId w:val="2"/>
        </w:numPr>
        <w:jc w:val="both"/>
      </w:pPr>
      <w:r w:rsidRPr="006866BE">
        <w:rPr>
          <w:b/>
          <w:bCs/>
        </w:rPr>
        <w:t>Solitudine e isolamento</w:t>
      </w:r>
      <w:r w:rsidRPr="006866BE">
        <w:t>:</w:t>
      </w:r>
    </w:p>
    <w:p w14:paraId="18948D15" w14:textId="743BE687" w:rsidR="006866BE" w:rsidRPr="006866BE" w:rsidRDefault="006866BE" w:rsidP="00E92862">
      <w:pPr>
        <w:numPr>
          <w:ilvl w:val="1"/>
          <w:numId w:val="2"/>
        </w:numPr>
        <w:jc w:val="both"/>
      </w:pPr>
      <w:r w:rsidRPr="006866BE">
        <w:t>La solitudine è un problema significativo tra gli anziani, aggravato dalla perdita del ruolo produttivo e delle connessioni sociali. Questo può portare a sentimenti di isolamento e depressione, influenzando negativamente la loro salute mentale e fisica</w:t>
      </w:r>
      <w:r w:rsidRPr="006866BE">
        <w:rPr>
          <w:rFonts w:ascii="Arial" w:hAnsi="Arial" w:cs="Arial"/>
        </w:rPr>
        <w:t>​​</w:t>
      </w:r>
      <w:r w:rsidRPr="006866BE">
        <w:t>.</w:t>
      </w:r>
    </w:p>
    <w:p w14:paraId="15F52178" w14:textId="6BB1391A" w:rsidR="006866BE" w:rsidRPr="006866BE" w:rsidRDefault="006866BE" w:rsidP="00E92862">
      <w:pPr>
        <w:numPr>
          <w:ilvl w:val="1"/>
          <w:numId w:val="2"/>
        </w:numPr>
        <w:jc w:val="both"/>
      </w:pPr>
      <w:r w:rsidRPr="006866BE">
        <w:t>L'isolamento può manifestarsi anche in situazioni dove gli anziani vivono con la famiglia, ma si sentono comunque esclusi o non compresi. Le relazioni interpersonali all'interno della famiglia possono non essere sufficienti per soddisfare i bisogni emotivi degli anziani</w:t>
      </w:r>
      <w:r w:rsidRPr="006866BE">
        <w:rPr>
          <w:rFonts w:ascii="Arial" w:hAnsi="Arial" w:cs="Arial"/>
        </w:rPr>
        <w:t>​</w:t>
      </w:r>
      <w:r w:rsidRPr="006866BE">
        <w:t>.</w:t>
      </w:r>
    </w:p>
    <w:p w14:paraId="7811ACF7" w14:textId="77777777" w:rsidR="006866BE" w:rsidRPr="006866BE" w:rsidRDefault="006866BE" w:rsidP="00E92862">
      <w:pPr>
        <w:numPr>
          <w:ilvl w:val="0"/>
          <w:numId w:val="2"/>
        </w:numPr>
        <w:jc w:val="both"/>
      </w:pPr>
      <w:r w:rsidRPr="006866BE">
        <w:rPr>
          <w:b/>
          <w:bCs/>
        </w:rPr>
        <w:t>Importanza delle attività sociali</w:t>
      </w:r>
      <w:r w:rsidRPr="006866BE">
        <w:t>:</w:t>
      </w:r>
    </w:p>
    <w:p w14:paraId="59257EA8" w14:textId="64D78B5E" w:rsidR="006866BE" w:rsidRPr="006866BE" w:rsidRDefault="006866BE" w:rsidP="00E92862">
      <w:pPr>
        <w:numPr>
          <w:ilvl w:val="1"/>
          <w:numId w:val="2"/>
        </w:numPr>
        <w:jc w:val="both"/>
      </w:pPr>
      <w:r w:rsidRPr="006866BE">
        <w:t>Le attività sociali e culturali sono fondamentali per mantenere gli anziani impegnati e per combattere la solitudine. Partecipare a eventi comunitari, gruppi di supporto, o attività artistiche può migliorare il loro benessere generale</w:t>
      </w:r>
      <w:r w:rsidRPr="006866BE">
        <w:rPr>
          <w:rFonts w:ascii="Arial" w:hAnsi="Arial" w:cs="Arial"/>
        </w:rPr>
        <w:t>​​</w:t>
      </w:r>
      <w:r w:rsidRPr="006866BE">
        <w:t>.</w:t>
      </w:r>
    </w:p>
    <w:p w14:paraId="0E78E7D9" w14:textId="4800294C" w:rsidR="006866BE" w:rsidRPr="006866BE" w:rsidRDefault="006866BE" w:rsidP="00E92862">
      <w:pPr>
        <w:numPr>
          <w:ilvl w:val="1"/>
          <w:numId w:val="2"/>
        </w:numPr>
        <w:jc w:val="both"/>
      </w:pPr>
      <w:r w:rsidRPr="006866BE">
        <w:t>L'uso delle tecnologie digitali può aiutare a mantenere i contatti con familiari e amici, ma esiste ancora un divario digitale significativo tra le generazioni che può limitare l'accesso degli anziani a queste risorse</w:t>
      </w:r>
      <w:r w:rsidRPr="006866BE">
        <w:rPr>
          <w:rFonts w:ascii="Arial" w:hAnsi="Arial" w:cs="Arial"/>
        </w:rPr>
        <w:t>​</w:t>
      </w:r>
      <w:r w:rsidRPr="006866BE">
        <w:t>.</w:t>
      </w:r>
    </w:p>
    <w:p w14:paraId="6C79333B" w14:textId="2D832D24" w:rsidR="005D6DDD" w:rsidRDefault="00D610B7" w:rsidP="00990A7A">
      <w:pPr>
        <w:jc w:val="both"/>
      </w:pPr>
      <w:r>
        <w:t>Fonti:</w:t>
      </w:r>
    </w:p>
    <w:p w14:paraId="49BB0C64" w14:textId="15685280" w:rsidR="00D610B7" w:rsidRPr="00990A7A" w:rsidRDefault="00E57726" w:rsidP="00990A7A">
      <w:pPr>
        <w:jc w:val="both"/>
        <w:rPr>
          <w:sz w:val="16"/>
          <w:szCs w:val="16"/>
        </w:rPr>
      </w:pPr>
      <w:hyperlink r:id="rId5" w:history="1">
        <w:r w:rsidRPr="00990A7A">
          <w:rPr>
            <w:rStyle w:val="Collegamentoipertestuale"/>
            <w:sz w:val="16"/>
            <w:szCs w:val="16"/>
          </w:rPr>
          <w:t>https://ec.europa.eu/eurostat/statistics-explained/index.php/Ageing_Europe_-_statistics_on_social_life_and_opinions</w:t>
        </w:r>
      </w:hyperlink>
    </w:p>
    <w:p w14:paraId="1D670259" w14:textId="208413EB" w:rsidR="00E57726" w:rsidRPr="00990A7A" w:rsidRDefault="00E57726" w:rsidP="00990A7A">
      <w:pPr>
        <w:jc w:val="both"/>
        <w:rPr>
          <w:sz w:val="16"/>
          <w:szCs w:val="16"/>
        </w:rPr>
      </w:pPr>
      <w:hyperlink r:id="rId6" w:history="1">
        <w:r w:rsidRPr="00990A7A">
          <w:rPr>
            <w:rStyle w:val="Collegamentoipertestuale"/>
            <w:sz w:val="16"/>
            <w:szCs w:val="16"/>
          </w:rPr>
          <w:t>https://www.healthyagingpoll.org/reports-more/report/trends-loneliness-among-older-adults-2018-2023</w:t>
        </w:r>
      </w:hyperlink>
    </w:p>
    <w:p w14:paraId="4F224278" w14:textId="5B3B5E0F" w:rsidR="00E57726" w:rsidRPr="00990A7A" w:rsidRDefault="00E57726" w:rsidP="00990A7A">
      <w:pPr>
        <w:jc w:val="both"/>
        <w:rPr>
          <w:sz w:val="16"/>
          <w:szCs w:val="16"/>
        </w:rPr>
      </w:pPr>
      <w:hyperlink r:id="rId7" w:history="1">
        <w:r w:rsidRPr="00990A7A">
          <w:rPr>
            <w:rStyle w:val="Collegamentoipertestuale"/>
            <w:sz w:val="16"/>
            <w:szCs w:val="16"/>
          </w:rPr>
          <w:t>https://www.seasons.com/how-do-older-people-spend-their-time/2491912/</w:t>
        </w:r>
      </w:hyperlink>
    </w:p>
    <w:p w14:paraId="7666D7D2" w14:textId="77777777" w:rsidR="00E57726" w:rsidRDefault="00E57726" w:rsidP="00E92862">
      <w:pPr>
        <w:jc w:val="both"/>
      </w:pPr>
    </w:p>
    <w:p w14:paraId="205E517B" w14:textId="77777777" w:rsidR="00F646BB" w:rsidRDefault="00F646BB" w:rsidP="00E92862">
      <w:pPr>
        <w:jc w:val="both"/>
      </w:pPr>
    </w:p>
    <w:p w14:paraId="1D3A9E52" w14:textId="2AAF4106" w:rsidR="00F646BB" w:rsidRDefault="00CC19CD" w:rsidP="00E92862">
      <w:pPr>
        <w:jc w:val="both"/>
        <w:rPr>
          <w:b/>
          <w:bCs/>
        </w:rPr>
      </w:pPr>
      <w:r w:rsidRPr="00CC19CD">
        <w:rPr>
          <w:b/>
          <w:bCs/>
        </w:rPr>
        <w:lastRenderedPageBreak/>
        <w:t xml:space="preserve">Allegato 3 </w:t>
      </w:r>
    </w:p>
    <w:p w14:paraId="1AE3AEF1" w14:textId="4E39DF5C" w:rsidR="00CC19CD" w:rsidRPr="00CC19CD" w:rsidRDefault="00CC19CD" w:rsidP="00E92862">
      <w:pPr>
        <w:jc w:val="both"/>
      </w:pPr>
      <w:r w:rsidRPr="00CC19CD">
        <w:rPr>
          <w:b/>
          <w:bCs/>
        </w:rPr>
        <w:t>Solitudine e Assistenza Anziani Soli Over 74 (2015)</w:t>
      </w:r>
    </w:p>
    <w:p w14:paraId="2BBB2094" w14:textId="0051C3BB" w:rsidR="00CC19CD" w:rsidRPr="00CC19CD" w:rsidRDefault="00CC19CD" w:rsidP="00E92862">
      <w:pPr>
        <w:jc w:val="both"/>
      </w:pPr>
      <w:r w:rsidRPr="00CC19CD">
        <w:t xml:space="preserve">I grafici di seguito offrono un quadro dettagliato delle condizioni di vita delle persone anziane over 74 che vivono da sole in Italia, basato sui dati del 2015. Essi mettono in evidenza le diverse problematiche di solitudine, il bisogno di assistenza e il supporto sociale che </w:t>
      </w:r>
      <w:r w:rsidR="00B9512A">
        <w:t>affligge</w:t>
      </w:r>
      <w:r w:rsidRPr="00CC19CD">
        <w:t xml:space="preserve"> questa fascia di popolazione. Questi grafici ci permettono di comprendere come la solitudine e il bisogno di supporto variano a seconda delle condizioni di vita e del contesto sociale degli anziani.</w:t>
      </w:r>
    </w:p>
    <w:p w14:paraId="15CDBD9C" w14:textId="3304A7A5" w:rsidR="00CC19CD" w:rsidRDefault="00F912A3" w:rsidP="00E92862">
      <w:pPr>
        <w:jc w:val="both"/>
      </w:pPr>
      <w:r w:rsidRPr="00511926">
        <w:rPr>
          <w:rFonts w:cstheme="minorHAnsi"/>
          <w:b/>
          <w:bCs/>
          <w:noProof/>
          <w:color w:val="000000" w:themeColor="text1"/>
        </w:rPr>
        <w:drawing>
          <wp:inline distT="0" distB="0" distL="0" distR="0" wp14:anchorId="54A03CE8" wp14:editId="4B67AC31">
            <wp:extent cx="3623022" cy="1784337"/>
            <wp:effectExtent l="0" t="0" r="0" b="6985"/>
            <wp:docPr id="474094884" name="Immagine 3" descr="Immagine che contiene testo, Carattere, schermata&#10;&#10;Descrizione generata automaticamente">
              <a:extLst xmlns:a="http://schemas.openxmlformats.org/drawingml/2006/main">
                <a:ext uri="{FF2B5EF4-FFF2-40B4-BE49-F238E27FC236}">
                  <a16:creationId xmlns:a16="http://schemas.microsoft.com/office/drawing/2014/main" id="{BF4A89A0-8794-6A35-18CC-F0B219435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Carattere, schermata&#10;&#10;Descrizione generata automaticamente">
                      <a:extLst>
                        <a:ext uri="{FF2B5EF4-FFF2-40B4-BE49-F238E27FC236}">
                          <a16:creationId xmlns:a16="http://schemas.microsoft.com/office/drawing/2014/main" id="{BF4A89A0-8794-6A35-18CC-F0B21943503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673866" cy="1809378"/>
                    </a:xfrm>
                    <a:prstGeom prst="rect">
                      <a:avLst/>
                    </a:prstGeom>
                  </pic:spPr>
                </pic:pic>
              </a:graphicData>
            </a:graphic>
          </wp:inline>
        </w:drawing>
      </w:r>
    </w:p>
    <w:p w14:paraId="51727A66" w14:textId="77777777" w:rsidR="00F9216F" w:rsidRDefault="00F9216F" w:rsidP="00E92862">
      <w:pPr>
        <w:jc w:val="both"/>
      </w:pPr>
    </w:p>
    <w:p w14:paraId="224CB9FD" w14:textId="7487EDBB" w:rsidR="00F9216F" w:rsidRDefault="00F9216F" w:rsidP="00E92862">
      <w:pPr>
        <w:jc w:val="both"/>
      </w:pPr>
      <w:r w:rsidRPr="00511926">
        <w:rPr>
          <w:rFonts w:cstheme="minorHAnsi"/>
          <w:b/>
          <w:bCs/>
          <w:noProof/>
          <w:color w:val="000000" w:themeColor="text1"/>
        </w:rPr>
        <w:drawing>
          <wp:inline distT="0" distB="0" distL="0" distR="0" wp14:anchorId="1DB8226F" wp14:editId="014EFA53">
            <wp:extent cx="4001156" cy="1690488"/>
            <wp:effectExtent l="0" t="0" r="0" b="5080"/>
            <wp:docPr id="1400345447" name="Immagine 3" descr="Immagine che contiene testo, schermata, Carattere, biglietto da visita&#10;&#10;Descrizione generata automaticamente">
              <a:extLst xmlns:a="http://schemas.openxmlformats.org/drawingml/2006/main">
                <a:ext uri="{FF2B5EF4-FFF2-40B4-BE49-F238E27FC236}">
                  <a16:creationId xmlns:a16="http://schemas.microsoft.com/office/drawing/2014/main" id="{2887D6BE-1A49-170C-8737-07B498FDB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schermata, Carattere, biglietto da visita&#10;&#10;Descrizione generata automaticamente">
                      <a:extLst>
                        <a:ext uri="{FF2B5EF4-FFF2-40B4-BE49-F238E27FC236}">
                          <a16:creationId xmlns:a16="http://schemas.microsoft.com/office/drawing/2014/main" id="{2887D6BE-1A49-170C-8737-07B498FDBA95}"/>
                        </a:ext>
                      </a:extLst>
                    </pic:cNvPr>
                    <pic:cNvPicPr>
                      <a:picLocks noChangeAspect="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65433" cy="1717645"/>
                    </a:xfrm>
                    <a:prstGeom prst="rect">
                      <a:avLst/>
                    </a:prstGeom>
                  </pic:spPr>
                </pic:pic>
              </a:graphicData>
            </a:graphic>
          </wp:inline>
        </w:drawing>
      </w:r>
    </w:p>
    <w:p w14:paraId="79036259" w14:textId="77777777" w:rsidR="007C3FD2" w:rsidRDefault="007C3FD2" w:rsidP="00E92862">
      <w:pPr>
        <w:jc w:val="both"/>
      </w:pPr>
    </w:p>
    <w:p w14:paraId="7B6D610D" w14:textId="2E312536" w:rsidR="007C3FD2" w:rsidRDefault="007C3FD2" w:rsidP="00E92862">
      <w:pPr>
        <w:jc w:val="both"/>
      </w:pPr>
      <w:r w:rsidRPr="00511926">
        <w:rPr>
          <w:rFonts w:cstheme="minorHAnsi"/>
          <w:b/>
          <w:bCs/>
          <w:noProof/>
          <w:color w:val="000000" w:themeColor="text1"/>
        </w:rPr>
        <w:lastRenderedPageBreak/>
        <w:drawing>
          <wp:inline distT="0" distB="0" distL="0" distR="0" wp14:anchorId="2E6D5B44" wp14:editId="4337B6AC">
            <wp:extent cx="3516130" cy="3208084"/>
            <wp:effectExtent l="0" t="0" r="8255" b="0"/>
            <wp:docPr id="1896567858" name="Immagine 3" descr="Immagine che contiene testo, schermata, Carattere, design&#10;&#10;Descrizione generata automaticamente">
              <a:extLst xmlns:a="http://schemas.openxmlformats.org/drawingml/2006/main">
                <a:ext uri="{FF2B5EF4-FFF2-40B4-BE49-F238E27FC236}">
                  <a16:creationId xmlns:a16="http://schemas.microsoft.com/office/drawing/2014/main" id="{AC7279EE-BC02-3938-77B1-BE88045C6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schermata, Carattere, design&#10;&#10;Descrizione generata automaticamente">
                      <a:extLst>
                        <a:ext uri="{FF2B5EF4-FFF2-40B4-BE49-F238E27FC236}">
                          <a16:creationId xmlns:a16="http://schemas.microsoft.com/office/drawing/2014/main" id="{AC7279EE-BC02-3938-77B1-BE88045C6174}"/>
                        </a:ext>
                      </a:extLst>
                    </pic:cNvPr>
                    <pic:cNvPicPr>
                      <a:picLocks noChangeAspect="1"/>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36965" cy="3227093"/>
                    </a:xfrm>
                    <a:prstGeom prst="rect">
                      <a:avLst/>
                    </a:prstGeom>
                  </pic:spPr>
                </pic:pic>
              </a:graphicData>
            </a:graphic>
          </wp:inline>
        </w:drawing>
      </w:r>
    </w:p>
    <w:p w14:paraId="35195DC9" w14:textId="77777777" w:rsidR="00594A38" w:rsidRDefault="00594A38" w:rsidP="00E92862">
      <w:pPr>
        <w:jc w:val="both"/>
      </w:pPr>
    </w:p>
    <w:p w14:paraId="289FE16C" w14:textId="1897BA3D" w:rsidR="00594A38" w:rsidRDefault="00594A38" w:rsidP="00E92862">
      <w:pPr>
        <w:jc w:val="both"/>
      </w:pPr>
      <w:r w:rsidRPr="00511926">
        <w:rPr>
          <w:rFonts w:cstheme="minorHAnsi"/>
          <w:b/>
          <w:bCs/>
          <w:noProof/>
          <w:color w:val="000000" w:themeColor="text1"/>
        </w:rPr>
        <w:drawing>
          <wp:inline distT="0" distB="0" distL="0" distR="0" wp14:anchorId="0FD06D03" wp14:editId="1A7B6E9B">
            <wp:extent cx="3397053" cy="3442447"/>
            <wp:effectExtent l="0" t="0" r="0" b="5715"/>
            <wp:docPr id="1512336245"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6245" name="Immagine 1" descr="Immagine che contiene testo, schermata, Carattere, design&#10;&#10;Descrizione generata automaticament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3428689" cy="3474506"/>
                    </a:xfrm>
                    <a:prstGeom prst="rect">
                      <a:avLst/>
                    </a:prstGeom>
                  </pic:spPr>
                </pic:pic>
              </a:graphicData>
            </a:graphic>
          </wp:inline>
        </w:drawing>
      </w:r>
    </w:p>
    <w:p w14:paraId="2523CC6C" w14:textId="77777777" w:rsidR="008634A5" w:rsidRDefault="008634A5" w:rsidP="00E92862">
      <w:pPr>
        <w:jc w:val="both"/>
      </w:pPr>
    </w:p>
    <w:p w14:paraId="0CBAB1D2" w14:textId="77777777" w:rsidR="008634A5" w:rsidRDefault="008634A5" w:rsidP="00E92862">
      <w:pPr>
        <w:jc w:val="both"/>
      </w:pPr>
    </w:p>
    <w:p w14:paraId="6D85EA18" w14:textId="77777777" w:rsidR="008634A5" w:rsidRDefault="008634A5" w:rsidP="00E92862">
      <w:pPr>
        <w:jc w:val="both"/>
      </w:pPr>
    </w:p>
    <w:p w14:paraId="4CE3C0E5" w14:textId="77777777" w:rsidR="00293B0F" w:rsidRDefault="00293B0F" w:rsidP="00E92862">
      <w:pPr>
        <w:jc w:val="both"/>
      </w:pPr>
    </w:p>
    <w:p w14:paraId="409288D3" w14:textId="77777777" w:rsidR="00293B0F" w:rsidRDefault="00293B0F" w:rsidP="00E92862">
      <w:pPr>
        <w:jc w:val="both"/>
      </w:pPr>
    </w:p>
    <w:p w14:paraId="53140CB1" w14:textId="77777777" w:rsidR="00293B0F" w:rsidRDefault="00293B0F" w:rsidP="00E92862">
      <w:pPr>
        <w:jc w:val="both"/>
      </w:pPr>
    </w:p>
    <w:p w14:paraId="555B47C3" w14:textId="7642BF00" w:rsidR="008634A5" w:rsidRPr="008634A5" w:rsidRDefault="008634A5" w:rsidP="00E92862">
      <w:pPr>
        <w:jc w:val="both"/>
        <w:rPr>
          <w:b/>
          <w:bCs/>
        </w:rPr>
      </w:pPr>
      <w:r w:rsidRPr="008634A5">
        <w:rPr>
          <w:b/>
          <w:bCs/>
        </w:rPr>
        <w:lastRenderedPageBreak/>
        <w:t>Allegato 4</w:t>
      </w:r>
    </w:p>
    <w:p w14:paraId="7F413352" w14:textId="035AD232" w:rsidR="008634A5" w:rsidRDefault="008634A5" w:rsidP="00E92862">
      <w:pPr>
        <w:jc w:val="both"/>
      </w:pPr>
      <w:r w:rsidRPr="00511926">
        <w:rPr>
          <w:rFonts w:cstheme="minorHAnsi"/>
          <w:noProof/>
          <w:color w:val="000000" w:themeColor="text1"/>
        </w:rPr>
        <w:drawing>
          <wp:inline distT="0" distB="0" distL="0" distR="0" wp14:anchorId="4E3E6FF3" wp14:editId="6C054446">
            <wp:extent cx="6110817" cy="2542475"/>
            <wp:effectExtent l="0" t="0" r="4445" b="0"/>
            <wp:docPr id="2" name="Immagine 2"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avolo&#10;&#10;Descrizione generata automaticamente"/>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266971" cy="2607445"/>
                    </a:xfrm>
                    <a:prstGeom prst="rect">
                      <a:avLst/>
                    </a:prstGeom>
                  </pic:spPr>
                </pic:pic>
              </a:graphicData>
            </a:graphic>
          </wp:inline>
        </w:drawing>
      </w:r>
    </w:p>
    <w:sectPr w:rsidR="008634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4D"/>
    <w:family w:val="auto"/>
    <w:pitch w:val="variable"/>
    <w:sig w:usb0="A00002F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A639D"/>
    <w:multiLevelType w:val="multilevel"/>
    <w:tmpl w:val="79E4C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9726EB"/>
    <w:multiLevelType w:val="multilevel"/>
    <w:tmpl w:val="79C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13384">
    <w:abstractNumId w:val="1"/>
  </w:num>
  <w:num w:numId="2" w16cid:durableId="9848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F1"/>
    <w:rsid w:val="00007AB3"/>
    <w:rsid w:val="00016935"/>
    <w:rsid w:val="00052D66"/>
    <w:rsid w:val="0006164E"/>
    <w:rsid w:val="000C71DD"/>
    <w:rsid w:val="000E4635"/>
    <w:rsid w:val="000F0DD3"/>
    <w:rsid w:val="00153DAE"/>
    <w:rsid w:val="00155373"/>
    <w:rsid w:val="00251EAB"/>
    <w:rsid w:val="00293B0F"/>
    <w:rsid w:val="0030319D"/>
    <w:rsid w:val="003074F9"/>
    <w:rsid w:val="0032008C"/>
    <w:rsid w:val="003A0A47"/>
    <w:rsid w:val="003A263B"/>
    <w:rsid w:val="003B0069"/>
    <w:rsid w:val="003C1DB4"/>
    <w:rsid w:val="003E761B"/>
    <w:rsid w:val="003F32AD"/>
    <w:rsid w:val="004762A1"/>
    <w:rsid w:val="0049069B"/>
    <w:rsid w:val="004D44B4"/>
    <w:rsid w:val="004E0D71"/>
    <w:rsid w:val="004E4890"/>
    <w:rsid w:val="004E6A2B"/>
    <w:rsid w:val="00507FFA"/>
    <w:rsid w:val="00543244"/>
    <w:rsid w:val="00594A38"/>
    <w:rsid w:val="005D6DDD"/>
    <w:rsid w:val="005E3F44"/>
    <w:rsid w:val="00627259"/>
    <w:rsid w:val="0063451F"/>
    <w:rsid w:val="00667E9A"/>
    <w:rsid w:val="006866BE"/>
    <w:rsid w:val="006C4919"/>
    <w:rsid w:val="00731391"/>
    <w:rsid w:val="00731496"/>
    <w:rsid w:val="0075676C"/>
    <w:rsid w:val="007C3FD2"/>
    <w:rsid w:val="007D400D"/>
    <w:rsid w:val="007E20A0"/>
    <w:rsid w:val="008328B4"/>
    <w:rsid w:val="008634A5"/>
    <w:rsid w:val="008A585B"/>
    <w:rsid w:val="008E7BFE"/>
    <w:rsid w:val="0091136F"/>
    <w:rsid w:val="0091358D"/>
    <w:rsid w:val="009771DB"/>
    <w:rsid w:val="00990A7A"/>
    <w:rsid w:val="009C142A"/>
    <w:rsid w:val="009E518B"/>
    <w:rsid w:val="00A54593"/>
    <w:rsid w:val="00A82DF4"/>
    <w:rsid w:val="00AA2AC1"/>
    <w:rsid w:val="00AB08DB"/>
    <w:rsid w:val="00B26E80"/>
    <w:rsid w:val="00B65A2E"/>
    <w:rsid w:val="00B9512A"/>
    <w:rsid w:val="00CC19CD"/>
    <w:rsid w:val="00CC2DDF"/>
    <w:rsid w:val="00CF51F1"/>
    <w:rsid w:val="00D610B7"/>
    <w:rsid w:val="00D729E9"/>
    <w:rsid w:val="00D77BFC"/>
    <w:rsid w:val="00D82954"/>
    <w:rsid w:val="00D9503C"/>
    <w:rsid w:val="00DD221C"/>
    <w:rsid w:val="00DD36E9"/>
    <w:rsid w:val="00DE06E0"/>
    <w:rsid w:val="00DF6F2C"/>
    <w:rsid w:val="00E57726"/>
    <w:rsid w:val="00E60CEC"/>
    <w:rsid w:val="00E9206C"/>
    <w:rsid w:val="00E92862"/>
    <w:rsid w:val="00F16277"/>
    <w:rsid w:val="00F42410"/>
    <w:rsid w:val="00F646BB"/>
    <w:rsid w:val="00F912A3"/>
    <w:rsid w:val="00F9216F"/>
    <w:rsid w:val="00FA2B63"/>
    <w:rsid w:val="00FA2C77"/>
    <w:rsid w:val="00FD44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4212"/>
  <w15:chartTrackingRefBased/>
  <w15:docId w15:val="{FADDF37C-6FE9-43C1-BBD6-352D12443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F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51F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51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51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51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51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51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51F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51F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51F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51F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51F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51F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51F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51F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51F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51F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51F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51F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51F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51F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51F1"/>
    <w:rPr>
      <w:i/>
      <w:iCs/>
      <w:color w:val="404040" w:themeColor="text1" w:themeTint="BF"/>
    </w:rPr>
  </w:style>
  <w:style w:type="paragraph" w:styleId="Paragrafoelenco">
    <w:name w:val="List Paragraph"/>
    <w:basedOn w:val="Normale"/>
    <w:uiPriority w:val="34"/>
    <w:qFormat/>
    <w:rsid w:val="00CF51F1"/>
    <w:pPr>
      <w:ind w:left="720"/>
      <w:contextualSpacing/>
    </w:pPr>
  </w:style>
  <w:style w:type="character" w:styleId="Enfasiintensa">
    <w:name w:val="Intense Emphasis"/>
    <w:basedOn w:val="Carpredefinitoparagrafo"/>
    <w:uiPriority w:val="21"/>
    <w:qFormat/>
    <w:rsid w:val="00CF51F1"/>
    <w:rPr>
      <w:i/>
      <w:iCs/>
      <w:color w:val="0F4761" w:themeColor="accent1" w:themeShade="BF"/>
    </w:rPr>
  </w:style>
  <w:style w:type="paragraph" w:styleId="Citazioneintensa">
    <w:name w:val="Intense Quote"/>
    <w:basedOn w:val="Normale"/>
    <w:next w:val="Normale"/>
    <w:link w:val="CitazioneintensaCarattere"/>
    <w:uiPriority w:val="30"/>
    <w:qFormat/>
    <w:rsid w:val="00CF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51F1"/>
    <w:rPr>
      <w:i/>
      <w:iCs/>
      <w:color w:val="0F4761" w:themeColor="accent1" w:themeShade="BF"/>
    </w:rPr>
  </w:style>
  <w:style w:type="character" w:styleId="Riferimentointenso">
    <w:name w:val="Intense Reference"/>
    <w:basedOn w:val="Carpredefinitoparagrafo"/>
    <w:uiPriority w:val="32"/>
    <w:qFormat/>
    <w:rsid w:val="00CF51F1"/>
    <w:rPr>
      <w:b/>
      <w:bCs/>
      <w:smallCaps/>
      <w:color w:val="0F4761" w:themeColor="accent1" w:themeShade="BF"/>
      <w:spacing w:val="5"/>
    </w:rPr>
  </w:style>
  <w:style w:type="paragraph" w:styleId="NormaleWeb">
    <w:name w:val="Normal (Web)"/>
    <w:basedOn w:val="Normale"/>
    <w:uiPriority w:val="99"/>
    <w:semiHidden/>
    <w:unhideWhenUsed/>
    <w:rsid w:val="00CF51F1"/>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CF51F1"/>
    <w:rPr>
      <w:b/>
      <w:bCs/>
    </w:rPr>
  </w:style>
  <w:style w:type="character" w:customStyle="1" w:styleId="text-token-text-secondary">
    <w:name w:val="text-token-text-secondary"/>
    <w:basedOn w:val="Carpredefinitoparagrafo"/>
    <w:rsid w:val="009C142A"/>
  </w:style>
  <w:style w:type="character" w:styleId="Collegamentoipertestuale">
    <w:name w:val="Hyperlink"/>
    <w:basedOn w:val="Carpredefinitoparagrafo"/>
    <w:uiPriority w:val="99"/>
    <w:unhideWhenUsed/>
    <w:rsid w:val="009C142A"/>
    <w:rPr>
      <w:color w:val="0000FF"/>
      <w:u w:val="single"/>
    </w:rPr>
  </w:style>
  <w:style w:type="character" w:styleId="Menzionenonrisolta">
    <w:name w:val="Unresolved Mention"/>
    <w:basedOn w:val="Carpredefinitoparagrafo"/>
    <w:uiPriority w:val="99"/>
    <w:semiHidden/>
    <w:unhideWhenUsed/>
    <w:rsid w:val="00251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79936">
      <w:bodyDiv w:val="1"/>
      <w:marLeft w:val="0"/>
      <w:marRight w:val="0"/>
      <w:marTop w:val="0"/>
      <w:marBottom w:val="0"/>
      <w:divBdr>
        <w:top w:val="none" w:sz="0" w:space="0" w:color="auto"/>
        <w:left w:val="none" w:sz="0" w:space="0" w:color="auto"/>
        <w:bottom w:val="none" w:sz="0" w:space="0" w:color="auto"/>
        <w:right w:val="none" w:sz="0" w:space="0" w:color="auto"/>
      </w:divBdr>
    </w:div>
    <w:div w:id="221261371">
      <w:bodyDiv w:val="1"/>
      <w:marLeft w:val="0"/>
      <w:marRight w:val="0"/>
      <w:marTop w:val="0"/>
      <w:marBottom w:val="0"/>
      <w:divBdr>
        <w:top w:val="none" w:sz="0" w:space="0" w:color="auto"/>
        <w:left w:val="none" w:sz="0" w:space="0" w:color="auto"/>
        <w:bottom w:val="none" w:sz="0" w:space="0" w:color="auto"/>
        <w:right w:val="none" w:sz="0" w:space="0" w:color="auto"/>
      </w:divBdr>
    </w:div>
    <w:div w:id="13539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7660">
          <w:marLeft w:val="0"/>
          <w:marRight w:val="0"/>
          <w:marTop w:val="0"/>
          <w:marBottom w:val="75"/>
          <w:divBdr>
            <w:top w:val="none" w:sz="0" w:space="0" w:color="auto"/>
            <w:left w:val="none" w:sz="0" w:space="0" w:color="auto"/>
            <w:bottom w:val="none" w:sz="0" w:space="0" w:color="auto"/>
            <w:right w:val="none" w:sz="0" w:space="0" w:color="auto"/>
          </w:divBdr>
        </w:div>
      </w:divsChild>
    </w:div>
    <w:div w:id="1370186452">
      <w:bodyDiv w:val="1"/>
      <w:marLeft w:val="0"/>
      <w:marRight w:val="0"/>
      <w:marTop w:val="0"/>
      <w:marBottom w:val="0"/>
      <w:divBdr>
        <w:top w:val="none" w:sz="0" w:space="0" w:color="auto"/>
        <w:left w:val="none" w:sz="0" w:space="0" w:color="auto"/>
        <w:bottom w:val="none" w:sz="0" w:space="0" w:color="auto"/>
        <w:right w:val="none" w:sz="0" w:space="0" w:color="auto"/>
      </w:divBdr>
      <w:divsChild>
        <w:div w:id="2108454665">
          <w:marLeft w:val="0"/>
          <w:marRight w:val="0"/>
          <w:marTop w:val="0"/>
          <w:marBottom w:val="75"/>
          <w:divBdr>
            <w:top w:val="none" w:sz="0" w:space="0" w:color="auto"/>
            <w:left w:val="none" w:sz="0" w:space="0" w:color="auto"/>
            <w:bottom w:val="none" w:sz="0" w:space="0" w:color="auto"/>
            <w:right w:val="none" w:sz="0" w:space="0" w:color="auto"/>
          </w:divBdr>
        </w:div>
      </w:divsChild>
    </w:div>
    <w:div w:id="163879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asons.com/how-do-older-people-spend-their-time/2491912/" TargetMode="External"/><Relationship Id="rId12" Type="http://schemas.openxmlformats.org/officeDocument/2006/relationships/image" Target="media/image3.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healthyagingpoll.org/reports-more/report/trends-loneliness-among-older-adults-2018-2023" TargetMode="External"/><Relationship Id="rId11" Type="http://schemas.microsoft.com/office/2007/relationships/hdphoto" Target="media/hdphoto2.wdp"/><Relationship Id="rId5" Type="http://schemas.openxmlformats.org/officeDocument/2006/relationships/hyperlink" Target="https://ec.europa.eu/eurostat/statistics-explained/index.php/Ageing_Europe_-_statistics_on_social_life_and_opinions" TargetMode="External"/><Relationship Id="rId15" Type="http://schemas.microsoft.com/office/2007/relationships/hdphoto" Target="media/hdphoto4.wdp"/><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1075</Words>
  <Characters>6129</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5</cp:revision>
  <dcterms:created xsi:type="dcterms:W3CDTF">2024-06-18T09:54:00Z</dcterms:created>
  <dcterms:modified xsi:type="dcterms:W3CDTF">2024-06-18T10:07:00Z</dcterms:modified>
</cp:coreProperties>
</file>