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Demographics Summary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6"/>
        <w:gridCol w:w="2563"/>
        <w:gridCol w:w="2098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Non.Rarefied..n...331.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Rarefied..n...226.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(mean ± 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53.62 ± 19.76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51.38 ± 19.85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Group: 0–2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Group: 18–25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Group: 25–40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Group: 40–65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Group: 65–85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Group: 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Sex: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Location: Irkutsk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Moscow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Nizhny Novgorod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Kazan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Season: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Heart Failure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Cirrhosis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Cirrhosis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Artery Disease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IBD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Before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Before (No)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 (No)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2025-04-11T10:45:55Z</dcterms:modified>
  <cp:category/>
</cp:coreProperties>
</file>