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1"/>
        <w:tblW w:w="8430" w:type="dxa"/>
        <w:tblLayout w:type="fixed"/>
        <w:tblLook w:val="04A0" w:firstRow="1" w:lastRow="0" w:firstColumn="1" w:lastColumn="0" w:noHBand="0" w:noVBand="1"/>
      </w:tblPr>
      <w:tblGrid>
        <w:gridCol w:w="944"/>
        <w:gridCol w:w="1131"/>
        <w:gridCol w:w="1421"/>
        <w:gridCol w:w="1449"/>
        <w:gridCol w:w="1429"/>
        <w:gridCol w:w="2056"/>
      </w:tblGrid>
      <w:tr w:rsidR="00635F8A" w:rsidTr="00AA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635F8A" w:rsidRDefault="001E2313">
            <w:pPr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Í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jaj</w:t>
            </w:r>
            <w:proofErr w:type="spellEnd"/>
            <w:r w:rsidR="00C81DBD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1" w:type="dxa"/>
          </w:tcPr>
          <w:p w:rsidR="00635F8A" w:rsidRDefault="0063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299" w:type="dxa"/>
            <w:gridSpan w:val="3"/>
          </w:tcPr>
          <w:p w:rsidR="00635F8A" w:rsidRDefault="00C81DBD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056" w:type="dxa"/>
          </w:tcPr>
          <w:p w:rsidR="00635F8A" w:rsidRDefault="00635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635F8A" w:rsidTr="00AA7D0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635F8A" w:rsidRDefault="00C81DBD">
            <w:pPr>
              <w:ind w:left="46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635F8A" w:rsidRDefault="00C81DBD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635F8A" w:rsidRDefault="00C81DBD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635F8A" w:rsidRDefault="00C81DBD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:rsidR="00635F8A" w:rsidRDefault="00C81DBD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056" w:type="dxa"/>
            <w:shd w:val="clear" w:color="auto" w:fill="D9E2F3" w:themeFill="accent1" w:themeFillTint="33"/>
          </w:tcPr>
          <w:p w:rsidR="00635F8A" w:rsidRDefault="00C81DBD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635F8A" w:rsidTr="00AA7D01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635F8A" w:rsidRDefault="00C81DBD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1.0 </w:t>
            </w:r>
          </w:p>
        </w:tc>
        <w:tc>
          <w:tcPr>
            <w:tcW w:w="1131" w:type="dxa"/>
          </w:tcPr>
          <w:p w:rsidR="00635F8A" w:rsidRDefault="00AA7D01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Estrada</w:t>
            </w:r>
          </w:p>
        </w:tc>
        <w:tc>
          <w:tcPr>
            <w:tcW w:w="1421" w:type="dxa"/>
          </w:tcPr>
          <w:p w:rsidR="00635F8A" w:rsidRDefault="00AA7D01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Salvador Toral</w:t>
            </w:r>
          </w:p>
        </w:tc>
        <w:tc>
          <w:tcPr>
            <w:tcW w:w="1449" w:type="dxa"/>
          </w:tcPr>
          <w:p w:rsidR="00635F8A" w:rsidRDefault="00AA7D01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Bismark</w:t>
            </w:r>
          </w:p>
        </w:tc>
        <w:tc>
          <w:tcPr>
            <w:tcW w:w="1429" w:type="dxa"/>
          </w:tcPr>
          <w:p w:rsidR="00635F8A" w:rsidRDefault="00AA7D01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>30/07/2019</w:t>
            </w:r>
            <w:r w:rsidR="00C81DBD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056" w:type="dxa"/>
          </w:tcPr>
          <w:p w:rsidR="00635F8A" w:rsidRDefault="00C8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Registro de adquisiciones</w:t>
            </w:r>
          </w:p>
        </w:tc>
      </w:tr>
      <w:tr w:rsidR="00635F8A" w:rsidTr="00AA7D0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635F8A" w:rsidRDefault="00C81DBD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635F8A" w:rsidRDefault="00C81DBD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635F8A" w:rsidRDefault="00C81DBD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635F8A" w:rsidRDefault="00C81DBD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:rsidR="00635F8A" w:rsidRDefault="00C81DBD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056" w:type="dxa"/>
            <w:shd w:val="clear" w:color="auto" w:fill="D9E2F3" w:themeFill="accent1" w:themeFillTint="33"/>
          </w:tcPr>
          <w:p w:rsidR="00635F8A" w:rsidRDefault="00C81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635F8A" w:rsidRDefault="00C81DBD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1000126</wp:posOffset>
                </wp:positionH>
                <wp:positionV relativeFrom="page">
                  <wp:posOffset>819150</wp:posOffset>
                </wp:positionV>
                <wp:extent cx="5918834" cy="449456"/>
                <wp:effectExtent l="0" t="0" r="0" b="825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4" cy="449456"/>
                          <a:chOff x="1" y="361673"/>
                          <a:chExt cx="5918974" cy="449482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635F8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F8A" w:rsidRDefault="00C81DBD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1" y="801870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6813" y="802011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11" o:spid="_x0000_s1026" style="position:absolute;left:0;text-align:left;margin-left:78.75pt;margin-top:64.5pt;width:466.05pt;height:35.4pt;z-index:251659264;mso-position-horizontal-relative:page;mso-position-vertical-relative:page;mso-height-relative:margin" coordorigin=",3616" coordsize="59189,4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">
                <v:rect id="Rectangle 573" o:spid="_x0000_s1027" style="position:absolute;left:26182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28" style="position:absolute;left:27553;top:3616;width:4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29" style="position:absolute;left:55443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30" style="position:absolute;left:777;top:4805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1" style="position:absolute;left:55443;top:4491;width:41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2" style="position:absolute;left:44074;top:5557;width:1511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635F8A" w:rsidRDefault="00635F8A"/>
                    </w:txbxContent>
                  </v:textbox>
                </v:rect>
                <v:rect id="Rectangle 581" o:spid="_x0000_s1033" style="position:absolute;left:55443;top:5886;width:339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635F8A" w:rsidRDefault="00C81DBD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34" style="position:absolute;top:8018;width:26868;height:92;visibility:visible;mso-wrap-style:square;v-text-anchor:top" coordsize="2686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" path="m,l2686812,r,9144l,9144,,e" fillcolor="black" stroked="f" strokeweight="0">
                  <v:stroke miterlimit="83231f" joinstyle="miter"/>
                  <v:path arrowok="t" textboxrect="0,0,2686812,9144"/>
                </v:shape>
                <v:shape id="Shape 5863" o:spid="_x0000_s1035" style="position:absolute;left:26776;top:67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fR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wXjYh/838QnI2QMAAP//AwBQSwECLQAUAAYACAAAACEA2+H2y+4AAACFAQAAEwAAAAAAAAAA&#10;AAAAAAAAAAAAW0NvbnRlbnRfVHlwZXNdLnhtbFBLAQItABQABgAIAAAAIQBa9CxbvwAAABUBAAAL&#10;AAAAAAAAAAAAAAAAAB8BAABfcmVscy8ucmVsc1BLAQItABQABgAIAAAAIQC5opf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64" o:spid="_x0000_s1036" style="position:absolute;left:26868;top:8020;width:29291;height:91;visibility:visible;mso-wrap-style:square;v-text-anchor:top" coordsize="2929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" path="m,l2929128,r,9144l,9144,,e" fillcolor="black" stroked="f" strokeweight="0">
                  <v:stroke miterlimit="83231f" joinstyle="miter"/>
                  <v:path arrowok="t" textboxrect="0,0,292912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635F8A" w:rsidRDefault="00C81DBD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635F8A" w:rsidRDefault="00C81DBD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con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4927"/>
        <w:gridCol w:w="3519"/>
      </w:tblGrid>
      <w:tr w:rsidR="00635F8A" w:rsidTr="0063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3519" w:type="dxa"/>
          </w:tcPr>
          <w:p w:rsidR="00635F8A" w:rsidRDefault="00C81DBD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635F8A" w:rsidTr="00635F8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D9E2F3" w:themeFill="accent1" w:themeFillTint="33"/>
          </w:tcPr>
          <w:p w:rsidR="00635F8A" w:rsidRDefault="00C81DBD">
            <w:pPr>
              <w:ind w:left="11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C27312">
              <w:rPr>
                <w:rFonts w:ascii="Verdana" w:eastAsia="Verdana" w:hAnsi="Verdana" w:cs="Verdana"/>
                <w:sz w:val="20"/>
              </w:rPr>
              <w:t>“Hotel Alameda”</w:t>
            </w:r>
          </w:p>
        </w:tc>
        <w:tc>
          <w:tcPr>
            <w:tcW w:w="3519" w:type="dxa"/>
            <w:shd w:val="clear" w:color="auto" w:fill="D9E2F3" w:themeFill="accent1" w:themeFillTint="33"/>
          </w:tcPr>
          <w:p w:rsidR="00635F8A" w:rsidRDefault="00C27312">
            <w:pPr>
              <w:ind w:left="1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</w:t>
            </w:r>
          </w:p>
        </w:tc>
      </w:tr>
    </w:tbl>
    <w:p w:rsidR="00635F8A" w:rsidRDefault="00C81DBD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concuadrcula4-nfasis1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635F8A" w:rsidTr="0063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ADQUISICIONES DEL PROYECTO: ESPECIFICAR LA MATRIZ DE ADQUISICIÓN DEL PROYECTO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0C2A80">
            <w:pPr>
              <w:rPr>
                <w:b w:val="0"/>
                <w:bCs w:val="0"/>
              </w:rPr>
            </w:pPr>
            <w:r>
              <w:t xml:space="preserve">Laptops (3)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 xml:space="preserve">Ratones inalámbricos </w:t>
            </w:r>
            <w:r w:rsidR="000C2A80">
              <w:t>(3)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Memorias USB</w:t>
            </w:r>
            <w:r w:rsidR="000C2A80">
              <w:t xml:space="preserve"> (5)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Equipo de impresión</w:t>
            </w:r>
            <w:r w:rsidR="000C2A80">
              <w:t xml:space="preserve"> (1)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Material de papelería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Servicios de internet</w:t>
            </w:r>
          </w:p>
        </w:tc>
      </w:tr>
      <w:tr w:rsidR="00167737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67737" w:rsidRDefault="00167737">
            <w:r>
              <w:t>transporte</w:t>
            </w:r>
          </w:p>
        </w:tc>
      </w:tr>
      <w:tr w:rsidR="00167737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67737" w:rsidRDefault="00167737">
            <w:r>
              <w:t>viáticos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auto"/>
              </w:rPr>
              <w:t>PROCE</w:t>
            </w:r>
            <w:r>
              <w:rPr>
                <w:color w:val="auto"/>
                <w:lang w:val="es"/>
              </w:rPr>
              <w:t>D</w:t>
            </w:r>
            <w:r>
              <w:rPr>
                <w:color w:val="auto"/>
              </w:rPr>
              <w:t xml:space="preserve">IMIENTOS </w:t>
            </w:r>
            <w:r w:rsidR="00AA7D01">
              <w:rPr>
                <w:color w:val="auto"/>
              </w:rPr>
              <w:t>EST</w:t>
            </w:r>
            <w:r w:rsidR="00AA7D01">
              <w:rPr>
                <w:color w:val="auto"/>
                <w:lang w:val="es"/>
              </w:rPr>
              <w:t>Á</w:t>
            </w:r>
            <w:r w:rsidR="00AA7D01">
              <w:rPr>
                <w:color w:val="auto"/>
              </w:rPr>
              <w:t>NDAR A</w:t>
            </w:r>
            <w:r>
              <w:rPr>
                <w:color w:val="auto"/>
                <w:lang w:val="es"/>
              </w:rPr>
              <w:t xml:space="preserve"> </w:t>
            </w:r>
            <w:r>
              <w:rPr>
                <w:color w:val="auto"/>
              </w:rPr>
              <w:t>SEGUIR: PROCEDIMIENTOS DE ADQUISICIÓN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Propuesta de proveedores</w:t>
            </w:r>
            <w:r w:rsidR="00F60A3E">
              <w:t xml:space="preserve">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Valoración de propuestas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 xml:space="preserve">Selección del mejor proveedor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Solicitar el servicio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Adquisición del servicio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 xml:space="preserve">Pago por el servicio </w:t>
            </w:r>
            <w:r w:rsidR="00F60A3E">
              <w:t>(Efectivo)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FORMATOS ESTÁNDAR A UTILIZAR: FORMATOS DE ADQUISICIÓN QUE SE DEBEN SEGUIR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Análisis de proveedores</w:t>
            </w:r>
            <w:r w:rsidR="00E63DF7">
              <w:rPr>
                <w:color w:val="auto"/>
              </w:rPr>
              <w:t xml:space="preserve"> (Buscar a los mejores proveedores)</w:t>
            </w:r>
          </w:p>
          <w:p w:rsidR="00C01F97" w:rsidRPr="00C2788E" w:rsidRDefault="00C01F97" w:rsidP="00C01F97">
            <w:pPr>
              <w:pStyle w:val="Textoindependiente"/>
              <w:ind w:left="57" w:right="57"/>
              <w:jc w:val="both"/>
              <w:rPr>
                <w:rFonts w:ascii="Arial" w:hAnsi="Arial" w:cs="Arial"/>
                <w:b w:val="0"/>
                <w:lang w:val="es-ES"/>
              </w:rPr>
            </w:pPr>
            <w:r w:rsidRPr="00C2788E">
              <w:rPr>
                <w:rFonts w:ascii="Arial" w:hAnsi="Arial" w:cs="Arial"/>
                <w:b w:val="0"/>
                <w:lang w:val="es-ES"/>
              </w:rPr>
              <w:t>La Empresa cu</w:t>
            </w:r>
            <w:r w:rsidRPr="00C2788E">
              <w:rPr>
                <w:rFonts w:ascii="Arial" w:hAnsi="Arial" w:cs="Arial"/>
                <w:b w:val="0"/>
                <w:lang w:val="es-ES"/>
              </w:rPr>
              <w:t>e</w:t>
            </w:r>
            <w:r w:rsidRPr="00C2788E">
              <w:rPr>
                <w:rFonts w:ascii="Arial" w:hAnsi="Arial" w:cs="Arial"/>
                <w:b w:val="0"/>
                <w:lang w:val="es-ES"/>
              </w:rPr>
              <w:t>nta con estándares de contratos definidos por el área Legal para adquisiciones a través de procesos de licitación, los cuales posteriormente personalizado de acuerdo a los requerimientos del servicio, el periodo en el que se realizara, el lugar geográfico y el monto a pagar.</w:t>
            </w:r>
          </w:p>
          <w:p w:rsidR="00C01F97" w:rsidRDefault="00C01F97" w:rsidP="00C01F97">
            <w:pPr>
              <w:rPr>
                <w:b w:val="0"/>
                <w:bCs w:val="0"/>
                <w:color w:val="auto"/>
              </w:rPr>
            </w:pPr>
            <w:r w:rsidRPr="00C278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Se emitirán tres copias del contrato (una para La Empresa, una para el proveedor y una última para el área legal), las cuales serán revisadas por las partes y de presentarse alguna observación se </w:t>
            </w:r>
            <w:r w:rsidRPr="00C278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realizará</w:t>
            </w:r>
            <w:r w:rsidRPr="00C278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 xml:space="preserve"> la revisión y modifi</w:t>
            </w:r>
            <w:bookmarkStart w:id="0" w:name="_GoBack"/>
            <w:bookmarkEnd w:id="0"/>
            <w:r w:rsidRPr="00C278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cación en caso de aprobación del área legal y se procederá a la firma del mismo.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COORDINACIÓN CON OTROS ASPECTOS DE LA GESTIÓN DEL PROYECTO: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Planificación del proyecto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Cambios en los requerimientos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Actualización de diseño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COORDINACIÓN CON LA GESTION DE PROYECTOS DE LOS PROVEEDORES: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Análisis de proveedores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Planificación del proyecto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Requerimientos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RESTRICCIONES Y SUPUESTOS: QUE PUEDAN AFECTAR LAS ADQUICISIONES PLANIFICADAS Y POR LO TANTO EL LOGRO DE LOS OBJETIVOS DEL PROYECTO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Cancelación por parte de alguno de los proveedores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lastRenderedPageBreak/>
              <w:t>Cierre de empresa que preste algún servicio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Cambio del tipo de adquisición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Cambios en la planificación del proyecto 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>Bajo costo en el proyecto</w:t>
            </w:r>
          </w:p>
        </w:tc>
      </w:tr>
      <w:tr w:rsidR="00635F8A" w:rsidTr="0063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  <w:color w:val="auto"/>
              </w:rPr>
            </w:pPr>
            <w:r>
              <w:rPr>
                <w:color w:val="auto"/>
              </w:rPr>
              <w:t xml:space="preserve">Falta de recursos </w:t>
            </w:r>
          </w:p>
        </w:tc>
      </w:tr>
    </w:tbl>
    <w:p w:rsidR="00635F8A" w:rsidRDefault="00C81DBD">
      <w:pPr>
        <w:spacing w:after="0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635F8A" w:rsidRDefault="00635F8A">
      <w:pPr>
        <w:spacing w:after="0"/>
      </w:pPr>
    </w:p>
    <w:tbl>
      <w:tblPr>
        <w:tblStyle w:val="Tablacon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8446"/>
      </w:tblGrid>
      <w:tr w:rsidR="00635F8A" w:rsidTr="00635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jc w:val="both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IESGOS Y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ESPUESTAS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P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35F8A" w:rsidTr="00635F8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Cambio de proveedor</w:t>
            </w:r>
          </w:p>
        </w:tc>
      </w:tr>
      <w:tr w:rsidR="00635F8A" w:rsidTr="00635F8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Cierre de la empresa proveedora</w:t>
            </w:r>
          </w:p>
        </w:tc>
      </w:tr>
      <w:tr w:rsidR="00635F8A" w:rsidTr="00635F8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Falla continua del servicio</w:t>
            </w:r>
          </w:p>
        </w:tc>
      </w:tr>
      <w:tr w:rsidR="00635F8A" w:rsidTr="00635F8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Incremento de costo de servicios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Cs w:val="0"/>
              </w:rPr>
            </w:pPr>
            <w:r>
              <w:rPr>
                <w:rFonts w:ascii="Verdana" w:eastAsia="Verdana" w:hAnsi="Verdana" w:cs="Verdana"/>
                <w:b w:val="0"/>
                <w:sz w:val="18"/>
              </w:rPr>
              <w:t>Cancelación de la adquisición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Desplazamiento del establecimiento </w:t>
            </w:r>
          </w:p>
        </w:tc>
      </w:tr>
      <w:tr w:rsidR="00635F8A" w:rsidTr="00635F8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2F5496" w:themeFill="accent1" w:themeFillShade="BF"/>
          </w:tcPr>
          <w:p w:rsidR="00635F8A" w:rsidRDefault="00C81DBD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ÉTRICAS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35F8A" w:rsidTr="00635F8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Precios</w:t>
            </w:r>
            <w:r w:rsidR="002C406A">
              <w:t xml:space="preserve"> </w:t>
            </w:r>
            <w:r w:rsidR="00F60A3E">
              <w:t>(El que mejor se adecue al proyecto).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 xml:space="preserve">Ubicación </w:t>
            </w:r>
            <w:r w:rsidR="00E63DF7">
              <w:t>(Maravatío, Michoacán)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Ofertas</w:t>
            </w:r>
            <w:r w:rsidR="00F60A3E">
              <w:t xml:space="preserve"> 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Planes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Marcas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Posición en el mercado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Facilidades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635F8A" w:rsidRDefault="00C81DBD">
            <w:pPr>
              <w:rPr>
                <w:b w:val="0"/>
                <w:bCs w:val="0"/>
              </w:rPr>
            </w:pPr>
            <w:r>
              <w:t>Reputación</w:t>
            </w:r>
          </w:p>
        </w:tc>
      </w:tr>
      <w:tr w:rsidR="00635F8A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635F8A" w:rsidRDefault="00C81DBD">
            <w:pPr>
              <w:rPr>
                <w:b w:val="0"/>
                <w:bCs w:val="0"/>
              </w:rPr>
            </w:pPr>
            <w:r>
              <w:t>Popularidad</w:t>
            </w:r>
          </w:p>
        </w:tc>
      </w:tr>
      <w:tr w:rsidR="001E2313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1E2313" w:rsidRDefault="001E2313">
            <w:r>
              <w:t xml:space="preserve">Entrega </w:t>
            </w:r>
          </w:p>
        </w:tc>
      </w:tr>
      <w:tr w:rsidR="001E2313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1E2313" w:rsidRDefault="001E2313">
            <w:r>
              <w:t>Calidad</w:t>
            </w:r>
          </w:p>
        </w:tc>
      </w:tr>
      <w:tr w:rsidR="001E2313" w:rsidTr="00635F8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1E2313" w:rsidRDefault="001E2313">
            <w:r>
              <w:t>Nivel de compromiso</w:t>
            </w:r>
          </w:p>
        </w:tc>
      </w:tr>
    </w:tbl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Pr="007458D2" w:rsidRDefault="00EA264E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hyperlink r:id="rId8" w:history="1">
        <w:r w:rsidR="007458D2" w:rsidRPr="007458D2">
          <w:rPr>
            <w:rStyle w:val="Hipervnculo"/>
            <w:rFonts w:ascii="Times New Roman" w:eastAsia="Times New Roman" w:hAnsi="Times New Roman" w:cs="Times New Roman"/>
            <w:sz w:val="24"/>
            <w:szCs w:val="28"/>
          </w:rPr>
          <w:t>https://www.gob.mx/pronosticos/documentos/lineamientos-inai-en-materia-de-transparencia-acceso-a-la-informacion-y-proteccion-de-datos-personales</w:t>
        </w:r>
      </w:hyperlink>
      <w:r w:rsidR="007458D2" w:rsidRPr="007458D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F55565" w:rsidRDefault="00F55565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35F8A" w:rsidRDefault="00C81DB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766C" w:rsidRPr="0025766C" w:rsidRDefault="0025766C" w:rsidP="00257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5766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Lineamientos emitidos por el Pleno del Instituto Nacional de Transparencia, Acceso a la Información y Protección de Datos Personales (INAI) que son obligatorios para todos los sujetos obligados del ámbito federal. En el caso de los referentes a datos personales, únicamente son obligatorios para los sujetos obligados de la Administración Pública Federal. </w:t>
      </w:r>
    </w:p>
    <w:p w:rsidR="0025766C" w:rsidRPr="0025766C" w:rsidRDefault="0025766C" w:rsidP="0025766C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25766C">
        <w:rPr>
          <w:rFonts w:ascii="Arial" w:eastAsia="Times New Roman" w:hAnsi="Arial" w:cs="Arial"/>
          <w:color w:val="auto"/>
          <w:sz w:val="24"/>
          <w:szCs w:val="24"/>
        </w:rPr>
        <w:t>Autor</w:t>
      </w:r>
    </w:p>
    <w:p w:rsidR="0025766C" w:rsidRPr="0025766C" w:rsidRDefault="0025766C" w:rsidP="0025766C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4"/>
          <w:szCs w:val="24"/>
        </w:rPr>
      </w:pPr>
      <w:r w:rsidRPr="0025766C">
        <w:rPr>
          <w:rFonts w:ascii="Arial" w:eastAsia="Times New Roman" w:hAnsi="Arial" w:cs="Arial"/>
          <w:color w:val="auto"/>
          <w:sz w:val="24"/>
          <w:szCs w:val="24"/>
        </w:rPr>
        <w:t xml:space="preserve">Pronósticos para la Asistencia Pública </w:t>
      </w:r>
    </w:p>
    <w:p w:rsidR="0025766C" w:rsidRPr="0025766C" w:rsidRDefault="0025766C" w:rsidP="0025766C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25766C">
        <w:rPr>
          <w:rFonts w:ascii="Arial" w:eastAsia="Times New Roman" w:hAnsi="Arial" w:cs="Arial"/>
          <w:color w:val="auto"/>
          <w:sz w:val="24"/>
          <w:szCs w:val="24"/>
        </w:rPr>
        <w:t>Fecha de publicación</w:t>
      </w:r>
    </w:p>
    <w:p w:rsidR="0025766C" w:rsidRPr="0025766C" w:rsidRDefault="0025766C" w:rsidP="0025766C">
      <w:pPr>
        <w:spacing w:after="0" w:line="240" w:lineRule="auto"/>
        <w:ind w:left="720"/>
        <w:rPr>
          <w:rFonts w:ascii="Arial" w:eastAsia="Times New Roman" w:hAnsi="Arial" w:cs="Arial"/>
          <w:color w:val="auto"/>
          <w:sz w:val="24"/>
          <w:szCs w:val="24"/>
        </w:rPr>
      </w:pPr>
      <w:r w:rsidRPr="0025766C">
        <w:rPr>
          <w:rFonts w:ascii="Arial" w:eastAsia="Times New Roman" w:hAnsi="Arial" w:cs="Arial"/>
          <w:color w:val="auto"/>
          <w:sz w:val="24"/>
          <w:szCs w:val="24"/>
        </w:rPr>
        <w:t>10 de junio de 2016</w:t>
      </w:r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9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Lineamientos de Protección de Datos Personales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0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Lineamientos que deberán observar las dependencias y entidades de la Administración Pública Federal, en la Recepción, Procedimientos, Trámite, Resolución y Notificación de la</w:t>
        </w:r>
        <w:r w:rsidR="00F55565" w:rsidRPr="00F55565">
          <w:rPr>
            <w:rFonts w:ascii="Arial" w:eastAsia="Times New Roman" w:hAnsi="Arial" w:cs="Arial"/>
            <w:color w:val="auto"/>
            <w:sz w:val="24"/>
            <w:szCs w:val="24"/>
          </w:rPr>
          <w:t>s</w:t>
        </w:r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 xml:space="preserve"> solicitudes de corrección de Datos Personales que formulen los particulares.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1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LINEAMIENTOS que deberán observar las dependencias y entidades de la Administración Pública Federal en la recepción, procesamiento, trámite, resolución y notificación de las solicitudes de acceso a datos personales que formulen los particulares, con exclusión de las solicitudes de corrección de dichos datos.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2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 xml:space="preserve">MODIFICACIONES a los Lineamientos que deberán observar las dependencias y entidades de la Administración Pública Federal en la recepción, procesamiento y trámite de las solicitudes de acceso a la información gubernamental que formulen los particulares, así como en su resolución y notificación, y la entrega de la información en su caso, con </w:t>
        </w:r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lastRenderedPageBreak/>
          <w:t>exclusión de las solicitudes de acceso a datos personales y su corrección; Lineamientos que deberán observar las dependencias y entidades de la Administración Pública Federal en la recepción, procesamiento, trámite, resolución y notificación de las solicitudes de acceso a datos personales que formulen los particulares, con exclusión de las solicitudes de corrección de dichos datos, y Lineamientos que deberán observar las dependencias y entidades de la Administración Pública Federal, en la recepción, procesamiento, trámite, resolución y notificación de las solicitudes de corrección de datos personales que formulen los particulares.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3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ACUERDO mediante el cual se aprueban los Lineamientos generales para que el Instituto Nacional de Transparencia, Acceso a la Información y Protección de Datos Personales ejerza la facultad de atracción, así como los procedimientos internos para la tramitación de la misma.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4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ACUERDO mediante el cual se aprueban los Lineamientos para recabar la información de los sujetos obligados que permitan elaborar los informes anuales.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5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ACUERDO mediante el cual se aprueban los Lineamientos que los sujetos obligados deben seguir al momento de generar información, en un lenguaje sencillo, con accesibilidad y traducción a lenguas indígenas.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6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ACUERDO mediante el cual se aprueban los Lineamientos para la emisión de criterios de interpretación del Instituto Nacional de Transparencia, Acceso a la Información y Protección de Datos Personales.</w:t>
        </w:r>
      </w:hyperlink>
    </w:p>
    <w:p w:rsidR="0025766C" w:rsidRPr="0025766C" w:rsidRDefault="00EA264E" w:rsidP="00F5556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auto"/>
          <w:sz w:val="24"/>
          <w:szCs w:val="24"/>
        </w:rPr>
      </w:pPr>
      <w:hyperlink r:id="rId17" w:history="1">
        <w:r w:rsidR="0025766C" w:rsidRPr="0025766C">
          <w:rPr>
            <w:rFonts w:ascii="Arial" w:eastAsia="Times New Roman" w:hAnsi="Arial" w:cs="Arial"/>
            <w:color w:val="auto"/>
            <w:sz w:val="24"/>
            <w:szCs w:val="24"/>
          </w:rPr>
          <w:t>ACUERDO mediante el cual se aprueban los Lineamientos que establecen los procedimientos internos de atención a solicitudes de acceso a la información pública.</w:t>
        </w:r>
      </w:hyperlink>
    </w:p>
    <w:p w:rsidR="00635F8A" w:rsidRDefault="00635F8A">
      <w:pPr>
        <w:spacing w:after="9777"/>
      </w:pPr>
    </w:p>
    <w:sectPr w:rsidR="00635F8A">
      <w:headerReference w:type="default" r:id="rId18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64E" w:rsidRDefault="00EA264E">
      <w:pPr>
        <w:spacing w:after="0" w:line="240" w:lineRule="auto"/>
      </w:pPr>
      <w:r>
        <w:separator/>
      </w:r>
    </w:p>
  </w:endnote>
  <w:endnote w:type="continuationSeparator" w:id="0">
    <w:p w:rsidR="00EA264E" w:rsidRDefault="00EA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64E" w:rsidRDefault="00EA264E">
      <w:pPr>
        <w:spacing w:after="0" w:line="240" w:lineRule="auto"/>
      </w:pPr>
      <w:r>
        <w:separator/>
      </w:r>
    </w:p>
  </w:footnote>
  <w:footnote w:type="continuationSeparator" w:id="0">
    <w:p w:rsidR="00EA264E" w:rsidRDefault="00EA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F8A" w:rsidRDefault="00AA7D01" w:rsidP="00AA7D01">
    <w:pPr>
      <w:pStyle w:val="Encabezado"/>
      <w:jc w:val="center"/>
    </w:pPr>
    <w:r>
      <w:rPr>
        <w:rFonts w:ascii="Verdana" w:eastAsia="Verdana" w:hAnsi="Verdana" w:cs="Verdana"/>
        <w:noProof/>
        <w:color w:val="FFFFFF"/>
        <w:sz w:val="20"/>
      </w:rPr>
      <w:drawing>
        <wp:inline distT="0" distB="0" distL="0" distR="0" wp14:anchorId="0E697045" wp14:editId="7E04BC1D">
          <wp:extent cx="981075" cy="952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36" cy="959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1DBD">
      <w:rPr>
        <w:rFonts w:ascii="Arial" w:hAnsi="Arial" w:cs="Arial"/>
        <w:i/>
        <w:sz w:val="18"/>
        <w:lang w:val="es"/>
      </w:rPr>
      <w:t xml:space="preserve">                                                                                                   </w:t>
    </w:r>
    <w:r w:rsidR="00C81DBD">
      <w:rPr>
        <w:rFonts w:ascii="Arial" w:hAnsi="Arial" w:cs="Arial"/>
        <w:i/>
        <w:sz w:val="18"/>
      </w:rPr>
      <w:t>Plan de Licitaciones v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13F0"/>
    <w:multiLevelType w:val="multilevel"/>
    <w:tmpl w:val="01EC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886"/>
    <w:rsid w:val="CDFB8B3C"/>
    <w:rsid w:val="DFF69901"/>
    <w:rsid w:val="FCE328CD"/>
    <w:rsid w:val="FFFA2CC2"/>
    <w:rsid w:val="000507E7"/>
    <w:rsid w:val="000C2A80"/>
    <w:rsid w:val="000D6D53"/>
    <w:rsid w:val="00167737"/>
    <w:rsid w:val="001E2313"/>
    <w:rsid w:val="0025766C"/>
    <w:rsid w:val="002C406A"/>
    <w:rsid w:val="00343C72"/>
    <w:rsid w:val="004045C4"/>
    <w:rsid w:val="00437FD5"/>
    <w:rsid w:val="00450886"/>
    <w:rsid w:val="005D29A0"/>
    <w:rsid w:val="00603697"/>
    <w:rsid w:val="0063484D"/>
    <w:rsid w:val="00635F8A"/>
    <w:rsid w:val="006418BB"/>
    <w:rsid w:val="00672624"/>
    <w:rsid w:val="0073453F"/>
    <w:rsid w:val="007374AE"/>
    <w:rsid w:val="007458D2"/>
    <w:rsid w:val="00766BB7"/>
    <w:rsid w:val="00927DA9"/>
    <w:rsid w:val="00A73C1E"/>
    <w:rsid w:val="00AA7D01"/>
    <w:rsid w:val="00B13F1C"/>
    <w:rsid w:val="00B4248F"/>
    <w:rsid w:val="00BB7434"/>
    <w:rsid w:val="00C01F97"/>
    <w:rsid w:val="00C21919"/>
    <w:rsid w:val="00C27312"/>
    <w:rsid w:val="00C2788E"/>
    <w:rsid w:val="00C77C99"/>
    <w:rsid w:val="00C81DBD"/>
    <w:rsid w:val="00CC1445"/>
    <w:rsid w:val="00CC54D0"/>
    <w:rsid w:val="00D6279C"/>
    <w:rsid w:val="00DD6BF5"/>
    <w:rsid w:val="00E32E03"/>
    <w:rsid w:val="00E63DF7"/>
    <w:rsid w:val="00E72C35"/>
    <w:rsid w:val="00EA264E"/>
    <w:rsid w:val="00EF7D7D"/>
    <w:rsid w:val="00F55565"/>
    <w:rsid w:val="00F57D58"/>
    <w:rsid w:val="00F607C7"/>
    <w:rsid w:val="00F60A3E"/>
    <w:rsid w:val="00FA4FE1"/>
    <w:rsid w:val="5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A63CC6"/>
  <w15:docId w15:val="{97A8C8AE-4729-490D-8951-6C5675C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Ttulo2">
    <w:name w:val="heading 2"/>
    <w:basedOn w:val="Normal"/>
    <w:link w:val="Ttulo2Car"/>
    <w:uiPriority w:val="9"/>
    <w:qFormat/>
    <w:rsid w:val="00257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qFormat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</w:rPr>
  </w:style>
  <w:style w:type="table" w:customStyle="1" w:styleId="Tablaconcuadrcula4-nfasis11">
    <w:name w:val="Tabla con cuadrícula 4 - Énfasis 11"/>
    <w:basedOn w:val="Tablanormal"/>
    <w:uiPriority w:val="49"/>
    <w:qFormat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2576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25766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8D2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C01F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01F97"/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mx/pronosticos/documentos/lineamientos-inai-en-materia-de-transparencia-acceso-a-la-informacion-y-proteccion-de-datos-personales" TargetMode="External"/><Relationship Id="rId13" Type="http://schemas.openxmlformats.org/officeDocument/2006/relationships/hyperlink" Target="http://www.gob.mx/cms/uploads/attachment/file/103379/LINEAMIENTOS_EJERCER_FACULTAD_DE_ATRACCI_N_3mzo16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b.mx/cms/uploads/attachment/file/103359/modificaciones_lineamientos_solicitudes_2dic08.pdf" TargetMode="External"/><Relationship Id="rId17" Type="http://schemas.openxmlformats.org/officeDocument/2006/relationships/hyperlink" Target="http://www.gob.mx/cms/uploads/attachment/file/103382/Lineamientos_procedimientos_internos_de_atenci_n_de_solicitudes_12feb16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b.mx/cms/uploads/attachment/file/103380/LINEAMIENTOS_PARA_EMITIR_CRITERIOS_DE_INTERPRETACI_N_3mzo1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b.mx/cms/uploads/attachment/file/103369/lineamientos_atenci_n_solicitudes_DP_25ago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b.mx/cms/uploads/attachment/file/103381/Lineamientos_lenguaje_sencillo__accesibilidad__traducci_n_lenguas_ind_genas_12feb16.pdf" TargetMode="External"/><Relationship Id="rId10" Type="http://schemas.openxmlformats.org/officeDocument/2006/relationships/hyperlink" Target="http://www.gob.mx/cms/uploads/attachment/file/81541/LINEAMIENTOS_23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b.mx/cms/uploads/attachment/file/81458/LINEAMIENTOS_13.pdf" TargetMode="External"/><Relationship Id="rId14" Type="http://schemas.openxmlformats.org/officeDocument/2006/relationships/hyperlink" Target="http://www.gob.mx/cms/uploads/attachment/file/103378/Lineamientos_informes_anuales_12feb16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creator>daniel</dc:creator>
  <cp:lastModifiedBy>Alexis Estrada</cp:lastModifiedBy>
  <cp:revision>8</cp:revision>
  <dcterms:created xsi:type="dcterms:W3CDTF">2019-07-30T21:38:00Z</dcterms:created>
  <dcterms:modified xsi:type="dcterms:W3CDTF">2019-08-02T16:08:00Z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