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EXPLORATORY DATA ANALYSIS (EDA)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Analysis of Systems &amp; Online Retail Business Trends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Document structured and formalized from the source code of step3_eda.ipynb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Analysis Overview &amp; Structural Setup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formalizes the entire execution results of the Exploratory Data Analysis (EDA) derived from the source code investigation of the step3_eda.ipynb file. The baseline input for this phase is the transactional dataset that has undergone missing value elimination and 99th percentile outlier clipping (online_retail_cleaned.csv).</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objective of this EDA program is to dissect univariate and multivariate characteristics, establish the linear correlation matrix, and segment user purchasing behaviors. This establishes a mathematically sound foundation for shaping predictive algorithm architectures in subsequent modeling phases.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Core Operational KPI Summary (Business Summary Cards)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overall performance metrics extracted from the cleaned transactional dataset reflect the macro-scale landscape of the commercial enterprise: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11e38" w:val="clear"/>
            <w:tcMar>
              <w:top w:w="75.0" w:type="dxa"/>
              <w:left w:w="75.0" w:type="dxa"/>
              <w:bottom w:w="75.0" w:type="dxa"/>
              <w:right w:w="7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Operational KPI Metric</w:t>
            </w:r>
          </w:p>
        </w:tc>
        <w:tc>
          <w:tcPr>
            <w:shd w:fill="111e38" w:val="clear"/>
            <w:tcMar>
              <w:top w:w="75.0" w:type="dxa"/>
              <w:left w:w="75.0" w:type="dxa"/>
              <w:bottom w:w="75.0" w:type="dxa"/>
              <w:right w:w="7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Statistical Value</w:t>
            </w:r>
          </w:p>
        </w:tc>
        <w:tc>
          <w:tcPr>
            <w:shd w:fill="111e38"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Technical Interpretation / System Evaluation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f4f6f9"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Total Cumulative Revenue</w:t>
            </w:r>
          </w:p>
        </w:tc>
        <w:tc>
          <w:tcPr>
            <w:shd w:fill="f4f6f9"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£8,841,415.12</w:t>
            </w:r>
          </w:p>
        </w:tc>
        <w:tc>
          <w:tcPr>
            <w:shd w:fill="f4f6f9"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Total actual invoice value calculated after applying the high-end upper-bound outlier clipping.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Invoices</w:t>
            </w:r>
          </w:p>
        </w:tc>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19,251</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volume of unique, successfully delivered transaction IDs (Unique Invoice IDs).</w:t>
            </w:r>
          </w:p>
        </w:tc>
      </w:tr>
      <w:tr>
        <w:trPr>
          <w:cantSplit w:val="0"/>
          <w:tblHeader w:val="0"/>
        </w:trPr>
        <w:tc>
          <w:tcPr>
            <w:shd w:fill="f4f6f9"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Total Unique Customers</w:t>
            </w:r>
          </w:p>
        </w:tc>
        <w:tc>
          <w:tcPr>
            <w:shd w:fill="f4f6f9"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4,314</w:t>
            </w:r>
          </w:p>
        </w:tc>
        <w:tc>
          <w:tcPr>
            <w:shd w:fill="f4f6f9"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The count of distinct Customer IDs registered with active purchasing history in the system.</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Product Catalog Size</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3,684</w:t>
            </w:r>
          </w:p>
        </w:tc>
        <w:tc>
          <w:tcPr>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 product SKU codes currently active within the logistics and inventory network.</w:t>
            </w:r>
          </w:p>
        </w:tc>
      </w:tr>
      <w:tr>
        <w:trPr>
          <w:cantSplit w:val="0"/>
          <w:tblHeader w:val="0"/>
        </w:trPr>
        <w:tc>
          <w:tcPr>
            <w:shd w:fill="f4f6f9"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Market Scope</w:t>
            </w:r>
          </w:p>
        </w:tc>
        <w:tc>
          <w:tcPr>
            <w:shd w:fill="f4f6f9"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37 Countries</w:t>
            </w:r>
          </w:p>
        </w:tc>
        <w:tc>
          <w:tcPr>
            <w:shd w:fill="f4f6f9"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The distribution network footprint, reflecting the globalized reach of the retail brand.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Average Order Value (AOV)</w:t>
            </w:r>
          </w:p>
        </w:tc>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£459.27</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mean gross revenue generated per successfully processed single transaction.</w:t>
            </w:r>
          </w:p>
        </w:tc>
      </w:tr>
      <w:tr>
        <w:trPr>
          <w:cantSplit w:val="0"/>
          <w:tblHeader w:val="0"/>
        </w:trPr>
        <w:tc>
          <w:tcPr>
            <w:shd w:fill="f4f6f9"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Peak Revenue Month</w:t>
            </w:r>
          </w:p>
        </w:tc>
        <w:tc>
          <w:tcPr>
            <w:shd w:fill="f4f6f9"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November</w:t>
            </w:r>
          </w:p>
        </w:tc>
        <w:tc>
          <w:tcPr>
            <w:shd w:fill="f4f6f9"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High-velocity seasonal purchasing window, capturing the Holiday Season Shock.</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Most Active Weekday</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weekday exhibiting the highest volume of order dispatches and retail conversions.</w:t>
            </w:r>
          </w:p>
        </w:tc>
      </w:tr>
      <w:tr>
        <w:trPr>
          <w:cantSplit w:val="0"/>
          <w:tblHeader w:val="0"/>
        </w:trPr>
        <w:tc>
          <w:tcPr>
            <w:shd w:fill="f4f6f9"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Golden Hour</w:t>
            </w:r>
          </w:p>
        </w:tc>
        <w:tc>
          <w:tcPr>
            <w:shd w:fill="f4f6f9"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12:00 PM</w:t>
            </w:r>
          </w:p>
        </w:tc>
        <w:tc>
          <w:tcPr>
            <w:shd w:fill="f4f6f9"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Midday lunch window, capturing peak historical traffic and system concurrency.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Target Market</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 (UK)</w:t>
            </w:r>
          </w:p>
        </w:tc>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baseline market, commanding over 91.3% of the total cumulative revenue stream.</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Univariate Analysis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Numerical Columns Distribution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Investigating the empirical distribution shapes of the numerical attributes (Quantity, UnitPrice, and Revenue) processed through the Jupyter Notebook architecture reveals several structural patterns: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Quantity &amp; Revenue Variables:</w:t>
      </w:r>
      <w:r w:rsidDel="00000000" w:rsidR="00000000" w:rsidRPr="00000000">
        <w:rPr>
          <w:rtl w:val="0"/>
        </w:rPr>
        <w:t xml:space="preserve"> Both metrics exhibit a severe, highly pronounced </w:t>
      </w:r>
      <w:r w:rsidDel="00000000" w:rsidR="00000000" w:rsidRPr="00000000">
        <w:rPr>
          <w:b w:val="1"/>
          <w:bCs w:val="1"/>
          <w:rtl w:val="0"/>
        </w:rPr>
        <w:t xml:space="preserve">Right-Skewed Distribution</w:t>
      </w:r>
      <w:r w:rsidDel="00000000" w:rsidR="00000000" w:rsidRPr="00000000">
        <w:rPr>
          <w:rtl w:val="0"/>
        </w:rPr>
        <w:t xml:space="preserve">. Despite the enforcement of the 99th percentile outlier capping layer, the vast majority of consumer orders remain heavily concentrated at smaller retail volumes. This creates an extremely high density in the lower value ranges, while commercial/wholesale wholesale orders stretch into a thin tail extending toward the right.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UnitPrice Variable:</w:t>
      </w:r>
      <w:r w:rsidDel="00000000" w:rsidR="00000000" w:rsidRPr="00000000">
        <w:rPr>
          <w:rtl w:val="0"/>
        </w:rPr>
        <w:t xml:space="preserve"> The pricing distribution is highly concentrated within the low-cost segment (£1.00 - £5.00), accounting for over 80% of the active product catalog. This statistically validates the retail enterprise's competitive, high-volume pricing strategy.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Categorical Columns Summary</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Vector:</w:t>
      </w:r>
      <w:r w:rsidDel="00000000" w:rsidR="00000000" w:rsidRPr="00000000">
        <w:rPr>
          <w:rtl w:val="0"/>
        </w:rPr>
        <w:t xml:space="preserve"> The United Kingdom commands absolute structural dominance. Developed economies within the European Union (Germany, France, Netherlands) occupy the subsequent ranking spots in terms of both top-line revenue contribution and order frequency.</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Inventory Vector:</w:t>
      </w:r>
      <w:r w:rsidDel="00000000" w:rsidR="00000000" w:rsidRPr="00000000">
        <w:rPr>
          <w:rtl w:val="0"/>
        </w:rPr>
        <w:t xml:space="preserve"> Home decoration items, small giftware, and utilitarian household goods emerge as the dominant product categories, exhibiting the highest inventory turnover rates and appearance frequencies within consumer baskets.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Multivariate Analytics &amp; Coefficient Correlations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structural interdependencies between behavioral metrics is vital to eliminate systemic modeling noise: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Correlation Between Frequency and Cumulative Revenue (Monetary):</w:t>
      </w:r>
      <w:r w:rsidDel="00000000" w:rsidR="00000000" w:rsidRPr="00000000">
        <w:rPr>
          <w:rtl w:val="0"/>
        </w:rPr>
        <w:t xml:space="preserve"> The Pearson linear correlation matrix records an exceptionally strong relationship of </w:t>
      </w:r>
      <w:r w:rsidDel="00000000" w:rsidR="00000000" w:rsidRPr="00000000">
        <w:rPr>
          <w:b w:val="1"/>
          <w:bCs w:val="1"/>
          <w:rtl w:val="0"/>
        </w:rPr>
        <w:t xml:space="preserve">$r = 0.92$</w:t>
      </w:r>
      <w:r w:rsidDel="00000000" w:rsidR="00000000" w:rsidRPr="00000000">
        <w:rPr>
          <w:rtl w:val="0"/>
        </w:rPr>
        <w:t xml:space="preserve">. This mathematically validates the baseline business premise: as a customer increases their repeat visits and places more recurring orders, their cumulative financial contribution to the enterprise scales linearly.</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Multi-Collinearity Warning Notice:</w:t>
      </w:r>
      <w:r w:rsidDel="00000000" w:rsidR="00000000" w:rsidRPr="00000000">
        <w:rPr>
          <w:rtl w:val="0"/>
        </w:rPr>
        <w:t xml:space="preserve"> Such an extremely high correlation coefficient ($r &gt; 0.80$) between independent predictor variables poses a severe hazard for downstream statistical estimators. When constructing parametric regression or classification models in subsequent stages, it is mandatory to incorporate regularization penalties (L1 Lasso / L2 Ridge) or drop one of the redundant features to prevent the inflation of model coefficient variances.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Customer Segmentation &amp; Strategic Business Intelligence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RFM clustering logic executed in cell 5 of the notebook source code, the consumer base is partitioned into distinct behavioral cohorts: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Champions (Power Advocates):</w:t>
      </w:r>
      <w:r w:rsidDel="00000000" w:rsidR="00000000" w:rsidRPr="00000000">
        <w:rPr>
          <w:rtl w:val="0"/>
        </w:rPr>
        <w:t xml:space="preserve"> Comprising approximately 12% of the total customer base, this elite cohort generates over 45% of cumulative company revenue. They exhibit an exceptionally short Recency (bought very recently), paired with maximum Frequency and Monetary metrics. The recommended strategic action is the deployment of exclusive VIP rewards and premium loyalty initiatives.</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At-Risk Customers:</w:t>
      </w:r>
      <w:r w:rsidDel="00000000" w:rsidR="00000000" w:rsidRPr="00000000">
        <w:rPr>
          <w:rtl w:val="0"/>
        </w:rPr>
        <w:t xml:space="preserve"> Comprising roughly 18% of the user population, this group is structurally defined by stagnating inactivity (large Recency scores) despite boasting highly stable historical purchasing frequencies in the past. This cohort represents the primary target audience for automated coupon intervention and churn-mitigation retention workflows.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 &amp; Next Steps Pipeline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EDA pipeline executed within step3_eda.ipynb has successfully mapped the macro-scale structural properties and isolated the core behavioral characteristics of the transactional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engineering roadmap for the next phase dictates the following sequence:</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Extract the customer-level feature matrix (Master Customer RFM Matrix) from the transactional records.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 a strict, chronological 80/20 temporal train/test split on the dataset to natively prevent data leakage.</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the SMOTE algorithm to synthetic balance minority target labels before training downstream classification networks to predict coupon redemption behaviors.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