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200"/>
      </w:pPr>
      <w:r>
        <w:rPr>
          <w:rFonts w:ascii="Aptos" w:hAnsi="Aptos"/>
          <w:b/>
          <w:color w:val="157A78"/>
          <w:sz w:val="24"/>
        </w:rPr>
        <w:t>ACTIVIDAD 08</w:t>
      </w:r>
    </w:p>
    <w:p>
      <w:pPr>
        <w:pStyle w:val="Title"/>
      </w:pPr>
      <w:r>
        <w:t>Contrato e integración</w:t>
        <w:br/>
        <w:t>API REST TheVault</w:t>
      </w:r>
    </w:p>
    <w:p>
      <w:pPr>
        <w:spacing w:after="440"/>
      </w:pPr>
      <w:r>
        <w:rPr>
          <w:i/>
          <w:color w:val="506477"/>
          <w:sz w:val="30"/>
        </w:rPr>
        <w:t>Entrega mejorada y evidencia técnica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157A78"/>
          <w:left w:val="single" w:sz="0" w:space="0" w:color="157A78"/>
          <w:bottom w:val="single" w:sz="0" w:space="0" w:color="157A78"/>
          <w:right w:val="single" w:sz="0" w:space="0" w:color="157A78"/>
          <w:insideH w:val="single" w:sz="0" w:space="0" w:color="157A78"/>
          <w:insideV w:val="single" w:sz="0" w:space="0" w:color="157A78"/>
        </w:tblBorders>
      </w:tblPr>
      <w:tblGrid>
        <w:gridCol w:w="10256"/>
      </w:tblGrid>
      <w:tr>
        <w:tc>
          <w:tcPr>
            <w:tcW w:type="dxa" w:w="9504"/>
            <w:shd w:fill="157A78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r/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157A78"/>
        </w:rPr>
        <w:t xml:space="preserve">Proyecto: </w:t>
      </w:r>
      <w:r>
        <w:rPr>
          <w:color w:val="1F2933"/>
        </w:rPr>
        <w:t>Gestor de contraseñas Android TheVault</w:t>
      </w:r>
    </w:p>
    <w:p>
      <w:pPr>
        <w:spacing w:after="80"/>
      </w:pPr>
      <w:r>
        <w:rPr>
          <w:b/>
          <w:color w:val="157A78"/>
        </w:rPr>
        <w:t xml:space="preserve">Tecnologías: </w:t>
      </w:r>
      <w:r>
        <w:rPr>
          <w:color w:val="1F2933"/>
        </w:rPr>
        <w:t>Kotlin + MVVM + Room · FastAPI + Python + SQLite · Firebase Authentication</w:t>
      </w:r>
    </w:p>
    <w:p>
      <w:pPr>
        <w:spacing w:after="80"/>
      </w:pPr>
      <w:r>
        <w:rPr>
          <w:b/>
          <w:color w:val="157A78"/>
        </w:rPr>
        <w:t xml:space="preserve">Versión del contrato: </w:t>
      </w:r>
      <w:r>
        <w:rPr>
          <w:color w:val="1F2933"/>
        </w:rPr>
        <w:t>1.0</w:t>
      </w:r>
    </w:p>
    <w:p>
      <w:pPr>
        <w:spacing w:after="80"/>
      </w:pPr>
      <w:r>
        <w:rPr>
          <w:b/>
          <w:color w:val="157A78"/>
        </w:rPr>
        <w:t xml:space="preserve">Fecha de verificación: </w:t>
      </w:r>
      <w:r>
        <w:rPr>
          <w:color w:val="1F2933"/>
        </w:rPr>
        <w:t>11 de octubre de 2026</w:t>
      </w:r>
    </w:p>
    <w:p>
      <w:pPr>
        <w:spacing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217346"/>
          <w:left w:val="single" w:sz="5" w:space="0" w:color="217346"/>
          <w:bottom w:val="single" w:sz="5" w:space="0" w:color="217346"/>
          <w:right w:val="single" w:sz="5" w:space="0" w:color="217346"/>
          <w:insideH w:val="single" w:sz="5" w:space="0" w:color="217346"/>
          <w:insideV w:val="single" w:sz="5" w:space="0" w:color="217346"/>
        </w:tblBorders>
      </w:tblPr>
      <w:tblGrid>
        <w:gridCol w:w="10256"/>
      </w:tblGrid>
      <w:tr>
        <w:tc>
          <w:tcPr>
            <w:tcW w:type="dxa" w:w="10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17346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✓  Resultado: integración local implementada y verificada entre la aplicación móvil y el servicio REST.</w:t>
            </w:r>
          </w:p>
        </w:tc>
      </w:tr>
    </w:tbl>
    <w:p>
      <w:pPr>
        <w:spacing w:before="1040"/>
        <w:jc w:val="center"/>
      </w:pPr>
      <w:r>
        <w:rPr>
          <w:color w:val="6A7785"/>
          <w:sz w:val="17"/>
        </w:rPr>
        <w:t>Documento preparado a partir de la consigna y validado contra el código actual del proyecto</w:t>
      </w:r>
    </w:p>
    <w:p>
      <w:r>
        <w:br w:type="page"/>
      </w:r>
    </w:p>
    <w:p>
      <w:pPr>
        <w:pStyle w:val="Heading1"/>
      </w:pPr>
      <w:r>
        <w:t>1. Resumen de la solución</w:t>
      </w:r>
    </w:p>
    <w:p>
      <w:r>
        <w:t>TheVault integra una aplicación Android con un backend FastAPI para sincronizar credenciales cifradas. La contraseña nunca se envía en texto plano: el móvil cifra el registro antes de consumir la API y el backend lo persiste asociado al identificador del usuario autenticado.</w:t>
      </w:r>
    </w:p>
    <w:p>
      <w:pPr>
        <w:pStyle w:val="Heading2"/>
      </w:pPr>
      <w:r>
        <w:t>Cobertura de la consigna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Dónde se resuelve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Contrato API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Secciones 2 y 3: endpoints, métodos, parámetros, respuestas y errores.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Completo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Modelo JSON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Sección 4: solicitud, respuesta, listado y errores.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Completo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Evidencias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Sección 7: consumo HTTP, pruebas backend y validación Android.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Verificado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Repositorio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Sección 8: remoto, commit base, archivos y estado de publicación.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Local actualizado</w:t>
            </w:r>
          </w:p>
        </w:tc>
      </w:tr>
    </w:tbl>
    <w:p>
      <w:pPr>
        <w:spacing w:after="0"/>
      </w:pPr>
    </w:p>
    <w:p>
      <w:pPr>
        <w:pStyle w:val="Heading2"/>
      </w:pPr>
      <w:r>
        <w:t>Arquitectura aplicada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FFFFFF"/>
          <w:left w:val="single" w:sz="10" w:space="0" w:color="FFFFFF"/>
          <w:bottom w:val="single" w:sz="10" w:space="0" w:color="FFFFFF"/>
          <w:right w:val="single" w:sz="10" w:space="0" w:color="FFFFFF"/>
          <w:insideH w:val="single" w:sz="10" w:space="0" w:color="FFFFFF"/>
          <w:insideV w:val="single" w:sz="10" w:space="0" w:color="FFFFFF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57A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1</w:t>
              <w:br/>
              <w:t>Android</w:t>
              <w:br/>
              <w:t>Kotlin + MVVM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2</w:t>
              <w:br/>
              <w:t>Cifrado local</w:t>
              <w:br/>
              <w:t>AES-256-GCM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57A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3</w:t>
              <w:br/>
              <w:t>REST JSON</w:t>
              <w:br/>
              <w:t>Bearer token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4</w:t>
              <w:br/>
              <w:t>FastAPI</w:t>
              <w:br/>
              <w:t>Casos de uso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57A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5</w:t>
              <w:br/>
              <w:t>SQLite</w:t>
              <w:br/>
              <w:t>por usuario</w:t>
            </w:r>
          </w:p>
        </w:tc>
      </w:tr>
    </w:tbl>
    <w:p/>
    <w:p>
      <w:r>
        <w:t>La API usa arquitectura hexagonal: dominio y casos de uso no dependen de FastAPI ni SQLite; los adaptadores de entrada y salida implementan HTTP, autenticación y persistencia. Esta separación facilita pruebas, mantenimiento y sustitución de infraestructura, alineándose con Clean Code y SOLID.</w:t>
      </w:r>
    </w:p>
    <w:p>
      <w:pPr>
        <w:pStyle w:val="Heading2"/>
      </w:pPr>
      <w:r>
        <w:t>Alcance validado</w:t>
      </w:r>
    </w:p>
    <w:p>
      <w:pPr>
        <w:pStyle w:val="ListBullet"/>
        <w:spacing w:after="60"/>
        <w:ind w:left="340" w:hanging="170"/>
      </w:pPr>
      <w:r>
        <w:t>CRUD de credenciales cifradas mediante seis endpoints bajo /api/v1.</w:t>
      </w:r>
    </w:p>
    <w:p>
      <w:pPr>
        <w:pStyle w:val="ListBullet"/>
        <w:spacing w:after="60"/>
        <w:ind w:left="340" w:hanging="170"/>
      </w:pPr>
      <w:r>
        <w:t>Autenticación obligatoria en recursos de bóveda y aislamiento por usuario.</w:t>
      </w:r>
    </w:p>
    <w:p>
      <w:pPr>
        <w:pStyle w:val="ListBullet"/>
        <w:spacing w:after="60"/>
        <w:ind w:left="340" w:hanging="170"/>
      </w:pPr>
      <w:r>
        <w:t>Sincronización desde la app: descargar, crear, editar, marcar favorita y eliminar.</w:t>
      </w:r>
    </w:p>
    <w:p>
      <w:pPr>
        <w:pStyle w:val="ListBullet"/>
        <w:spacing w:after="60"/>
        <w:ind w:left="340" w:hanging="170"/>
      </w:pPr>
      <w:r>
        <w:t>Persistencia local con Room y remota con SQLite; el backend solo recibe material cifrado.</w:t>
      </w:r>
    </w:p>
    <w:p>
      <w:r>
        <w:br w:type="page"/>
      </w:r>
    </w:p>
    <w:p>
      <w:pPr>
        <w:pStyle w:val="Heading1"/>
      </w:pPr>
      <w:r>
        <w:t>2. Convenciones del contrato 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Base local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http://127.0.0.1:8000/api/v1 (equipo) · http://10.0.2.2:8000/api/v1 (emulador)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Base producción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Dominio HTTPS del despliegue + /api/v1; todavía no existe un despliegue productivo.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Formato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Content-Type: application/json; propiedades en camelCase.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Autenticación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Authorization: Bearer &lt;Firebase ID token&gt;. Solo /health es público.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Modo desarrollo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Authorization: Bearer dev:&lt;uid&gt;; no debe habilitarse en producción.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Identidad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El uid se obtiene del token; no se acepta ownerId enviado por el cliente.</w:t>
            </w:r>
          </w:p>
        </w:tc>
      </w:tr>
    </w:tbl>
    <w:p>
      <w:pPr>
        <w:spacing w:after="0"/>
      </w:pPr>
    </w:p>
    <w:p>
      <w:pPr>
        <w:pStyle w:val="Heading1"/>
      </w:pPr>
      <w:r>
        <w:t>3.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Éxito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Errores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GET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/health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—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200 HealthResponse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GET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/credentials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Bearer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200 lista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401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GET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/credentials/{id}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id + Bearer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200 credencial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401, 404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POST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/credentials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Bearer + CredentialWrite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201 credencial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401, 422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PUT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/credentials/{id}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id + Bearer + CredentialWrite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200 credencial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401, 404, 422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DELETE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/credentials/{id}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id + Bearer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204 sin cuerpo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401, 404</w:t>
            </w:r>
          </w:p>
        </w:tc>
      </w:tr>
    </w:tbl>
    <w:p>
      <w:pPr>
        <w:spacing w:after="0"/>
      </w:pPr>
    </w:p>
    <w:p>
      <w:pPr>
        <w:pStyle w:val="Heading2"/>
      </w:pPr>
      <w:r>
        <w:t>Parámetros y validaciones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Regla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string / path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Identificador generado por el servidor; debe pertenecer al usuario autenticado.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encrypted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object / body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Objeto obligatorio en POST y PUT.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algorithm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literal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Debe ser AES-256-GCM.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kdf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literal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Debe ser PBKDF2-HMAC-SHA256.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iterations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integer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Mínimo 100 000; la app usa 310 000.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saltB64, nonceB64, ciphertextB64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string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Base64 válido y longitud mínima de 4 caracteres.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Modelo de datos JSON</w:t>
      </w:r>
    </w:p>
    <w:p>
      <w:r>
        <w:t>El cuerpo de escritura contiene exclusivamente un sobre cifrado. Los metadatos id, createdAt y updatedAt son responsabilidad del servidor y aparecen únicamente en las respuestas.</w:t>
      </w:r>
    </w:p>
    <w:p>
      <w:pPr>
        <w:pStyle w:val="Heading2"/>
      </w:pPr>
      <w:r>
        <w:t>Solicitud de creación o actualización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2"/>
          <w:left w:val="single" w:sz="4" w:space="0" w:color="D6DCE2"/>
          <w:bottom w:val="single" w:sz="4" w:space="0" w:color="D6DCE2"/>
          <w:right w:val="single" w:sz="4" w:space="0" w:color="D6DCE2"/>
          <w:insideH w:val="single" w:sz="4" w:space="0" w:color="D6DCE2"/>
          <w:insideV w:val="single" w:sz="4" w:space="0" w:color="D6DCE2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3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ascadia Mono" w:hAnsi="Cascadia Mono"/>
                <w:color w:val="1F2933"/>
                <w:sz w:val="15"/>
              </w:rPr>
              <w:t>{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"encrypted": {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  "algorithm": "AES-256-GCM",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  "kdf": "PBKDF2-HMAC-SHA256",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  "iterations": 310000,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  "saltB64": "c2FsdC1leGFtcGxl",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  "nonceB64": "bm9uY2UtMTIz",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  "ciphertextB64": "Y2lwaGVydGV4dC1leGFtcGxl"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}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Respuesta de credencial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2"/>
          <w:left w:val="single" w:sz="4" w:space="0" w:color="D6DCE2"/>
          <w:bottom w:val="single" w:sz="4" w:space="0" w:color="D6DCE2"/>
          <w:right w:val="single" w:sz="4" w:space="0" w:color="D6DCE2"/>
          <w:insideH w:val="single" w:sz="4" w:space="0" w:color="D6DCE2"/>
          <w:insideV w:val="single" w:sz="4" w:space="0" w:color="D6DCE2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3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ascadia Mono" w:hAnsi="Cascadia Mono"/>
                <w:color w:val="1F2933"/>
                <w:sz w:val="15"/>
              </w:rPr>
              <w:t>{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"id": "66c756ce-3f54-4f81-b0b0-3cb917fb4e58",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"encrypted": {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  "algorithm": "AES-256-GCM",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  "kdf": "PBKDF2-HMAC-SHA256",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  "iterations": 310000,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  "saltB64": "c2FsdC1leGFtcGxl",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  "nonceB64": "bm9uY2UtMTIz",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  "ciphertextB64": "Y2lwaGVydGV4dC1leGFtcGxl"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},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"createdAt": "2026-10-11T15:53:29Z",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 xml:space="preserve">  "updatedAt": "2026-10-11T15:53:29Z"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Respuesta de listado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2"/>
          <w:left w:val="single" w:sz="4" w:space="0" w:color="D6DCE2"/>
          <w:bottom w:val="single" w:sz="4" w:space="0" w:color="D6DCE2"/>
          <w:right w:val="single" w:sz="4" w:space="0" w:color="D6DCE2"/>
          <w:insideH w:val="single" w:sz="4" w:space="0" w:color="D6DCE2"/>
          <w:insideV w:val="single" w:sz="4" w:space="0" w:color="D6DCE2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3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ascadia Mono" w:hAnsi="Cascadia Mono"/>
                <w:color w:val="1F2933"/>
                <w:sz w:val="15"/>
              </w:rPr>
              <w:t>{"items": [], "count": 0}</w:t>
            </w:r>
          </w:p>
        </w:tc>
      </w:tr>
    </w:tbl>
    <w:p>
      <w:pPr>
        <w:spacing w:after="0"/>
      </w:pPr>
    </w:p>
    <w:p>
      <w:pPr>
        <w:pStyle w:val="Heading2"/>
      </w:pPr>
      <w:r>
        <w:t>Formato de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2"/>
          <w:left w:val="single" w:sz="4" w:space="0" w:color="D6DCE2"/>
          <w:bottom w:val="single" w:sz="4" w:space="0" w:color="D6DCE2"/>
          <w:right w:val="single" w:sz="4" w:space="0" w:color="D6DCE2"/>
          <w:insideH w:val="single" w:sz="4" w:space="0" w:color="D6DCE2"/>
          <w:insideV w:val="single" w:sz="4" w:space="0" w:color="D6DCE2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3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ascadia Mono" w:hAnsi="Cascadia Mono"/>
                <w:color w:val="1F2933"/>
                <w:sz w:val="15"/>
              </w:rPr>
              <w:t>401  {"detail": "Bearer token requerido"}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>404  {"detail": "Credencial no encontrada"}</w:t>
              <w:br/>
            </w:r>
            <w:r>
              <w:rPr>
                <w:rFonts w:ascii="Cascadia Mono" w:hAnsi="Cascadia Mono"/>
                <w:color w:val="1F2933"/>
                <w:sz w:val="15"/>
              </w:rPr>
              <w:t>422  {"detail": [{"loc": ["body", "encrypted"], "msg": "...", "type": "..."}]}</w:t>
            </w:r>
          </w:p>
        </w:tc>
      </w:tr>
    </w:tbl>
    <w:p>
      <w:pPr>
        <w:spacing w:after="0"/>
      </w:pPr>
    </w:p>
    <w:p>
      <w:r>
        <w:rPr>
          <w:b/>
          <w:color w:val="157A78"/>
        </w:rPr>
        <w:t xml:space="preserve">Nota de privacidad. </w:t>
      </w:r>
      <w:r>
        <w:t>ciphertextB64 representa el registro completo cifrado. El servidor no recibe servicio, usuario, URL, notas ni contraseña en texto plano.</w:t>
      </w:r>
    </w:p>
    <w:p>
      <w:r>
        <w:br w:type="page"/>
      </w:r>
    </w:p>
    <w:p>
      <w:pPr>
        <w:pStyle w:val="Heading1"/>
      </w:pPr>
      <w:r>
        <w:t>5. Autenticación y seguridad</w:t>
      </w:r>
    </w:p>
    <w:p>
      <w:pPr>
        <w:pStyle w:val="Heading2"/>
      </w:pPr>
      <w:r>
        <w:t>¿Se necesita un endpoint de login propio?</w:t>
      </w:r>
    </w:p>
    <w:p>
      <w:r>
        <w:t>No. Firebase Authentication realiza registro e inicio de sesión desde la aplicación móvil. La app obtiene un Firebase ID token y lo envía en cada solicitud protegida. FastAPI verifica el token, extrae el uid y usa esa identidad para aislar los datos. Evitar un segundo endpoint de login impide duplicar contraseñas y responsabilidades de autenticación.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Implementación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Autenticación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Firebase ID token en producción; token dev:&lt;uid&gt; solo para pruebas locales.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Autorización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Cada operación usa el uid verificado; otro usuario obtiene 404.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Probado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Confidencialidad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AES-256-GCM antes de enviar; PBKDF2-HMAC-SHA256 con 310 000 iteraciones.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Clave local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Secreto maestro protegido por Android Keystore.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Transporte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HTTP solo para emulador local; HTTPS requerido en producción.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Pendiente despliegue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Firebase real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Falta agregar google-services.json y cuenta de servicio al entorno.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Pendiente configuración</w:t>
            </w:r>
          </w:p>
        </w:tc>
      </w:tr>
    </w:tbl>
    <w:p>
      <w:pPr>
        <w:spacing w:after="0"/>
      </w:pPr>
    </w:p>
    <w:p>
      <w:pPr>
        <w:pStyle w:val="Heading1"/>
      </w:pPr>
      <w:r>
        <w:t>6. Integración con la aplicación móvil</w:t>
      </w:r>
    </w:p>
    <w:p>
      <w:pPr>
        <w:spacing w:after="60"/>
        <w:ind w:left="397" w:hanging="198"/>
      </w:pPr>
      <w:r>
        <w:rPr>
          <w:b/>
        </w:rPr>
        <w:t xml:space="preserve">1. </w:t>
      </w:r>
      <w:r>
        <w:t>El usuario inicia sesión; en desarrollo se utiliza la sesión demo y en producción Firebase.</w:t>
      </w:r>
    </w:p>
    <w:p>
      <w:pPr>
        <w:spacing w:after="60"/>
        <w:ind w:left="397" w:hanging="198"/>
      </w:pPr>
      <w:r>
        <w:rPr>
          <w:b/>
        </w:rPr>
        <w:t xml:space="preserve">2. </w:t>
      </w:r>
      <w:r>
        <w:t>VaultViewModel solicita las credenciales remotas mediante RemoteVaultRepository.</w:t>
      </w:r>
    </w:p>
    <w:p>
      <w:pPr>
        <w:spacing w:after="60"/>
        <w:ind w:left="397" w:hanging="198"/>
      </w:pPr>
      <w:r>
        <w:rPr>
          <w:b/>
        </w:rPr>
        <w:t xml:space="preserve">3. </w:t>
      </w:r>
      <w:r>
        <w:t>Cada credencial se cifra con CredentialCrypto antes de POST o PUT.</w:t>
      </w:r>
    </w:p>
    <w:p>
      <w:pPr>
        <w:spacing w:after="60"/>
        <w:ind w:left="397" w:hanging="198"/>
      </w:pPr>
      <w:r>
        <w:rPr>
          <w:b/>
        </w:rPr>
        <w:t xml:space="preserve">4. </w:t>
      </w:r>
      <w:r>
        <w:t>La API valida el token, asocia el registro al uid y persiste solo el sobre cifrado.</w:t>
      </w:r>
    </w:p>
    <w:p>
      <w:pPr>
        <w:spacing w:after="60"/>
        <w:ind w:left="397" w:hanging="198"/>
      </w:pPr>
      <w:r>
        <w:rPr>
          <w:b/>
        </w:rPr>
        <w:t xml:space="preserve">5. </w:t>
      </w:r>
      <w:r>
        <w:t>La respuesta se descifra en el dispositivo y se conserva en Room para uso local.</w:t>
      </w:r>
    </w:p>
    <w:p>
      <w:pPr>
        <w:spacing w:after="60"/>
        <w:ind w:left="397" w:hanging="198"/>
      </w:pPr>
      <w:r>
        <w:rPr>
          <w:b/>
        </w:rPr>
        <w:t xml:space="preserve">6. </w:t>
      </w:r>
      <w:r>
        <w:t>Crear, editar, marcar favorita y eliminar actualizan Room y sincronizan la API.</w:t>
      </w:r>
    </w:p>
    <w:p>
      <w:pPr>
        <w:spacing w:after="100"/>
      </w:pPr>
      <w:r>
        <w:rPr>
          <w:b/>
          <w:color w:val="9A6700"/>
          <w:sz w:val="16"/>
        </w:rPr>
        <w:t>LIMITACIÓN CONOCIDA</w:t>
      </w:r>
      <w:r>
        <w:t xml:space="preserve">  La clave actual permite recuperar datos en la misma instalación. La sincronización entre varios dispositivos requiere una contraseña maestra o transferencia segura de clave.</w:t>
      </w:r>
    </w:p>
    <w:p>
      <w:r>
        <w:br w:type="page"/>
      </w:r>
    </w:p>
    <w:p>
      <w:pPr>
        <w:pStyle w:val="Heading1"/>
      </w:pPr>
      <w:r>
        <w:t>7. Evidencias de consumo y calidad</w:t>
      </w:r>
    </w:p>
    <w:p>
      <w:r>
        <w:t>Validaciones ejecutadas el 11 de octubre de 2026 sobre el código actual. No se incluyen datos reales de usuarios.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GET /api/v1/health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HTTP 200 · status=ok · service=thevault-api · version=1.0.0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Aprobada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GET /api/v1/credentials sin token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HTTP 401 · Bearer token requerido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Aprobada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GET /api/v1/credentials con Bearer dev:evidence-user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HTTP 200 · {items: [], count: 0}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Aprobada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pytest backend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4 pruebas aprobadas · cobertura total 85 %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Aprobada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Gradle testDebugUnitTest + lintDebug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BUILD SUCCESSFUL · 36 tareas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Aprobada</w:t>
            </w:r>
          </w:p>
        </w:tc>
      </w:tr>
    </w:tbl>
    <w:p>
      <w:pPr>
        <w:spacing w:after="0"/>
      </w:pPr>
    </w:p>
    <w:p>
      <w:pPr>
        <w:pStyle w:val="Heading2"/>
      </w:pPr>
      <w:r>
        <w:t>Evidencia HTTP reproducible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2"/>
          <w:left w:val="single" w:sz="4" w:space="0" w:color="D6DCE2"/>
          <w:bottom w:val="single" w:sz="4" w:space="0" w:color="D6DCE2"/>
          <w:right w:val="single" w:sz="4" w:space="0" w:color="D6DCE2"/>
          <w:insideH w:val="single" w:sz="4" w:space="0" w:color="D6DCE2"/>
          <w:insideV w:val="single" w:sz="4" w:space="0" w:color="D6DCE2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3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ascadia Mono" w:hAnsi="Cascadia Mono"/>
                <w:color w:val="1F2933"/>
                <w:sz w:val="14"/>
              </w:rPr>
              <w:t>HTTP/1.1 200 OK</w:t>
              <w:br/>
            </w:r>
            <w:r>
              <w:rPr>
                <w:rFonts w:ascii="Cascadia Mono" w:hAnsi="Cascadia Mono"/>
                <w:color w:val="1F2933"/>
                <w:sz w:val="14"/>
              </w:rPr>
              <w:t>{"status":"ok","service":"thevault-api","version":"1.0.0"}</w:t>
              <w:br/>
            </w:r>
            <w:r>
              <w:rPr>
                <w:rFonts w:ascii="Cascadia Mono" w:hAnsi="Cascadia Mono"/>
                <w:color w:val="1F2933"/>
                <w:sz w:val="14"/>
              </w:rPr>
              <w:br/>
            </w:r>
            <w:r>
              <w:rPr>
                <w:rFonts w:ascii="Cascadia Mono" w:hAnsi="Cascadia Mono"/>
                <w:color w:val="1F2933"/>
                <w:sz w:val="14"/>
              </w:rPr>
              <w:t>HTTP/1.1 401 Unauthorized</w:t>
              <w:br/>
            </w:r>
            <w:r>
              <w:rPr>
                <w:rFonts w:ascii="Cascadia Mono" w:hAnsi="Cascadia Mono"/>
                <w:color w:val="1F2933"/>
                <w:sz w:val="14"/>
              </w:rPr>
              <w:t>{"detail":"Bearer token requerido"}</w:t>
              <w:br/>
            </w:r>
            <w:r>
              <w:rPr>
                <w:rFonts w:ascii="Cascadia Mono" w:hAnsi="Cascadia Mono"/>
                <w:color w:val="1F2933"/>
                <w:sz w:val="14"/>
              </w:rPr>
              <w:br/>
            </w:r>
            <w:r>
              <w:rPr>
                <w:rFonts w:ascii="Cascadia Mono" w:hAnsi="Cascadia Mono"/>
                <w:color w:val="1F2933"/>
                <w:sz w:val="14"/>
              </w:rPr>
              <w:t>HTTP/1.1 200 OK</w:t>
              <w:br/>
            </w:r>
            <w:r>
              <w:rPr>
                <w:rFonts w:ascii="Cascadia Mono" w:hAnsi="Cascadia Mono"/>
                <w:color w:val="1F2933"/>
                <w:sz w:val="14"/>
              </w:rPr>
              <w:t>{"items":[],"count":0}</w:t>
            </w:r>
          </w:p>
        </w:tc>
      </w:tr>
    </w:tbl>
    <w:p>
      <w:pPr>
        <w:spacing w:after="0"/>
      </w:pPr>
    </w:p>
    <w:p>
      <w:pPr>
        <w:pStyle w:val="Heading2"/>
      </w:pPr>
      <w:r>
        <w:t>Trazabilidad en el código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Archivo principal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Contrato HTTP FastAPI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API_theVault/src/thevault/adapters/inbound/http/routes.py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Validación JSON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API_theVault/src/thevault/adapters/inbound/http/schemas.py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Cliente REST Android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TheVault/app/src/main/java/com/example/thevault/data/remote/RemoteVaultRepository.kt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Cifrado en el dispositivo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TheVault/app/src/main/java/com/example/thevault/data/security/CredentialCrypto.kt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Sincronización de UI</w:t>
            </w:r>
          </w:p>
        </w:tc>
        <w:tc>
          <w:tcPr>
            <w:tcW w:type="dxa" w:w="6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TheVault/app/src/main/java/com/example/thevault/ui/vault/VaultViewModel.kt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Repositorio y reproducción</w:t>
      </w:r>
    </w:p>
    <w:p>
      <w:r>
        <w:rPr>
          <w:b/>
        </w:rPr>
        <w:t xml:space="preserve">Repositorio remoto: </w:t>
      </w:r>
      <w:hyperlink r:id="rId9">
        <w:r>
          <w:rPr>
            <w:color w:val="1F4E78"/>
            <w:u w:val="single"/>
          </w:rPr>
          <w:t>github.com/SalvadorSarmiento/TheVault</w:t>
        </w:r>
      </w:hyperlink>
    </w:p>
    <w:p>
      <w:pPr>
        <w:spacing w:after="80"/>
      </w:pPr>
      <w:r>
        <w:rPr>
          <w:b/>
          <w:color w:val="157A78"/>
        </w:rPr>
        <w:t xml:space="preserve">Commit base actual: </w:t>
      </w:r>
      <w:r>
        <w:rPr>
          <w:color w:val="1F2933"/>
        </w:rPr>
        <w:t>1cebca8923e528d746b60b754956f8fe8556e812 · “archivo faltante”</w:t>
      </w:r>
    </w:p>
    <w:p>
      <w:pPr>
        <w:spacing w:after="100"/>
      </w:pPr>
      <w:r>
        <w:rPr>
          <w:b/>
          <w:color w:val="9A6700"/>
          <w:sz w:val="16"/>
        </w:rPr>
        <w:t>ESTADO DE PUBLICACIÓN</w:t>
      </w:r>
      <w:r>
        <w:t xml:space="preserve">  El repositorio de trabajo contiene la integración Android sin commit. El backend está en la carpeta hermana API_theVault. Debe confirmarse commit y push antes de entregar el enlace como versión final.</w:t>
      </w:r>
    </w:p>
    <w:p>
      <w:pPr>
        <w:pStyle w:val="Heading2"/>
      </w:pPr>
      <w:r>
        <w:t>Ejecución local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2"/>
          <w:left w:val="single" w:sz="4" w:space="0" w:color="D6DCE2"/>
          <w:bottom w:val="single" w:sz="4" w:space="0" w:color="D6DCE2"/>
          <w:right w:val="single" w:sz="4" w:space="0" w:color="D6DCE2"/>
          <w:insideH w:val="single" w:sz="4" w:space="0" w:color="D6DCE2"/>
          <w:insideV w:val="single" w:sz="4" w:space="0" w:color="D6DCE2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3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ascadia Mono" w:hAnsi="Cascadia Mono"/>
                <w:color w:val="1F2933"/>
                <w:sz w:val="14"/>
              </w:rPr>
              <w:t># Terminal 1 — backend</w:t>
              <w:br/>
            </w:r>
            <w:r>
              <w:rPr>
                <w:rFonts w:ascii="Cascadia Mono" w:hAnsi="Cascadia Mono"/>
                <w:color w:val="1F2933"/>
                <w:sz w:val="14"/>
              </w:rPr>
              <w:t>cd C:\Users\dyarm\Documents\Archivosdedayana\Programacion\kotlin\API_theVault</w:t>
              <w:br/>
            </w:r>
            <w:r>
              <w:rPr>
                <w:rFonts w:ascii="Cascadia Mono" w:hAnsi="Cascadia Mono"/>
                <w:color w:val="1F2933"/>
                <w:sz w:val="14"/>
              </w:rPr>
              <w:t>$env:THEVAULT_AUTH_MODE="development"</w:t>
              <w:br/>
            </w:r>
            <w:r>
              <w:rPr>
                <w:rFonts w:ascii="Cascadia Mono" w:hAnsi="Cascadia Mono"/>
                <w:color w:val="1F2933"/>
                <w:sz w:val="14"/>
              </w:rPr>
              <w:t>uv sync</w:t>
              <w:br/>
            </w:r>
            <w:r>
              <w:rPr>
                <w:rFonts w:ascii="Cascadia Mono" w:hAnsi="Cascadia Mono"/>
                <w:color w:val="1F2933"/>
                <w:sz w:val="14"/>
              </w:rPr>
              <w:t>uv run uvicorn thevault.main:app --host 0.0.0.0 --port 8000</w:t>
              <w:br/>
            </w:r>
            <w:r>
              <w:rPr>
                <w:rFonts w:ascii="Cascadia Mono" w:hAnsi="Cascadia Mono"/>
                <w:color w:val="1F2933"/>
                <w:sz w:val="14"/>
              </w:rPr>
              <w:br/>
            </w:r>
            <w:r>
              <w:rPr>
                <w:rFonts w:ascii="Cascadia Mono" w:hAnsi="Cascadia Mono"/>
                <w:color w:val="1F2933"/>
                <w:sz w:val="14"/>
              </w:rPr>
              <w:t># Terminal 2 — validación Android</w:t>
              <w:br/>
            </w:r>
            <w:r>
              <w:rPr>
                <w:rFonts w:ascii="Cascadia Mono" w:hAnsi="Cascadia Mono"/>
                <w:color w:val="1F2933"/>
                <w:sz w:val="14"/>
              </w:rPr>
              <w:t>cd C:\Users\dyarm\Documents\Archivosdedayana\Programacion\kotlin\TheVault</w:t>
              <w:br/>
            </w:r>
            <w:r>
              <w:rPr>
                <w:rFonts w:ascii="Cascadia Mono" w:hAnsi="Cascadia Mono"/>
                <w:color w:val="1F2933"/>
                <w:sz w:val="14"/>
              </w:rPr>
              <w:t>.\gradlew.bat testDebugUnitTest lintDebug</w:t>
            </w:r>
          </w:p>
        </w:tc>
      </w:tr>
    </w:tbl>
    <w:p>
      <w:pPr>
        <w:spacing w:after="0"/>
      </w:pPr>
    </w:p>
    <w:p>
      <w:pPr>
        <w:pStyle w:val="Heading2"/>
      </w:pPr>
      <w:r>
        <w:t>Preparación para producción</w:t>
      </w:r>
    </w:p>
    <w:p>
      <w:pPr>
        <w:spacing w:after="60"/>
        <w:ind w:left="397" w:hanging="198"/>
      </w:pPr>
      <w:r>
        <w:rPr>
          <w:b/>
        </w:rPr>
        <w:t xml:space="preserve">1. </w:t>
      </w:r>
      <w:r>
        <w:t>Registrar la app Android com.example.thevault en Firebase y habilitar Email/Password.</w:t>
      </w:r>
    </w:p>
    <w:p>
      <w:pPr>
        <w:spacing w:after="60"/>
        <w:ind w:left="397" w:hanging="198"/>
      </w:pPr>
      <w:r>
        <w:rPr>
          <w:b/>
        </w:rPr>
        <w:t xml:space="preserve">2. </w:t>
      </w:r>
      <w:r>
        <w:t>Agregar app/google-services.json al proyecto Android sin exponer secretos en el repositorio.</w:t>
      </w:r>
    </w:p>
    <w:p>
      <w:pPr>
        <w:spacing w:after="60"/>
        <w:ind w:left="397" w:hanging="198"/>
      </w:pPr>
      <w:r>
        <w:rPr>
          <w:b/>
        </w:rPr>
        <w:t xml:space="preserve">3. </w:t>
      </w:r>
      <w:r>
        <w:t>Configurar la cuenta de servicio del backend y THEVAULT_AUTH_MODE=firebase.</w:t>
      </w:r>
    </w:p>
    <w:p>
      <w:pPr>
        <w:spacing w:after="60"/>
        <w:ind w:left="397" w:hanging="198"/>
      </w:pPr>
      <w:r>
        <w:rPr>
          <w:b/>
        </w:rPr>
        <w:t xml:space="preserve">4. </w:t>
      </w:r>
      <w:r>
        <w:t>Publicar la API detrás de HTTPS y sustituir API_BASE_URL por el dominio productivo.</w:t>
      </w:r>
    </w:p>
    <w:p>
      <w:pPr>
        <w:spacing w:after="60"/>
        <w:ind w:left="397" w:hanging="198"/>
      </w:pPr>
      <w:r>
        <w:rPr>
          <w:b/>
        </w:rPr>
        <w:t xml:space="preserve">5. </w:t>
      </w:r>
      <w:r>
        <w:t>Ejecutar pruebas, revisar git diff, crear commit y subir la versión final al remoto.</w:t>
      </w:r>
    </w:p>
    <w:p>
      <w:pPr>
        <w:pStyle w:val="Heading2"/>
      </w:pPr>
      <w:r>
        <w:t>Conclusión</w:t>
      </w:r>
    </w:p>
    <w:p>
      <w:r>
        <w:t>La integración inicial REST solicitada está funcional y verificable en desarrollo local. El contrato define entradas, respuestas y errores; la app consume la API; los datos viajan cifrados; y las pruebas cubren salud, autenticación, CRUD y aislamiento entre usuarios. Para producción solo restan la configuración real de Firebase, HTTPS y la publicación de los cambios actuales.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20" w:right="992" w:bottom="935" w:left="992" w:header="34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7080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57A78"/>
      </w:pBdr>
    </w:pPr>
    <w:r>
      <w:rPr>
        <w:rFonts w:ascii="Aptos" w:hAnsi="Aptos"/>
        <w:b/>
        <w:color w:val="637282"/>
        <w:sz w:val="15"/>
      </w:rPr>
      <w:t>THEVAULT  /  ACTIVIDAD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7A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alvadorSarmiento/TheVault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08 Contrato e integración API REST TheVault</dc:title>
  <dc:subject>Contrato API, modelo JSON, evidencias y estado del repositorio</dc:subject>
  <dc:creator>Equipo TheVault</dc:creator>
  <cp:keywords>TheVault, FastAPI, Kotlin, REST, Firebase, JSON</cp:keywords>
  <dc:description>Documento mejorado y verificado contra la implementación local.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