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1167 − 6.47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1167 µs at 0% and 520 µs at 100%, both measured at the valve. The sense is inverted deliberately: with the direct mapping, bench measurement showed the 0% command — the state the rig falls back to on every abort, at start-up, and on a sensor fault — driving the valve toward open. The endpoints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across the calibrated 647 µs span is several percent of the valve’s entire useful travel — visible chatter. Two properties of this chain matter for control. First, a ball valve's flow characteristic is strongly nonlinear over its quarter-turn travel — 87° on this valve as measured,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 The run-level summaries carry the same field, and when it did change partway they report it as mixed rather than asserting a single origin the run did not have.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and bench measurement made it worse than assumed: released, it does not hold the commanded angle but drifts off it. On power loss the air valve therefore neither seals nor stays where it was, and which way it drifts, and how far, has not been characterized — an unmeasured quantity that decides whether a power cut leaves the feed shut or part open. The mechanical relief valve that would cover exactly that case is on order but not yet fitted, and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shut the feed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shuts the feed.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aborts to the safe state;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shuts the feed rather than abandoning the vessel mid-command), and the commissioning checklist includes a live kill test — unplugging the transducer mid-run must shut the feed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invokes a distinct full-close action rather than merely releasing the loop: it drives the servo to a dedicated seating pulse and holds it there for a fixed interval before letting go, so the stem arrives rather than being abandoned mid-travel. That pulse is meant to sit past the 0% endpoint, where flow actually stops; it has not been calibrated yet, so the rig seats at the 0% endpoint itself — the mechanism is in place, the number is not. What is in place and verified is the bound around it: every pulse the driver emits is clamped to the calibrated travel at the point of writing rather than in each caller, so neither a mistyped override nor an out-of-range command can drive the stem past its measured limits.</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2026-08-06T23:52:19.905Z</dcterms:created>
  <dcterms:modified xsi:type="dcterms:W3CDTF">2026-08-06T23:52:19.906Z</dcterms:modified>
</cp:coreProperties>
</file>

<file path=docProps/custom.xml><?xml version="1.0" encoding="utf-8"?>
<Properties xmlns="http://schemas.openxmlformats.org/officeDocument/2006/custom-properties" xmlns:vt="http://schemas.openxmlformats.org/officeDocument/2006/docPropsVTypes"/>
</file>