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and the water temperature alongside how it was obtained — sufficient to reconstruct the entire run. That last pair is written per sample rather than once per run, because a probe that stops answering keeps its last value while no longer measuring, and one label for the whole run would misdescribe every row on one side of that moment. The run-level summaries carry the same field, and when it did change partway they report it as mixed rather than asserting a single origin the run did not have.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the temperature with its provenance — viscosity follows from that temperature and k from the viscosity, so the permeability carries the origin of its own inputs instead of leaving it to be reconstructed from a configuration file that may since have changed.</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cover exactly that case is on order but not yet fitted —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panel valve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panel valve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water temperature (polled every 500 ms) — the temperature never shown without how it was obtained, whether measured, set in configuration, simulated, or coming from a probe that has stopped answering,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in front of every request — the interface that can open an air valve is never exposed bare. The application carries its own single-account login beneath that, which is honestly described as stopping casual access rather than a determined one: on the laboratory network it speaks plain HTTP, so the credential is only as private as the link carrying it, and the tunnel is what supplies transport security. Every endpoint requires that session, the command that stops a run included. Exempting the stop was recommended and verified harmless — stopping only ever moves the rig toward its safe state — and was declined, so the strict policy is a deliberate choice rather than an unexamined default. Its cost is acknowledged rather than hidden: an operator whose session has lapsed cannot stop from the page until signing in, which is why the interface names the fallback that needs no software at all — closing the gas-panel valve by hand.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2026-08-03T17:45:26.448Z</dcterms:created>
  <dcterms:modified xsi:type="dcterms:W3CDTF">2026-08-03T17:45:26.448Z</dcterms:modified>
</cp:coreProperties>
</file>

<file path=docProps/custom.xml><?xml version="1.0" encoding="utf-8"?>
<Properties xmlns="http://schemas.openxmlformats.org/officeDocument/2006/custom-properties" xmlns:vt="http://schemas.openxmlformats.org/officeDocument/2006/docPropsVTypes"/>
</file>