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in the bolted flange at its base. Compressed air from the laboratory gas panel pressurizes the headspace above a column of distilled water (air-over-water configuration); the pressurized water permeates the membrane and exits beneath it.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2026-08-01T05:56:36.579Z</dcterms:created>
  <dcterms:modified xsi:type="dcterms:W3CDTF">2026-08-01T05:56:36.585Z</dcterms:modified>
</cp:coreProperties>
</file>

<file path=docProps/custom.xml><?xml version="1.0" encoding="utf-8"?>
<Properties xmlns="http://schemas.openxmlformats.org/officeDocument/2006/custom-properties" xmlns:vt="http://schemas.openxmlformats.org/officeDocument/2006/docPropsVTypes"/>
</file>