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apparatus is not one vessel but a short chain of pieces. Compressed air from the laboratory gas panel is admitted through a quarter-turn ball valve into the headspace of a stainless-steel water tank; a dip tube reaching the tank floor carries the pressurized distilled water up and out, along a line carrying the existing analog pressure gauge, and into a separate cylindrical holder in which the membrane specimen — about a centimetre square — is clamped. The automation adds four elements to that chain (Fig. 1): (i) a hobby servomotor (20 kg·cm class) coupled through a 3-D-printed 2:1 reduction to the quarter-turn ball valve on the air inlet — the element that sets the pressure for everything downstream; (ii) a ratiometric pressure transducer (0–103.4 kPa, 0.5–4.5 V) teed into the line beside the existing analog gauge, deliberately at the holder inlet rather than back at the tank: the dip tube and line drop pressure in proportion to the flow they carry, so measuring at the holder leaves that drop upstream of the reading instead of between the sensor and the specimen; (iii) a waterproof DS18B20 digital thermometer immersed in the permeate stream, so viscosity is evaluated at the temperature of the water that crossed the membrane; and (iv) a 12 V three-way solenoid valve on the holder outlet that routes the permeate either to waste or to the graduated measurement container. An adjustable mechanical pressure-relief valve on the air side is on order as a hardware overpressure backstop but is not yet fitted; Section 8.1 states plainly what that costs today.</w:t>
      </w:r>
    </w:p>
    <w:p>
      <w:pPr>
        <w:spacing w:after="60" w:before="160"/>
        <w:jc w:val="center"/>
      </w:pPr>
      <w:r>
        <w:drawing>
          <wp:inline distT="0" distB="0" distL="0" distR="0">
            <wp:extent cx="53721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72100" cy="32194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2300 − 16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2300 µs at 0% and 700 µs at 100%. The sense is inverted deliberately: with the direct mapping, bench measurement showed the 0% command — the state the rig falls back to on every abort, at start-up, and on a sensor fault — driving the valve toward open. The endpoints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3721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72100" cy="31146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5530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53075" cy="26860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5530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53075" cy="3124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R² says the points lie on a line; the standard error says how firmly its slope is fixed — with three points the first can hide the second.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and the water temperature alongside how it was obtained — sufficient to reconstruct the entire run. That last pair is written per sample rather than once per run, because a probe that stops answering keeps its last value while no longer measuring, and one label for the whole run would misdescribe every row on one side of that moment. The run-level summaries carry the same field, and when it did change partway they report it as mixed rather than asserting a single origin the run did not have.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and the standard error of the slope propagated onto it, pore size, viscosity, and the temperature with its provenance — viscosity follows from that temperature and k from the viscosity, so the permeability carries the origin of its own inputs instead of leaving it to be reconstructed from a configuration file that may since have changed.</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48387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38700" cy="31813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with its standard error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and bench measurement made it worse than assumed: released, it does not hold the commanded angle but drifts off it. On power loss the air valve therefore neither seals nor stays where it was, and which way it drifts, and how far, has not been characterized — an unmeasured quantity that decides whether a power cut leaves the feed shut or part open. The mechanical relief valve that would cover exactly that case is on order but not yet fitted, and a purchase order is not a protective layer.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 a bound nobody has measured, which is worse than a high one. Two operating measures follow, neither of them a substitute: the supply regulator must be set low enough that its maximum delivery is itself a pressure the specimen tolerates, and the software keeps the operator ceiling-raise of Section 8.1 disabled until that number exists; and the panel valve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vent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panel valve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water temperature (polled every 500 ms) — the temperature never shown without how it was obtained, whether measured, set in configuration, simulated, or coming from a probe that has stopped answering,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in front of every request — the interface that can open an air valve is never exposed bare. The application carries its own single-account login beneath that, which is honestly described as stopping casual access rather than a determined one: on the laboratory network it speaks plain HTTP, so the credential is only as private as the link carrying it, and the tunnel is what supplies transport security. Every endpoint requires that session, the command that stops a run included. Exempting the stop was recommended and verified harmless — stopping only ever moves the rig toward its safe state — and was declined, so the strict policy is a deliberate choice rather than an unexamined default. Its cost is acknowledged rather than hidden: an operator whose session has lapsed cannot stop from the page until signing in, which is why the interface names the fallback that needs no software at all — closing the gas-panel valve by hand.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yet. The mechanical relief valve is on order but not fitted, and until it is mounted and set the limitation stands: every layer of Table 3 depends on the controller running (Section 8). Two passive measures restore part of it, and the order matters: lowering the air regulator's setting is free and bounds the worst case at its source — a dead controller with the valve open cannot take the cell past what the panel delivers — so it comes first; fitting the relief valve then covers what a regulator cannot, its own failure open, and is the only measure that vents rather than merely bounds.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been measured; the printed transmission carries a 2:1 reduction as margin, with a higher-torque servo as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 the last operator-dependent step. It is benign in a useful way: a fixed ±δV over a common window is the same absolute error in every flow rate, so it widens the fitted slope's uncertainty without biasing it, and preserves the equal-variance assumption behind the unweighted fit of Section 6 — about 0.4% in k at ±5 mL over 60 s, a window itself configurable from the rig's real flow. An electronic scale on the volume-entry API would close the step and give continuous flow curves.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exceeds what feedback alone rejects, a second transducer on the supply side (three ADC channels are spare) would let the controller see a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e900c6d392c00931b486466163f19e6a89d2cd.png"/><Relationship Id="rId8" Type="http://schemas.openxmlformats.org/officeDocument/2006/relationships/image" Target="media/76c707039b59c37ceaeb1e9c1fa7795c66dd0b0f.png"/><Relationship Id="rId9" Type="http://schemas.openxmlformats.org/officeDocument/2006/relationships/image" Target="media/71bcb3b0d24518bc39d6378af983f2c836a51610.png"/><Relationship Id="rId10" Type="http://schemas.openxmlformats.org/officeDocument/2006/relationships/image" Target="media/0c985733d9bc73116ae41469051724dc0c3a9f60.png"/><Relationship Id="rId11" Type="http://schemas.openxmlformats.org/officeDocument/2006/relationships/image" Target="media/802f8b430c628f73fce012591bb346beaa4386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2026-08-06T23:37:23.437Z</dcterms:created>
  <dcterms:modified xsi:type="dcterms:W3CDTF">2026-08-06T23:37:23.438Z</dcterms:modified>
</cp:coreProperties>
</file>

<file path=docProps/custom.xml><?xml version="1.0" encoding="utf-8"?>
<Properties xmlns="http://schemas.openxmlformats.org/officeDocument/2006/custom-properties" xmlns:vt="http://schemas.openxmlformats.org/officeDocument/2006/docPropsVTypes"/>
</file>