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Methods</w:t>
      </w:r>
    </w:p>
    <w:p>
      <w:pPr>
        <w:pStyle w:val="Heading1"/>
      </w:pPr>
      <w:r>
        <w:t>Reproducibility and software</w:t>
      </w:r>
    </w:p>
    <w:p>
      <w:r>
        <w:t xml:space="preserve">All analyses were run with Python 3 and the scripts in </w:t>
      </w:r>
      <w:r>
        <w:rPr>
          <w:rFonts w:ascii="Consolas" w:hAnsi="Consolas"/>
          <w:sz w:val="20"/>
        </w:rPr>
        <w:t>reproducibility/scripts/</w:t>
      </w:r>
      <w:r>
        <w:t xml:space="preserve">. Random procedures used fixed seeds recorded in the scripts. Source expression matrices and gene-annotation files were not redistributed in this release when they were downloaded directly from GEO or NCBI; accession numbers and retrieval metadata are listed in </w:t>
      </w:r>
      <w:r>
        <w:rPr>
          <w:rFonts w:ascii="Consolas" w:hAnsi="Consolas"/>
          <w:sz w:val="20"/>
        </w:rPr>
        <w:t>README_reproducibility.md</w:t>
      </w:r>
      <w:r>
        <w:t>.</w:t>
      </w:r>
    </w:p>
    <w:p>
      <w:pPr>
        <w:pStyle w:val="Heading1"/>
      </w:pPr>
      <w:r>
        <w:t>Primary cohort preprocessing</w:t>
      </w:r>
    </w:p>
    <w:p>
      <w:r>
        <w:t>GSE112278 3'-end RNA-sequencing counts were converted to log2 counts per million after a 0.5 pseudocount and library-size normalization. The platelet score was the mean of gene-wise standardized expression for PPBP, PF4, GP1BA, GP9, ITGA2B, ITGB3, TUBB1, TREML1, RGS18, SDPR/CAVIN2, SPARC, and CLU. This score is an RNA-abundance proxy and was not calibrated to platelet counts.</w:t>
      </w:r>
    </w:p>
    <w:p>
      <w:pPr>
        <w:pStyle w:val="Heading1"/>
      </w:pPr>
      <w:r>
        <w:t>Exact tests and resampling</w:t>
      </w:r>
    </w:p>
    <w:p>
      <w:r>
        <w:t>Paired score changes used exact sign-flip tests. Responder-versus-nonresponder contrasts used exact label permutations when feasible. The larger rituximab contrast used 100,000 seeded label permutations. Patient-bootstrap intervals used 10,000 stratified resamples. Matched-expression null sets used 5,000 seeded resamples.</w:t>
      </w:r>
    </w:p>
    <w:p>
      <w:pPr>
        <w:pStyle w:val="Heading1"/>
      </w:pPr>
      <w:r>
        <w:t>Gene-level and multivariate analyses</w:t>
      </w:r>
    </w:p>
    <w:p>
      <w:r>
        <w:t>The responder-associated set consisted of the 208 genes with the largest mean week-1 induction in responders. Because this selection and the descriptive summaries use the same cohort-level contrast, in-sample coupling, attenuation, and partial R2 are conditional descriptive estimates. Direct overlap with the platelet score was removed before multivariate analyses. Fully nested leave-one-patient-out folds repeated gene selection and overlap removal within the training set. The held-out patient's observed lineage score was used as an explanatory input; the resulting R2 is transcriptome reconstruction, not clinical-outcome prediction.</w:t>
      </w:r>
    </w:p>
    <w:p>
      <w:pPr>
        <w:pStyle w:val="Heading1"/>
      </w:pPr>
      <w:r>
        <w:t>Cross-lineage validation</w:t>
      </w:r>
    </w:p>
    <w:p>
      <w:r>
        <w:t>Erythroid and B-cell signatures were fixed from canonical markers without selecting genes on validation treatment effects. The same overlap-free partial-R2 and held-out reconstruction logic was applied to GSE186294 and GSE112594. Opposite changes in non-target scores were interpreted as closed-sum compositional substitution rather than universal negative-control failure.</w:t>
      </w:r>
    </w:p>
    <w:p>
      <w:pPr>
        <w:pStyle w:val="Heading1"/>
      </w:pPr>
      <w:r>
        <w:t>Composition-only benchmark</w:t>
      </w:r>
    </w:p>
    <w:p>
      <w:r>
        <w:t>For each of four donors in GSE107011, the mean purified B-cell profile was mixed with the donor-matched mean non-B immune-cell profile. B-cell fractions were sampled from overlapping intervals (3%–14% and 8%–19%), with 12 samples per group per donor, variable library size, and multinomial sampling. Donor fixed effects were included in both group models. A donor-stratified null-label calibration independently permuted group labels within donor in every replicate.</w:t>
      </w:r>
    </w:p>
    <w:p>
      <w:pPr>
        <w:pStyle w:val="Heading1"/>
      </w:pPr>
      <w:r>
        <w:t>Exploratory analyses</w:t>
      </w:r>
    </w:p>
    <w:p>
      <w:r>
        <w:t>Month-1 analyses were complete-case only. Young-platelet signatures were derived independently in paired purified platelet samples and residualized against the fixed platelet RNA score. Immunometabolic analyses were secondary, non-replicative audits and are not evidence of longitudinal eltrombopag mechanism.</w:t>
      </w:r>
    </w:p>
    <w:p>
      <w:pPr>
        <w:pStyle w:val="Title"/>
        <w:jc w:val="center"/>
      </w:pPr>
      <w:r>
        <w:t>Supplementary Results</w:t>
      </w:r>
    </w:p>
    <w:p>
      <w:pPr>
        <w:pStyle w:val="Heading1"/>
      </w:pPr>
      <w:r>
        <w:t>Signature robustness and patient exclusion</w:t>
      </w:r>
    </w:p>
    <w:p>
      <w:r>
        <w:t>Leave-one-marker-out platelet scores remained highly correlated with the fixed 12-gene score (r=0.997–1.000). Responder score changes remained positive (0.857–0.926), nonresponder changes remained negative (−0.400 to −0.346), and exact between-group P values ranged from 0.0329 to 0.0483. Across 15 leave-one-patient-out analyses, responder score changes ranged from 0.671 to 0.976, median top-208 coupling ranged from 0.863 to 0.935, and attenuation ranged from 60.1% to 91.4%.</w:t>
      </w:r>
    </w:p>
    <w:p>
      <w:pPr>
        <w:pStyle w:val="Heading1"/>
      </w:pPr>
      <w:r>
        <w:t>Month-1 and young-platelet sensitivity analyses</w:t>
      </w:r>
    </w:p>
    <w:p>
      <w:r>
        <w:t>Among complete cases, responder month-1 versus baseline score change was 0.496 (n=9; exact P=0.00781), while the nonresponder change was 0.002 (n=5; P=1.00). The responder week-1 to month-1 change was −0.192 (n=8; P=0.0859). Abundance-adjusted young-minus-mature platelet residuals were not significant across the 25-, 50-, or 100-gene definitions; responder P values ranged from 0.404 to 0.650.</w:t>
      </w:r>
    </w:p>
    <w:p>
      <w:pPr>
        <w:pStyle w:val="Heading1"/>
      </w:pPr>
      <w:r>
        <w:t>Cross-lineage specificity</w:t>
      </w:r>
    </w:p>
    <w:p>
      <w:r>
        <w:t>The erythroid score increased after erythropoietin (change 1.187; n=10; exact P=0.001953; partial R2=0.356). The B-cell score decreased after rituximab relative to placebo (difference −1.912; active n=25, placebo n=10; permutation P=0.00001; partial R2=0.198). Fully nested held-out R2 values were 0.066 and 0.158, respectively.</w:t>
      </w:r>
    </w:p>
    <w:p>
      <w:pPr>
        <w:pStyle w:val="Heading1"/>
      </w:pPr>
      <w:r>
        <w:t>Composition-only benchmark calibration</w:t>
      </w:r>
    </w:p>
    <w:p>
      <w:r>
        <w:t>Across 100 donor-adjusted composition-only experiments, the B-cell score correlated with the known B-cell fraction at median r=0.967. Conventional testing produced 3,037 FDR-significant genes at the median, whereas B-cell-score adjustment produced 0 (2.5th–97.5th percentile, 0–2). The donor-stratified null-label calibration produced 0 discoveries at the median (0–1), supporting type-I-error calibration under no group–composition association.</w:t>
      </w:r>
    </w:p>
    <w:p>
      <w:pPr>
        <w:pStyle w:val="Heading1"/>
      </w:pPr>
      <w:r>
        <w:t>Immunometabolic audit</w:t>
      </w:r>
    </w:p>
    <w:p>
      <w:r>
        <w:t>Platelet adjustment attenuated apparent whole-blood lipid-pathway effects. Purified T-cell and donor-level bone-marrow datasets did not constitute longitudinal eltrombopag replication and are therefore reported as secondary interpretive audits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color w:val="646464"/>
        <w:sz w:val="18"/>
      </w:rPr>
      <w:t>Supplementary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480" w:lineRule="auto"/>
      <w:ind w:left="720" w:hanging="36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480" w:lineRule="auto"/>
      <w:ind w:left="720" w:hanging="36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subject/>
  <dc:creator>Ye Zhang; Jun Peng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