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Cover letter to Blood Advances</w:t>
      </w:r>
    </w:p>
    <w:p>
      <w:r>
        <w:t>Dear Editors,</w:t>
      </w:r>
    </w:p>
    <w:p>
      <w:r>
        <w:t>We submit the manuscript, “Therapy-driven lineage shifts can shape apparent whole-blood treatment signatures,” for consideration as an Original Research article in Blood Advances.</w:t>
      </w:r>
    </w:p>
    <w:p>
      <w:r>
        <w:t>Whole-blood transcriptomic studies commonly interpret treatment-associated gene-expression changes as molecular reprogramming. This interpretation becomes difficult when the intervention itself restores or depletes a circulating blood lineage. Using longitudinal whole-blood RNA sequencing from patients with immune thrombocytopenia treated with eltrombopag, we show that an externally defined platelet RNA-abundance score accounts for most of the selected responder-associated transcriptional signal and materially improves held-out transcriptome reconstruction in a fully nested leave-one-patient-out analysis. No individual residual gene remains significant after platelet-score adjustment. A selection-independent 11,863-gene analysis yielded genome-wide partial R2 estimates of 0.160 before and 0.108 after gene-wise variance standardization, defining the scope of the effect beyond the selected responder-associated gene set.</w:t>
      </w:r>
    </w:p>
    <w:p>
      <w:r>
        <w:t>The study extends beyond a single public-cohort reanalysis in two ways. First, the same lineage-aware framework transports to independent erythropoietin-associated erythroid recovery and randomized rituximab-associated B-cell depletion cohorts. Second, a donor-adjusted composition-only benchmark generated from purified human immune-cell profiles establishes the ground truth: thousands of apparently differential genes arise while within-cell profiles are fixed, and lineage-score adjustment reduces the median number of FDR-significant genes to zero.</w:t>
      </w:r>
    </w:p>
    <w:p>
      <w:r>
        <w:t xml:space="preserve">We believe the work is relevant to </w:t>
      </w:r>
      <w:r>
        <w:rPr>
          <w:i/>
        </w:rPr>
        <w:t>Blood Advances</w:t>
      </w:r>
      <w:r>
        <w:t xml:space="preserve"> because it addresses a general interpretive problem in hematologic biomarker studies while retaining a clinically grounded ITP example. The findings do not dismiss lineage-derived RNA as technical noise; instead, they distinguish a biologically meaningful treatment phenotype from evidence of cell-intrinsic regulation. The manuscript also defines the limits of inference: RNA scores are not calibrated blood-cell counts, the primary cohort is small, and the cross-lineage cohorts validate the analytical principle rather than eltrombopag efficacy.</w:t>
      </w:r>
    </w:p>
    <w:p>
      <w:r>
        <w:t>All analyzed source data are publicly available. The manuscript is not under consideration elsewhere. Code, fixed signatures, subject-level results, and benchmark outputs are publicly available at https://github.com/Salvation-Zhang/TISTA_Blood_Advances_reproducibility, version v1.1.0, and permanently archived at Zenodo (concept doi:10.5281/zenodo.21557317). Conflicts of interest, funding, author contributions, and data-sharing statements are provided in the submission materials.</w:t>
      </w:r>
    </w:p>
    <w:p>
      <w:r>
        <w:t>Thank you for considering our work.</w:t>
      </w:r>
    </w:p>
    <w:p>
      <w:r>
        <w:t>Sincerely,</w:t>
      </w:r>
    </w:p>
    <w:p>
      <w:r>
        <w:t>Jun Peng</w:t>
      </w:r>
    </w:p>
    <w:p>
      <w:r>
        <w:t>Department of Hematology, Qilu Hospital of Shandong University</w:t>
      </w:r>
    </w:p>
    <w:p>
      <w:r>
        <w:t>Jinan, Shandong 250012, China</w:t>
      </w:r>
    </w:p>
    <w:p>
      <w:r>
        <w:t>junpeng@163.com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color w:val="646464"/>
        <w:sz w:val="18"/>
      </w:rPr>
      <w:t>Cover letter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8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480" w:lineRule="auto"/>
      <w:ind w:left="720" w:hanging="36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480" w:lineRule="auto"/>
      <w:ind w:left="720" w:hanging="360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subject/>
  <dc:creator>Ye Zhang; Jun Peng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