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Sweet Equity Valuation — A First-Timer's Guide</w:t>
      </w:r>
    </w:p>
    <w:p>
      <w:pPr>
        <w:spacing w:after="160"/>
      </w:pPr>
      <w:r>
        <w:rPr>
          <w:i/>
        </w:rPr>
        <w:t>Everything you need to understand and review a sweet equity valuation built with Black-Scholes and Monte Carlo — explained from zero, with a running numerical example that matches the Excel model ("Sweet Equity Valuation Model.xlsx") sheet by sheet.</w:t>
      </w:r>
    </w:p>
    <w:p>
      <w:pPr>
        <w:pStyle w:val="Heading1"/>
      </w:pPr>
      <w:r>
        <w:t>1. The whole idea on one page</w:t>
      </w:r>
    </w:p>
    <w:p>
      <w:pPr>
        <w:spacing w:after="160"/>
      </w:pPr>
      <w:r>
        <w:rPr>
          <w:b/>
        </w:rPr>
        <w:t>Start with a house.</w:t>
      </w:r>
      <w:r>
        <w:t xml:space="preserve"> Imagine a house worth €300,000 with a €280,000 mortgage. Your equity is only €20,000 — but if house prices rise 10%, the house gains €30,000 and </w:t>
      </w:r>
      <w:r>
        <w:rPr>
          <w:i/>
        </w:rPr>
        <w:t>your</w:t>
      </w:r>
      <w:r>
        <w:t xml:space="preserve"> equity goes from €20,000 to €50,000: </w:t>
      </w:r>
      <w:r>
        <w:rPr>
          <w:b/>
        </w:rPr>
        <w:t>+150%</w:t>
      </w:r>
      <w:r>
        <w:t>. If prices fall 10%, your equity is wiped out. A small, highly-leveraged slice of a big asset behaves explosively in both directions.</w:t>
      </w:r>
    </w:p>
    <w:p>
      <w:pPr>
        <w:spacing w:after="160"/>
      </w:pPr>
      <w:r>
        <w:rPr>
          <w:b/>
        </w:rPr>
        <w:t>Sweet equity is exactly that house.</w:t>
      </w:r>
      <w:r>
        <w:t xml:space="preserve"> In a private equity buyout, the company is bought mostly with borrowed money and with special instruments held by the investor that behave like a mortgage: they must be repaid first, </w:t>
      </w:r>
      <w:r>
        <w:rPr>
          <w:i/>
        </w:rPr>
        <w:t>with interest</w:t>
      </w:r>
      <w:r>
        <w:t>, before the ordinary shares get anything. Management buys ordinary shares — the €20,000 slice. Cheap to buy, potentially very valuable, possibly worth nothing.</w:t>
      </w:r>
    </w:p>
    <w:p>
      <w:pPr>
        <w:spacing w:after="160"/>
      </w:pPr>
      <w:r>
        <w:rPr>
          <w:b/>
        </w:rPr>
        <w:t>Why we need option mathematics.</w:t>
      </w:r>
      <w:r>
        <w:t xml:space="preserve"> Ask: "what is that €20,000 house-equity slice worth if the mortgage were €320,000 — more than the house is worth today?" Naïve arithmetic says: €300,000 − €320,000 = negative, so zero. But that is wrong: the owner doesn't have to settle today. The sale happens in ~4 years, and house prices move. There is a real chance the house is worth €400,000 by then, and the slice pays out handsomely; if not, the owner just loses the small amount paid. </w:t>
      </w:r>
      <w:r>
        <w:rPr>
          <w:b/>
        </w:rPr>
        <w:t>The right to all the upside above a threshold, with limited downside, is precisely a call option</w:t>
      </w:r>
      <w:r>
        <w:t xml:space="preserve"> — and pricing that right is what Black-Scholes and Monte Carlo do. The chance of a big payoff is worth real money </w:t>
      </w:r>
      <w:r>
        <w:rPr>
          <w:i/>
        </w:rPr>
        <w:t>today</w:t>
      </w:r>
      <w:r>
        <w:t>, even when today's arithmetic says zero.</w:t>
      </w:r>
    </w:p>
    <w:p>
      <w:pPr>
        <w:spacing w:after="160"/>
      </w:pPr>
      <w:r>
        <w:t xml:space="preserve">That is the entire subject. Everything below is detail: </w:t>
      </w:r>
      <w:r>
        <w:rPr>
          <w:i/>
        </w:rPr>
        <w:t>what exactly is the threshold (the documents tell you), how likely is the upside (volatility and time tell you), and what is the fair price of the ticket (the models tell you).</w:t>
      </w:r>
    </w:p>
    <w:p>
      <w:pPr>
        <w:pStyle w:val="Heading1"/>
      </w:pPr>
      <w:r>
        <w:t>2. Who's who: a typical capital structure with 5 share classes</w:t>
      </w:r>
    </w:p>
    <w:p>
      <w:pPr>
        <w:spacing w:after="160"/>
      </w:pPr>
      <w:r>
        <w:t xml:space="preserve">Here is the hypothetical deal used throughout this guide and in every sheet of the Excel model. A private equity fund (the </w:t>
      </w:r>
      <w:r>
        <w:rPr>
          <w:b/>
        </w:rPr>
        <w:t>"sponsor"</w:t>
      </w:r>
      <w:r>
        <w:t>) buys a company; management co-invests. At completion, the money going in looks like this: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Class (who holds it)</w:t>
            </w:r>
          </w:p>
        </w:tc>
        <w:tc>
          <w:tcPr>
            <w:tcW w:type="dxa" w:w="1728"/>
          </w:tcPr>
          <w:p>
            <w:r>
              <w:rPr>
                <w:b/>
              </w:rPr>
              <w:t>Amount in</w:t>
            </w:r>
          </w:p>
        </w:tc>
        <w:tc>
          <w:tcPr>
            <w:tcW w:type="dxa" w:w="1728"/>
          </w:tcPr>
          <w:p>
            <w:r>
              <w:rPr>
                <w:b/>
              </w:rPr>
              <w:t>Yield</w:t>
            </w:r>
          </w:p>
        </w:tc>
        <w:tc>
          <w:tcPr>
            <w:tcW w:type="dxa" w:w="1728"/>
          </w:tcPr>
          <w:p>
            <w:r>
              <w:rPr>
                <w:b/>
              </w:rPr>
              <w:t>Rank at exit</w:t>
            </w:r>
          </w:p>
        </w:tc>
      </w:tr>
      <w:tr>
        <w:tc>
          <w:tcPr>
            <w:tcW w:type="dxa" w:w="1728"/>
          </w:tcPr>
          <w:p>
            <w:r>
              <w:t>1</w:t>
            </w:r>
          </w:p>
        </w:tc>
        <w:tc>
          <w:tcPr>
            <w:tcW w:type="dxa" w:w="1728"/>
          </w:tcPr>
          <w:p>
            <w:r>
              <w:rPr>
                <w:b/>
              </w:rPr>
              <w:t>Shareholder loan notes</w:t>
            </w:r>
            <w:r>
              <w:t xml:space="preserve"> — sponsor</w:t>
            </w:r>
          </w:p>
        </w:tc>
        <w:tc>
          <w:tcPr>
            <w:tcW w:type="dxa" w:w="1728"/>
          </w:tcPr>
          <w:p>
            <w:r>
              <w:t>€180m</w:t>
            </w:r>
          </w:p>
        </w:tc>
        <w:tc>
          <w:tcPr>
            <w:tcW w:type="dxa" w:w="1728"/>
          </w:tcPr>
          <w:p>
            <w:r>
              <w:t>10% "PIK" (rolls up, see below)</w:t>
            </w:r>
          </w:p>
        </w:tc>
        <w:tc>
          <w:tcPr>
            <w:tcW w:type="dxa" w:w="1728"/>
          </w:tcPr>
          <w:p>
            <w:r>
              <w:t>Paid 1st</w:t>
            </w:r>
          </w:p>
        </w:tc>
      </w:tr>
      <w:tr>
        <w:tc>
          <w:tcPr>
            <w:tcW w:type="dxa" w:w="1728"/>
          </w:tcPr>
          <w:p>
            <w:r>
              <w:t>2</w:t>
            </w:r>
          </w:p>
        </w:tc>
        <w:tc>
          <w:tcPr>
            <w:tcW w:type="dxa" w:w="1728"/>
          </w:tcPr>
          <w:p>
            <w:r>
              <w:rPr>
                <w:b/>
              </w:rPr>
              <w:t>Preference shares</w:t>
            </w:r>
            <w:r>
              <w:t xml:space="preserve"> — sponsor</w:t>
            </w:r>
          </w:p>
        </w:tc>
        <w:tc>
          <w:tcPr>
            <w:tcW w:type="dxa" w:w="1728"/>
          </w:tcPr>
          <w:p>
            <w:r>
              <w:t>€30m</w:t>
            </w:r>
          </w:p>
        </w:tc>
        <w:tc>
          <w:tcPr>
            <w:tcW w:type="dxa" w:w="1728"/>
          </w:tcPr>
          <w:p>
            <w:r>
              <w:t>8% cumulative</w:t>
            </w:r>
          </w:p>
        </w:tc>
        <w:tc>
          <w:tcPr>
            <w:tcW w:type="dxa" w:w="1728"/>
          </w:tcPr>
          <w:p>
            <w:r>
              <w:t>Paid 2nd</w:t>
            </w:r>
          </w:p>
        </w:tc>
      </w:tr>
      <w:tr>
        <w:tc>
          <w:tcPr>
            <w:tcW w:type="dxa" w:w="1728"/>
          </w:tcPr>
          <w:p>
            <w:r>
              <w:t>3</w:t>
            </w:r>
          </w:p>
        </w:tc>
        <w:tc>
          <w:tcPr>
            <w:tcW w:type="dxa" w:w="1728"/>
          </w:tcPr>
          <w:p>
            <w:r>
              <w:rPr>
                <w:b/>
              </w:rPr>
              <w:t>Management rollover loan notes</w:t>
            </w:r>
            <w:r>
              <w:t xml:space="preserve"> — management</w:t>
            </w:r>
          </w:p>
        </w:tc>
        <w:tc>
          <w:tcPr>
            <w:tcW w:type="dxa" w:w="1728"/>
          </w:tcPr>
          <w:p>
            <w:r>
              <w:t>€10m</w:t>
            </w:r>
          </w:p>
        </w:tc>
        <w:tc>
          <w:tcPr>
            <w:tcW w:type="dxa" w:w="1728"/>
          </w:tcPr>
          <w:p>
            <w:r>
              <w:t>10% PIK</w:t>
            </w:r>
          </w:p>
        </w:tc>
        <w:tc>
          <w:tcPr>
            <w:tcW w:type="dxa" w:w="1728"/>
          </w:tcPr>
          <w:p>
            <w:r>
              <w:t>Paid 3rd</w:t>
            </w:r>
          </w:p>
        </w:tc>
      </w:tr>
      <w:tr>
        <w:tc>
          <w:tcPr>
            <w:tcW w:type="dxa" w:w="1728"/>
          </w:tcPr>
          <w:p>
            <w:r>
              <w:t>4</w:t>
            </w:r>
          </w:p>
        </w:tc>
        <w:tc>
          <w:tcPr>
            <w:tcW w:type="dxa" w:w="1728"/>
          </w:tcPr>
          <w:p>
            <w:r>
              <w:rPr>
                <w:b/>
              </w:rPr>
              <w:t>A ordinary shares</w:t>
            </w:r>
            <w:r>
              <w:t xml:space="preserve"> — sponsor</w:t>
            </w:r>
          </w:p>
        </w:tc>
        <w:tc>
          <w:tcPr>
            <w:tcW w:type="dxa" w:w="1728"/>
          </w:tcPr>
          <w:p>
            <w:r>
              <w:t>€17m</w:t>
            </w:r>
          </w:p>
        </w:tc>
        <w:tc>
          <w:tcPr>
            <w:tcW w:type="dxa" w:w="1728"/>
          </w:tcPr>
          <w:p>
            <w:r>
              <w:t>—</w:t>
            </w:r>
          </w:p>
        </w:tc>
        <w:tc>
          <w:tcPr>
            <w:tcW w:type="dxa" w:w="1728"/>
          </w:tcPr>
          <w:p>
            <w:r>
              <w:t>Paid last, 85% of the rest</w:t>
            </w:r>
          </w:p>
        </w:tc>
      </w:tr>
      <w:tr>
        <w:tc>
          <w:tcPr>
            <w:tcW w:type="dxa" w:w="1728"/>
          </w:tcPr>
          <w:p>
            <w:r>
              <w:t>5</w:t>
            </w:r>
          </w:p>
        </w:tc>
        <w:tc>
          <w:tcPr>
            <w:tcW w:type="dxa" w:w="1728"/>
          </w:tcPr>
          <w:p>
            <w:r>
              <w:rPr>
                <w:b/>
              </w:rPr>
              <w:t>B ordinary shares = THE SWEET EQUITY</w:t>
            </w:r>
            <w:r>
              <w:t xml:space="preserve"> — management</w:t>
            </w:r>
          </w:p>
        </w:tc>
        <w:tc>
          <w:tcPr>
            <w:tcW w:type="dxa" w:w="1728"/>
          </w:tcPr>
          <w:p>
            <w:r>
              <w:t>€3m</w:t>
            </w:r>
          </w:p>
        </w:tc>
        <w:tc>
          <w:tcPr>
            <w:tcW w:type="dxa" w:w="1728"/>
          </w:tcPr>
          <w:p>
            <w:r>
              <w:t>—</w:t>
            </w:r>
          </w:p>
        </w:tc>
        <w:tc>
          <w:tcPr>
            <w:tcW w:type="dxa" w:w="1728"/>
          </w:tcPr>
          <w:p>
            <w:r>
              <w:t>Paid last, 15% of the rest (20% if a "ratchet" triggers)</w:t>
            </w:r>
          </w:p>
        </w:tc>
      </w:tr>
      <w:tr>
        <w:tc>
          <w:tcPr>
            <w:tcW w:type="dxa" w:w="1728"/>
          </w:tcPr>
          <w:p/>
        </w:tc>
        <w:tc>
          <w:tcPr>
            <w:tcW w:type="dxa" w:w="1728"/>
          </w:tcPr>
          <w:p>
            <w:r>
              <w:rPr>
                <w:b/>
              </w:rPr>
              <w:t>Total equity funding = the "pot" (V₀)</w:t>
            </w:r>
          </w:p>
        </w:tc>
        <w:tc>
          <w:tcPr>
            <w:tcW w:type="dxa" w:w="1728"/>
          </w:tcPr>
          <w:p>
            <w:r>
              <w:rPr>
                <w:b/>
              </w:rPr>
              <w:t>€240m</w:t>
            </w:r>
          </w:p>
        </w:tc>
        <w:tc>
          <w:tcPr>
            <w:tcW w:type="dxa" w:w="1728"/>
          </w:tcPr>
          <w:p/>
        </w:tc>
        <w:tc>
          <w:tcPr>
            <w:tcW w:type="dxa" w:w="1728"/>
          </w:tcPr>
          <w:p/>
        </w:tc>
      </w:tr>
    </w:tbl>
    <w:p/>
    <w:p>
      <w:pPr>
        <w:spacing w:after="160"/>
      </w:pPr>
      <w:r>
        <w:rPr>
          <w:i/>
        </w:rPr>
        <w:t xml:space="preserve">(On top of this sits normal bank debt, which we treat as already deducted: our €240m "pot" is everything </w:t>
      </w:r>
      <w:r>
        <w:rPr>
          <w:i/>
        </w:rPr>
        <w:t>after</w:t>
      </w:r>
      <w:r>
        <w:rPr>
          <w:i/>
        </w:rPr>
        <w:t xml:space="preserve"> the bank is repaid.)</w:t>
      </w:r>
    </w:p>
    <w:p>
      <w:pPr>
        <w:spacing w:after="160"/>
      </w:pPr>
      <w:r>
        <w:t xml:space="preserve">Read the table like a queue at exit: when the company is sold in a few years, the sale proceeds walk down the rows. Row 1 must be repaid </w:t>
      </w:r>
      <w:r>
        <w:rPr>
          <w:b/>
        </w:rPr>
        <w:t>in full, with all its rolled-up interest</w:t>
      </w:r>
      <w:r>
        <w:t>, before row 2 gets a cent, and so on. The ordinary shares at the bottom split whatever is left over — 85/15 between sponsor and management.</w:t>
      </w:r>
    </w:p>
    <w:p>
      <w:pPr>
        <w:spacing w:after="160"/>
      </w:pPr>
      <w:r>
        <w:t>Words you will meet constantly:</w:t>
      </w:r>
    </w:p>
    <w:p>
      <w:pPr>
        <w:pStyle w:val="ListBullet"/>
      </w:pPr>
      <w:r>
        <w:rPr>
          <w:b/>
        </w:rPr>
        <w:t>PIK ("payment in kind")</w:t>
      </w:r>
      <w:r>
        <w:t>: interest that is not paid in cash but added to</w:t>
      </w:r>
    </w:p>
    <w:p>
      <w:pPr>
        <w:spacing w:after="160"/>
      </w:pPr>
      <w:r>
        <w:t xml:space="preserve">the balance, compounding. €180m at 10% PIK becomes €180 × 1.10⁴ ≈ </w:t>
      </w:r>
      <w:r>
        <w:rPr>
          <w:b/>
        </w:rPr>
        <w:t>€264m</w:t>
      </w:r>
      <w:r>
        <w:t xml:space="preserve"> after 4 years. The queue ahead of the ordinary shares </w:t>
      </w:r>
      <w:r>
        <w:rPr>
          <w:i/>
        </w:rPr>
        <w:t>grows every year</w:t>
      </w:r>
      <w:r>
        <w:t>.</w:t>
      </w:r>
    </w:p>
    <w:p>
      <w:pPr>
        <w:pStyle w:val="ListBullet"/>
      </w:pPr>
      <w:r>
        <w:rPr>
          <w:b/>
        </w:rPr>
        <w:t>The institutional strip</w:t>
      </w:r>
      <w:r>
        <w:t>: rows 1–2 — the sponsor's "mortgage-like"</w:t>
      </w:r>
    </w:p>
    <w:p>
      <w:pPr>
        <w:spacing w:after="160"/>
      </w:pPr>
      <w:r>
        <w:t>instruments.</w:t>
      </w:r>
    </w:p>
    <w:p>
      <w:pPr>
        <w:pStyle w:val="ListBullet"/>
      </w:pPr>
      <w:r>
        <w:rPr>
          <w:b/>
        </w:rPr>
        <w:t>Rollover</w:t>
      </w:r>
      <w:r>
        <w:t>: managers often must reinvest part of their sale proceeds from</w:t>
      </w:r>
    </w:p>
    <w:p>
      <w:pPr>
        <w:spacing w:after="160"/>
      </w:pPr>
      <w:r>
        <w:t>the old deal; it typically goes into loan notes (row 3), ranking behind the sponsor's strip but ahead of the ordinaries.</w:t>
      </w:r>
    </w:p>
    <w:p>
      <w:pPr>
        <w:pStyle w:val="ListBullet"/>
      </w:pPr>
      <w:r>
        <w:rPr>
          <w:b/>
        </w:rPr>
        <w:t>The hurdle</w:t>
      </w:r>
      <w:r>
        <w:t>: the total the queue ahead of the ordinaries adds up to at</w:t>
      </w:r>
    </w:p>
    <w:p>
      <w:pPr>
        <w:spacing w:after="160"/>
      </w:pPr>
      <w:r>
        <w:t xml:space="preserve">exit. Here: 264 + 41 + 15 ≈ </w:t>
      </w:r>
      <w:r>
        <w:rPr>
          <w:b/>
        </w:rPr>
        <w:t>€319m</w:t>
      </w:r>
      <w:r>
        <w:t xml:space="preserve">. Below €319m of exit proceeds, the ordinary shares get </w:t>
      </w:r>
      <w:r>
        <w:rPr>
          <w:b/>
        </w:rPr>
        <w:t>nothing</w:t>
      </w:r>
      <w:r>
        <w:t>.</w:t>
      </w:r>
    </w:p>
    <w:p>
      <w:pPr>
        <w:pStyle w:val="ListBullet"/>
      </w:pPr>
      <w:r>
        <w:rPr>
          <w:b/>
        </w:rPr>
        <w:t>Sweet equity</w:t>
      </w:r>
      <w:r>
        <w:t>: the B ordinary shares. "Sweet" because management pays</w:t>
      </w:r>
    </w:p>
    <w:p>
      <w:pPr>
        <w:spacing w:after="160"/>
      </w:pPr>
      <w:r>
        <w:t>little (€3m) for a big share (15%) of everything above the hurdle — while the sponsor's €227m mostly just earns its fixed yield.</w:t>
      </w:r>
    </w:p>
    <w:p>
      <w:pPr>
        <w:pStyle w:val="ListBullet"/>
      </w:pPr>
      <w:r>
        <w:rPr>
          <w:b/>
        </w:rPr>
        <w:t>Envy ratio</w:t>
      </w:r>
      <w:r>
        <w:t>: how much better management's terms are than the sponsor's,</w:t>
      </w:r>
    </w:p>
    <w:p>
      <w:pPr>
        <w:spacing w:after="160"/>
      </w:pPr>
      <w:r>
        <w:t>per euro invested. A sanity-check number, typically 2–5×.</w:t>
      </w:r>
    </w:p>
    <w:p>
      <w:pPr>
        <w:pStyle w:val="ListBullet"/>
      </w:pPr>
      <w:r>
        <w:rPr>
          <w:b/>
        </w:rPr>
        <w:t>Ratchet</w:t>
      </w:r>
      <w:r>
        <w:t>: a bonus for management: if the sponsor does very well (e.g.</w:t>
      </w:r>
    </w:p>
    <w:p>
      <w:pPr>
        <w:spacing w:after="160"/>
      </w:pPr>
      <w:r>
        <w:t>makes ≥ 2.5× its money), management's 15% steps up to 20%.</w:t>
      </w:r>
    </w:p>
    <w:p>
      <w:pPr>
        <w:pStyle w:val="ListBullet"/>
      </w:pPr>
      <w:r>
        <w:rPr>
          <w:b/>
        </w:rPr>
        <w:t>Leaver provisions</w:t>
      </w:r>
      <w:r>
        <w:t>: if a manager quits early, shares may be forfeited or</w:t>
      </w:r>
    </w:p>
    <w:p>
      <w:pPr>
        <w:spacing w:after="160"/>
      </w:pPr>
      <w:r>
        <w:t>bought back cheaply ("bad leaver"). This reduces value.</w:t>
      </w:r>
    </w:p>
    <w:p>
      <w:pPr>
        <w:pStyle w:val="Heading1"/>
      </w:pPr>
      <w:r>
        <w:t>3. The waterfall: follow the money at three exits</w:t>
      </w:r>
    </w:p>
    <w:p>
      <w:pPr>
        <w:spacing w:after="160"/>
      </w:pPr>
      <w:r>
        <w:t xml:space="preserve">The distribution queue is called the </w:t>
      </w:r>
      <w:r>
        <w:rPr>
          <w:b/>
        </w:rPr>
        <w:t>waterfall</w:t>
      </w:r>
      <w:r>
        <w:t xml:space="preserve"> — money pours in at the top, each class fills its bucket, and only overflow reaches the next bucket. Take our deal, sold after 4 years. The queue at that point (with rolled-up interest) is: loans €263.5m → prefs €40.8m → rollover notes €14.6m → hurdle €319m. Three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Bad exit: €200m</w:t>
            </w:r>
          </w:p>
        </w:tc>
        <w:tc>
          <w:tcPr>
            <w:tcW w:type="dxa" w:w="2160"/>
          </w:tcPr>
          <w:p>
            <w:r>
              <w:rPr>
                <w:b/>
              </w:rPr>
              <w:t>Break-even-ish: €320m</w:t>
            </w:r>
          </w:p>
        </w:tc>
        <w:tc>
          <w:tcPr>
            <w:tcW w:type="dxa" w:w="2160"/>
          </w:tcPr>
          <w:p>
            <w:r>
              <w:rPr>
                <w:b/>
              </w:rPr>
              <w:t>Good exit: €500m</w:t>
            </w:r>
          </w:p>
        </w:tc>
      </w:tr>
      <w:tr>
        <w:tc>
          <w:tcPr>
            <w:tcW w:type="dxa" w:w="2160"/>
          </w:tcPr>
          <w:p>
            <w:r>
              <w:t>1. Shareholder loans (owed €263.5m)</w:t>
            </w:r>
          </w:p>
        </w:tc>
        <w:tc>
          <w:tcPr>
            <w:tcW w:type="dxa" w:w="2160"/>
          </w:tcPr>
          <w:p>
            <w:r>
              <w:t xml:space="preserve">€200m </w:t>
            </w:r>
            <w:r>
              <w:rPr>
                <w:i/>
              </w:rPr>
              <w:t>(runs out!)</w:t>
            </w:r>
          </w:p>
        </w:tc>
        <w:tc>
          <w:tcPr>
            <w:tcW w:type="dxa" w:w="2160"/>
          </w:tcPr>
          <w:p>
            <w:r>
              <w:t>€263.5m ✓</w:t>
            </w:r>
          </w:p>
        </w:tc>
        <w:tc>
          <w:tcPr>
            <w:tcW w:type="dxa" w:w="2160"/>
          </w:tcPr>
          <w:p>
            <w:r>
              <w:t>€263.5m ✓</w:t>
            </w:r>
          </w:p>
        </w:tc>
      </w:tr>
      <w:tr>
        <w:tc>
          <w:tcPr>
            <w:tcW w:type="dxa" w:w="2160"/>
          </w:tcPr>
          <w:p>
            <w:r>
              <w:t>2. Preference shares (owed €40.8m)</w:t>
            </w:r>
          </w:p>
        </w:tc>
        <w:tc>
          <w:tcPr>
            <w:tcW w:type="dxa" w:w="2160"/>
          </w:tcPr>
          <w:p>
            <w:r>
              <w:t>€0</w:t>
            </w:r>
          </w:p>
        </w:tc>
        <w:tc>
          <w:tcPr>
            <w:tcW w:type="dxa" w:w="2160"/>
          </w:tcPr>
          <w:p>
            <w:r>
              <w:t>€40.8m ✓</w:t>
            </w:r>
          </w:p>
        </w:tc>
        <w:tc>
          <w:tcPr>
            <w:tcW w:type="dxa" w:w="2160"/>
          </w:tcPr>
          <w:p>
            <w:r>
              <w:t>€40.8m ✓</w:t>
            </w:r>
          </w:p>
        </w:tc>
      </w:tr>
      <w:tr>
        <w:tc>
          <w:tcPr>
            <w:tcW w:type="dxa" w:w="2160"/>
          </w:tcPr>
          <w:p>
            <w:r>
              <w:t>3. Rollover notes (owed €14.6m)</w:t>
            </w:r>
          </w:p>
        </w:tc>
        <w:tc>
          <w:tcPr>
            <w:tcW w:type="dxa" w:w="2160"/>
          </w:tcPr>
          <w:p>
            <w:r>
              <w:t>€0</w:t>
            </w:r>
          </w:p>
        </w:tc>
        <w:tc>
          <w:tcPr>
            <w:tcW w:type="dxa" w:w="2160"/>
          </w:tcPr>
          <w:p>
            <w:r>
              <w:t>€14.6m ✓</w:t>
            </w:r>
          </w:p>
        </w:tc>
        <w:tc>
          <w:tcPr>
            <w:tcW w:type="dxa" w:w="2160"/>
          </w:tcPr>
          <w:p>
            <w:r>
              <w:t>€14.6m ✓</w:t>
            </w:r>
          </w:p>
        </w:tc>
      </w:tr>
      <w:tr>
        <w:tc>
          <w:tcPr>
            <w:tcW w:type="dxa" w:w="2160"/>
          </w:tcPr>
          <w:p>
            <w:r>
              <w:t>Left over for ordinaries</w:t>
            </w:r>
          </w:p>
        </w:tc>
        <w:tc>
          <w:tcPr>
            <w:tcW w:type="dxa" w:w="2160"/>
          </w:tcPr>
          <w:p>
            <w:r>
              <w:t>€0</w:t>
            </w:r>
          </w:p>
        </w:tc>
        <w:tc>
          <w:tcPr>
            <w:tcW w:type="dxa" w:w="2160"/>
          </w:tcPr>
          <w:p>
            <w:r>
              <w:t>€1.0m</w:t>
            </w:r>
          </w:p>
        </w:tc>
        <w:tc>
          <w:tcPr>
            <w:tcW w:type="dxa" w:w="2160"/>
          </w:tcPr>
          <w:p>
            <w:r>
              <w:t>€181.0m</w:t>
            </w:r>
          </w:p>
        </w:tc>
      </w:tr>
      <w:tr>
        <w:tc>
          <w:tcPr>
            <w:tcW w:type="dxa" w:w="2160"/>
          </w:tcPr>
          <w:p>
            <w:r>
              <w:t>4. A ordinaries (85%)</w:t>
            </w:r>
          </w:p>
        </w:tc>
        <w:tc>
          <w:tcPr>
            <w:tcW w:type="dxa" w:w="2160"/>
          </w:tcPr>
          <w:p>
            <w:r>
              <w:t>€0</w:t>
            </w:r>
          </w:p>
        </w:tc>
        <w:tc>
          <w:tcPr>
            <w:tcW w:type="dxa" w:w="2160"/>
          </w:tcPr>
          <w:p>
            <w:r>
              <w:t>€0.9m</w:t>
            </w:r>
          </w:p>
        </w:tc>
        <w:tc>
          <w:tcPr>
            <w:tcW w:type="dxa" w:w="2160"/>
          </w:tcPr>
          <w:p>
            <w:r>
              <w:t>€153.9m</w:t>
            </w:r>
          </w:p>
        </w:tc>
      </w:tr>
      <w:tr>
        <w:tc>
          <w:tcPr>
            <w:tcW w:type="dxa" w:w="2160"/>
          </w:tcPr>
          <w:p>
            <w:r>
              <w:t xml:space="preserve">5. </w:t>
            </w:r>
            <w:r>
              <w:rPr>
                <w:b/>
              </w:rPr>
              <w:t>B ordinaries — sweet (15%)</w:t>
            </w:r>
          </w:p>
        </w:tc>
        <w:tc>
          <w:tcPr>
            <w:tcW w:type="dxa" w:w="2160"/>
          </w:tcPr>
          <w:p>
            <w:r>
              <w:rPr>
                <w:b/>
              </w:rPr>
              <w:t>€0</w:t>
            </w:r>
          </w:p>
        </w:tc>
        <w:tc>
          <w:tcPr>
            <w:tcW w:type="dxa" w:w="2160"/>
          </w:tcPr>
          <w:p>
            <w:r>
              <w:rPr>
                <w:b/>
              </w:rPr>
              <w:t>€0.2m</w:t>
            </w:r>
          </w:p>
        </w:tc>
        <w:tc>
          <w:tcPr>
            <w:tcW w:type="dxa" w:w="2160"/>
          </w:tcPr>
          <w:p>
            <w:r>
              <w:rPr>
                <w:b/>
              </w:rPr>
              <w:t>€27.2m</w:t>
            </w:r>
          </w:p>
        </w:tc>
      </w:tr>
    </w:tbl>
    <w:p/>
    <w:p>
      <w:pPr>
        <w:spacing w:after="160"/>
      </w:pPr>
      <w:r>
        <w:t>This table is the single most important thing to internalise:</w:t>
      </w:r>
    </w:p>
    <w:p>
      <w:pPr>
        <w:pStyle w:val="ListBullet"/>
      </w:pPr>
      <w:r>
        <w:t>At €200m — a poor but far from catastrophic outcome — management's shares</w:t>
      </w:r>
    </w:p>
    <w:p>
      <w:pPr>
        <w:spacing w:after="160"/>
      </w:pPr>
      <w:r>
        <w:t xml:space="preserve">are worth </w:t>
      </w:r>
      <w:r>
        <w:rPr>
          <w:b/>
        </w:rPr>
        <w:t>zero</w:t>
      </w:r>
      <w:r>
        <w:t>. Even the sponsor loses money.</w:t>
      </w:r>
    </w:p>
    <w:p>
      <w:pPr>
        <w:pStyle w:val="ListBullet"/>
      </w:pPr>
      <w:r>
        <w:t>At €320m the company gained a third in value, yet the sweet equity gets</w:t>
      </w:r>
    </w:p>
    <w:p>
      <w:pPr>
        <w:spacing w:after="160"/>
      </w:pPr>
      <w:r>
        <w:t>crumbs: the growing queue swallowed nearly everything.</w:t>
      </w:r>
    </w:p>
    <w:p>
      <w:pPr>
        <w:pStyle w:val="ListBullet"/>
      </w:pPr>
      <w:r>
        <w:t xml:space="preserve">At €500m the sweet equity pays €27.2m on a €3m investment — </w:t>
      </w:r>
      <w:r>
        <w:rPr>
          <w:b/>
        </w:rPr>
        <w:t>9×</w:t>
      </w:r>
      <w:r>
        <w:t xml:space="preserve"> —</w:t>
      </w:r>
    </w:p>
    <w:p>
      <w:pPr>
        <w:spacing w:after="160"/>
      </w:pPr>
      <w:r>
        <w:t>while the sponsor makes ~2.0× overall.</w:t>
      </w:r>
    </w:p>
    <w:p>
      <w:pPr>
        <w:spacing w:after="160"/>
      </w:pPr>
      <w:r>
        <w:t xml:space="preserve">So the sweet equity's payoff, drawn against exit value, is a </w:t>
      </w:r>
      <w:r>
        <w:rPr>
          <w:b/>
        </w:rPr>
        <w:t>hockey stick</w:t>
      </w:r>
      <w:r>
        <w:t xml:space="preserve">: flat at zero until €319m, then rising steeply. Valuing it = putting a price today on that hockey stick, when we don't know where the exit will land. The Excel sheet </w:t>
      </w:r>
      <w:r>
        <w:rPr>
          <w:b/>
        </w:rPr>
        <w:t>"3. Waterfall playground"</w:t>
      </w:r>
      <w:r>
        <w:t xml:space="preserve"> lets you type any exit value and watch this table recompute, with a chart of the hockey stick.</w:t>
      </w:r>
    </w:p>
    <w:p>
      <w:pPr>
        <w:pStyle w:val="Heading1"/>
      </w:pPr>
      <w:r>
        <w:t>4. From the deal documents to model inputs</w:t>
      </w:r>
    </w:p>
    <w:p>
      <w:pPr>
        <w:spacing w:after="160"/>
      </w:pPr>
      <w:r>
        <w:t>You never invent inputs; each one is read out of a document or a market source. What to pull from where: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you are looking for</w:t>
            </w:r>
          </w:p>
        </w:tc>
      </w:tr>
      <w:tr>
        <w:tc>
          <w:tcPr>
            <w:tcW w:type="dxa" w:w="4320"/>
          </w:tcPr>
          <w:p>
            <w:r>
              <w:rPr>
                <w:b/>
              </w:rPr>
              <w:t>Funds flow statement</w:t>
            </w:r>
            <w:r>
              <w:t xml:space="preserve"> (signed at completion)</w:t>
            </w:r>
          </w:p>
        </w:tc>
        <w:tc>
          <w:tcPr>
            <w:tcW w:type="dxa" w:w="4320"/>
          </w:tcPr>
          <w:p>
            <w:r>
              <w:t>The table in §2: exactly who paid what for which instrument. This is the backbone of the whole model — start here.</w:t>
            </w:r>
          </w:p>
        </w:tc>
      </w:tr>
      <w:tr>
        <w:tc>
          <w:tcPr>
            <w:tcW w:type="dxa" w:w="4320"/>
          </w:tcPr>
          <w:p>
            <w:r>
              <w:rPr>
                <w:b/>
              </w:rPr>
              <w:t>Shareholders' agreement / investment agreement</w:t>
            </w:r>
          </w:p>
        </w:tc>
        <w:tc>
          <w:tcPr>
            <w:tcW w:type="dxa" w:w="4320"/>
          </w:tcPr>
          <w:p>
            <w:r>
              <w:t>The waterfall order, ratchet terms, leaver provisions, transfer restrictions</w:t>
            </w:r>
          </w:p>
        </w:tc>
      </w:tr>
      <w:tr>
        <w:tc>
          <w:tcPr>
            <w:tcW w:type="dxa" w:w="4320"/>
          </w:tcPr>
          <w:p>
            <w:r>
              <w:rPr>
                <w:b/>
              </w:rPr>
              <w:t>Articles of association</w:t>
            </w:r>
          </w:p>
        </w:tc>
        <w:tc>
          <w:tcPr>
            <w:tcW w:type="dxa" w:w="4320"/>
          </w:tcPr>
          <w:p>
            <w:r>
              <w:t>The legal rights of each share class: dividend/coupon %, compounding, ranking</w:t>
            </w:r>
          </w:p>
        </w:tc>
      </w:tr>
      <w:tr>
        <w:tc>
          <w:tcPr>
            <w:tcW w:type="dxa" w:w="4320"/>
          </w:tcPr>
          <w:p>
            <w:r>
              <w:rPr>
                <w:b/>
              </w:rPr>
              <w:t>Loan note instruments</w:t>
            </w:r>
          </w:p>
        </w:tc>
        <w:tc>
          <w:tcPr>
            <w:tcW w:type="dxa" w:w="4320"/>
          </w:tcPr>
          <w:p>
            <w:r>
              <w:t>Face amount, PIK rate, compounding frequency (annual? quarterly? — it changes the hurdle)</w:t>
            </w:r>
          </w:p>
        </w:tc>
      </w:tr>
      <w:tr>
        <w:tc>
          <w:tcPr>
            <w:tcW w:type="dxa" w:w="4320"/>
          </w:tcPr>
          <w:p>
            <w:r>
              <w:rPr>
                <w:b/>
              </w:rPr>
              <w:t>Management equity term sheet / MIP rules</w:t>
            </w:r>
          </w:p>
        </w:tc>
        <w:tc>
          <w:tcPr>
            <w:tcW w:type="dxa" w:w="4320"/>
          </w:tcPr>
          <w:p>
            <w:r>
              <w:t>Vesting, ratchet triggers and steps</w:t>
            </w:r>
          </w:p>
        </w:tc>
      </w:tr>
      <w:tr>
        <w:tc>
          <w:tcPr>
            <w:tcW w:type="dxa" w:w="4320"/>
          </w:tcPr>
          <w:p>
            <w:r>
              <w:rPr>
                <w:b/>
              </w:rPr>
              <w:t>SPA + business plan</w:t>
            </w:r>
          </w:p>
        </w:tc>
        <w:tc>
          <w:tcPr>
            <w:tcW w:type="dxa" w:w="4320"/>
          </w:tcPr>
          <w:p>
            <w:r>
              <w:t>The purchase price (anchors today's value) and the plan (context for the exit horizon)</w:t>
            </w:r>
          </w:p>
        </w:tc>
      </w:tr>
      <w:tr>
        <w:tc>
          <w:tcPr>
            <w:tcW w:type="dxa" w:w="4320"/>
          </w:tcPr>
          <w:p>
            <w:r>
              <w:rPr>
                <w:b/>
              </w:rPr>
              <w:t>Bank facility agreement</w:t>
            </w:r>
          </w:p>
        </w:tc>
        <w:tc>
          <w:tcPr>
            <w:tcW w:type="dxa" w:w="4320"/>
          </w:tcPr>
          <w:p>
            <w:r>
              <w:t>External debt — only needed to get from company value to "the pot"</w:t>
            </w:r>
          </w:p>
        </w:tc>
      </w:tr>
      <w:tr>
        <w:tc>
          <w:tcPr>
            <w:tcW w:type="dxa" w:w="4320"/>
          </w:tcPr>
          <w:p>
            <w:r>
              <w:rPr>
                <w:b/>
              </w:rPr>
              <w:t>Market data</w:t>
            </w:r>
            <w:r>
              <w:t xml:space="preserve"> (databases, comparable companies)</w:t>
            </w:r>
          </w:p>
        </w:tc>
        <w:tc>
          <w:tcPr>
            <w:tcW w:type="dxa" w:w="4320"/>
          </w:tcPr>
          <w:p>
            <w:r>
              <w:t>Volatility and the risk-free interest rate</w:t>
            </w:r>
          </w:p>
        </w:tc>
      </w:tr>
    </w:tbl>
    <w:p/>
    <w:p>
      <w:pPr>
        <w:spacing w:after="160"/>
      </w:pPr>
      <w:r>
        <w:t>Practical order of work: (1) rebuild the completion cap table from the funds flow; (2) read the articles/SHA and write the waterfall down as a queue with rates; (3) collect the market inputs; (4) only then open the model.</w:t>
      </w:r>
    </w:p>
    <w:p>
      <w:pPr>
        <w:pStyle w:val="Heading1"/>
      </w:pPr>
      <w:r>
        <w:t>5. The inputs, one by one</w:t>
      </w:r>
    </w:p>
    <w:p>
      <w:pPr>
        <w:spacing w:after="160"/>
      </w:pPr>
      <w:r>
        <w:t xml:space="preserve">For every input: </w:t>
      </w:r>
      <w:r>
        <w:rPr>
          <w:b/>
        </w:rPr>
        <w:t>what it is → where you find it → what happens if it goes up → why the model needs it.</w:t>
      </w:r>
      <w:r>
        <w:t xml:space="preserve"> (Same order as the Excel "2. Inputs" sheet.)</w:t>
      </w:r>
    </w:p>
    <w:p>
      <w:pPr>
        <w:pStyle w:val="Heading2"/>
      </w:pPr>
      <w:r>
        <w:t>V₀ — today's value of the whole pot</w:t>
      </w:r>
    </w:p>
    <w:p>
      <w:pPr>
        <w:pStyle w:val="ListBullet"/>
      </w:pPr>
      <w:r>
        <w:rPr>
          <w:b/>
        </w:rPr>
        <w:t>What</w:t>
      </w:r>
      <w:r>
        <w:t xml:space="preserve">: the value today of </w:t>
      </w:r>
      <w:r>
        <w:rPr>
          <w:i/>
        </w:rPr>
        <w:t>all</w:t>
      </w:r>
      <w:r>
        <w:t xml:space="preserve"> the instruments in §2 combined — the</w:t>
      </w:r>
    </w:p>
    <w:p>
      <w:pPr>
        <w:spacing w:after="160"/>
      </w:pPr>
      <w:r>
        <w:t>whole €240m pot, not management's slice.</w:t>
      </w:r>
    </w:p>
    <w:p>
      <w:pPr>
        <w:pStyle w:val="ListBullet"/>
      </w:pPr>
      <w:r>
        <w:rPr>
          <w:b/>
        </w:rPr>
        <w:t>Where</w:t>
      </w:r>
      <w:r>
        <w:t>: at or near the deal date, the deal itself: everyone together paid</w:t>
      </w:r>
    </w:p>
    <w:p>
      <w:pPr>
        <w:spacing w:after="160"/>
      </w:pPr>
      <w:r>
        <w:t>€240m for the whole pot, so the pot is worth €240m. (Later on, you re-derive it from earnings multiples or a DCF of the business, minus bank debt.)</w:t>
      </w:r>
    </w:p>
    <w:p>
      <w:pPr>
        <w:pStyle w:val="ListBullet"/>
      </w:pPr>
      <w:r>
        <w:rPr>
          <w:b/>
        </w:rPr>
        <w:t>If it goes up</w:t>
      </w:r>
      <w:r>
        <w:t xml:space="preserve">: sweet equity value rises </w:t>
      </w:r>
      <w:r>
        <w:rPr>
          <w:i/>
        </w:rPr>
        <w:t>disproportionately</w:t>
      </w:r>
      <w:r>
        <w:t xml:space="preserve"> — it's the</w:t>
      </w:r>
    </w:p>
    <w:p>
      <w:pPr>
        <w:spacing w:after="160"/>
      </w:pPr>
      <w:r>
        <w:t>leveraged slice (remember the house). +10% on V₀ can be +30% or more on the sweet equity.</w:t>
      </w:r>
    </w:p>
    <w:p>
      <w:pPr>
        <w:pStyle w:val="ListBullet"/>
      </w:pPr>
      <w:r>
        <w:rPr>
          <w:b/>
        </w:rPr>
        <w:t>Why it's in the model</w:t>
      </w:r>
      <w:r>
        <w:t>: it's the "current price of the house" — the</w:t>
      </w:r>
    </w:p>
    <w:p>
      <w:pPr>
        <w:spacing w:after="160"/>
      </w:pPr>
      <w:r>
        <w:t>starting point of every possible future.</w:t>
      </w:r>
    </w:p>
    <w:p>
      <w:pPr>
        <w:pStyle w:val="Heading2"/>
      </w:pPr>
      <w:r>
        <w:t>The queue amounts and their PIK rates (faces + yields per class)</w:t>
      </w:r>
    </w:p>
    <w:p>
      <w:pPr>
        <w:pStyle w:val="ListBullet"/>
      </w:pPr>
      <w:r>
        <w:rPr>
          <w:b/>
        </w:rPr>
        <w:t>What</w:t>
      </w:r>
      <w:r>
        <w:t>: the amount and interest rate of every class ranking ahead of the</w:t>
      </w:r>
    </w:p>
    <w:p>
      <w:pPr>
        <w:spacing w:after="160"/>
      </w:pPr>
      <w:r>
        <w:t>ordinaries (rows 1–3 in §2).</w:t>
      </w:r>
    </w:p>
    <w:p>
      <w:pPr>
        <w:pStyle w:val="ListBullet"/>
      </w:pPr>
      <w:r>
        <w:rPr>
          <w:b/>
        </w:rPr>
        <w:t>Where</w:t>
      </w:r>
      <w:r>
        <w:t>: funds flow (amounts), loan notes/articles (rates and compounding).</w:t>
      </w:r>
    </w:p>
    <w:p>
      <w:pPr>
        <w:pStyle w:val="ListBullet"/>
      </w:pPr>
      <w:r>
        <w:rPr>
          <w:b/>
        </w:rPr>
        <w:t>If they go up</w:t>
      </w:r>
      <w:r>
        <w:t>: the hurdle grows, the hockey stick starts further right,</w:t>
      </w:r>
    </w:p>
    <w:p>
      <w:pPr>
        <w:spacing w:after="160"/>
      </w:pPr>
      <w:r>
        <w:t xml:space="preserve">sweet equity is worth less. Note the double effect of the </w:t>
      </w:r>
      <w:r>
        <w:rPr>
          <w:i/>
        </w:rPr>
        <w:t>rate</w:t>
      </w:r>
      <w:r>
        <w:t xml:space="preserve">: a higher PIK rate raises the hurdle </w:t>
      </w:r>
      <w:r>
        <w:rPr>
          <w:b/>
        </w:rPr>
        <w:t>more for every extra year of holding</w:t>
      </w:r>
      <w:r>
        <w:t>.</w:t>
      </w:r>
    </w:p>
    <w:p>
      <w:pPr>
        <w:pStyle w:val="ListBullet"/>
      </w:pPr>
      <w:r>
        <w:rPr>
          <w:b/>
        </w:rPr>
        <w:t>Why</w:t>
      </w:r>
      <w:r>
        <w:t>: they define the strike price — the threshold of the option.</w:t>
      </w:r>
    </w:p>
    <w:p>
      <w:pPr>
        <w:pStyle w:val="Heading2"/>
      </w:pPr>
      <w:r>
        <w:t>T — expected time until exit</w:t>
      </w:r>
    </w:p>
    <w:p>
      <w:pPr>
        <w:pStyle w:val="ListBullet"/>
      </w:pPr>
      <w:r>
        <w:rPr>
          <w:b/>
        </w:rPr>
        <w:t>What</w:t>
      </w:r>
      <w:r>
        <w:t>: how long until the company is sold and the waterfall actually runs.</w:t>
      </w:r>
    </w:p>
    <w:p>
      <w:pPr>
        <w:pStyle w:val="ListBullet"/>
      </w:pPr>
      <w:r>
        <w:rPr>
          <w:b/>
        </w:rPr>
        <w:t>Where</w:t>
      </w:r>
      <w:r>
        <w:t>: the sponsor's stated plan and its fund's remaining life. PE funds</w:t>
      </w:r>
    </w:p>
    <w:p>
      <w:pPr>
        <w:spacing w:after="160"/>
      </w:pPr>
      <w:r>
        <w:t>typically sell portfolio companies after 3–5 years.</w:t>
      </w:r>
    </w:p>
    <w:p>
      <w:pPr>
        <w:pStyle w:val="ListBullet"/>
      </w:pPr>
      <w:r>
        <w:rPr>
          <w:b/>
        </w:rPr>
        <w:t>If it goes up</w:t>
      </w:r>
      <w:r>
        <w:t xml:space="preserve">: </w:t>
      </w:r>
      <w:r>
        <w:rPr>
          <w:b/>
        </w:rPr>
        <w:t>two opposing effects</w:t>
      </w:r>
      <w:r>
        <w:t xml:space="preserve"> — more years for value to grow</w:t>
      </w:r>
    </w:p>
    <w:p>
      <w:pPr>
        <w:spacing w:after="160"/>
      </w:pPr>
      <w:r>
        <w:t>(good for the option) but more years of PIK rolling up the hurdle (bad). Which wins depends on the deal; never assume — look at the sensitivity grid.</w:t>
      </w:r>
    </w:p>
    <w:p>
      <w:pPr>
        <w:pStyle w:val="ListBullet"/>
      </w:pPr>
      <w:r>
        <w:rPr>
          <w:b/>
        </w:rPr>
        <w:t>Why</w:t>
      </w:r>
      <w:r>
        <w:t>: options are rights over time; the model must know how long the</w:t>
      </w:r>
    </w:p>
    <w:p>
      <w:pPr>
        <w:spacing w:after="160"/>
      </w:pPr>
      <w:r>
        <w:t>right lasts and how much the queue accrues meanwhile.</w:t>
      </w:r>
    </w:p>
    <w:p>
      <w:pPr>
        <w:pStyle w:val="Heading2"/>
      </w:pPr>
      <w:r>
        <w:t>σ ("sigma") — volatility</w:t>
      </w:r>
    </w:p>
    <w:p>
      <w:pPr>
        <w:pStyle w:val="ListBullet"/>
      </w:pPr>
      <w:r>
        <w:rPr>
          <w:b/>
        </w:rPr>
        <w:t>What</w:t>
      </w:r>
      <w:r>
        <w:t>: how widely the pot's value swings per year, in %. It's the</w:t>
      </w:r>
    </w:p>
    <w:p>
      <w:pPr>
        <w:spacing w:after="160"/>
      </w:pPr>
      <w:r>
        <w:t>"spread-outness" of possible futures: 20% = a steady business, 60% = a wild one.</w:t>
      </w:r>
    </w:p>
    <w:p>
      <w:pPr>
        <w:pStyle w:val="ListBullet"/>
      </w:pPr>
      <w:r>
        <w:rPr>
          <w:b/>
        </w:rPr>
        <w:t>Where</w:t>
      </w:r>
      <w:r>
        <w:t xml:space="preserve">: measured from share prices of comparable </w:t>
      </w:r>
      <w:r>
        <w:rPr>
          <w:i/>
        </w:rPr>
        <w:t>listed</w:t>
      </w:r>
      <w:r>
        <w:t xml:space="preserve"> companies, then</w:t>
      </w:r>
    </w:p>
    <w:p>
      <w:pPr>
        <w:spacing w:after="160"/>
      </w:pPr>
      <w:r>
        <w:t>adjusted for the deal's own debt level (more debt ⇒ equity swings harder — the house again). Practitioners call this de-levering / re-levering. Buyout equity vols of 35–60% are normal.</w:t>
      </w:r>
    </w:p>
    <w:p>
      <w:pPr>
        <w:pStyle w:val="ListBullet"/>
      </w:pPr>
      <w:r>
        <w:rPr>
          <w:b/>
        </w:rPr>
        <w:t>If it goes up</w:t>
      </w:r>
      <w:r>
        <w:t xml:space="preserve">: sweet equity is worth </w:t>
      </w:r>
      <w:r>
        <w:rPr>
          <w:b/>
        </w:rPr>
        <w:t>more</w:t>
      </w:r>
      <w:r>
        <w:t xml:space="preserve"> — more chance of landing</w:t>
      </w:r>
    </w:p>
    <w:p>
      <w:pPr>
        <w:spacing w:after="160"/>
      </w:pPr>
      <w:r>
        <w:t xml:space="preserve">far right on the hockey stick, while the downside is capped at zero anyway. Volatility only helps an option holder. (It correspondingly </w:t>
      </w:r>
      <w:r>
        <w:rPr>
          <w:i/>
        </w:rPr>
        <w:t>hurts</w:t>
      </w:r>
      <w:r>
        <w:t xml:space="preserve"> the classes at the front of the queue.)</w:t>
      </w:r>
    </w:p>
    <w:p>
      <w:pPr>
        <w:pStyle w:val="ListBullet"/>
      </w:pPr>
      <w:r>
        <w:rPr>
          <w:b/>
        </w:rPr>
        <w:t>Why</w:t>
      </w:r>
      <w:r>
        <w:t>: it's what gives an out-of-the-money claim its value. With zero</w:t>
      </w:r>
    </w:p>
    <w:p>
      <w:pPr>
        <w:spacing w:after="160"/>
      </w:pPr>
      <w:r>
        <w:t>volatility our sweet equity would genuinely be worth ~nothing today.</w:t>
      </w:r>
    </w:p>
    <w:p>
      <w:pPr>
        <w:pStyle w:val="ListBullet"/>
      </w:pPr>
      <w:r>
        <w:t>⚠️ This is the most judgmental input in the whole model — a reviewer always</w:t>
      </w:r>
    </w:p>
    <w:p>
      <w:pPr>
        <w:spacing w:after="160"/>
      </w:pPr>
      <w:r>
        <w:t>asks "where did sigma come from?" and always wants a sensitivity table.</w:t>
      </w:r>
    </w:p>
    <w:p>
      <w:pPr>
        <w:pStyle w:val="Heading2"/>
      </w:pPr>
      <w:r>
        <w:t>r — the risk-free interest rate</w:t>
      </w:r>
    </w:p>
    <w:p>
      <w:pPr>
        <w:pStyle w:val="ListBullet"/>
      </w:pPr>
      <w:r>
        <w:rPr>
          <w:b/>
        </w:rPr>
        <w:t>What</w:t>
      </w:r>
      <w:r>
        <w:t>: the yield on safe government bonds for the same horizon and</w:t>
      </w:r>
    </w:p>
    <w:p>
      <w:pPr>
        <w:spacing w:after="160"/>
      </w:pPr>
      <w:r>
        <w:t>currency.</w:t>
      </w:r>
    </w:p>
    <w:p>
      <w:pPr>
        <w:pStyle w:val="ListBullet"/>
      </w:pPr>
      <w:r>
        <w:rPr>
          <w:b/>
        </w:rPr>
        <w:t>Where</w:t>
      </w:r>
      <w:r>
        <w:t>: public market data on the valuation date.</w:t>
      </w:r>
    </w:p>
    <w:p>
      <w:pPr>
        <w:pStyle w:val="ListBullet"/>
      </w:pPr>
      <w:r>
        <w:rPr>
          <w:b/>
        </w:rPr>
        <w:t>If it goes up</w:t>
      </w:r>
      <w:r>
        <w:t>: sweet equity value rises slightly (technical effect;</w:t>
      </w:r>
    </w:p>
    <w:p>
      <w:pPr>
        <w:spacing w:after="160"/>
      </w:pPr>
      <w:r>
        <w:t>small).</w:t>
      </w:r>
    </w:p>
    <w:p>
      <w:pPr>
        <w:pStyle w:val="ListBullet"/>
      </w:pPr>
      <w:r>
        <w:rPr>
          <w:b/>
        </w:rPr>
        <w:t>Why — and this surprises newcomers</w:t>
      </w:r>
      <w:r>
        <w:t>: option models don't use a company</w:t>
      </w:r>
    </w:p>
    <w:p>
      <w:pPr>
        <w:spacing w:after="160"/>
      </w:pPr>
      <w:r>
        <w:t>discount rate (WACC) anywhere. They work in a mathematically adjusted world ("risk-neutral") where everything grows at the risk-free rate and is discounted at the risk-free rate; the riskiness is carried entirely by σ.</w:t>
      </w:r>
    </w:p>
    <w:p>
      <w:pPr>
        <w:spacing w:after="160"/>
      </w:pPr>
      <w:r>
        <w:rPr>
          <w:b/>
        </w:rPr>
        <w:t>If you see a WACC or a business-plan growth rate inside an option model, that's a red flag, not a refinement.</w:t>
      </w:r>
    </w:p>
    <w:p>
      <w:pPr>
        <w:pStyle w:val="Heading2"/>
      </w:pPr>
      <w:r>
        <w:t>q — cash leakage</w:t>
      </w:r>
    </w:p>
    <w:p>
      <w:pPr>
        <w:pStyle w:val="ListBullet"/>
      </w:pPr>
      <w:r>
        <w:rPr>
          <w:b/>
        </w:rPr>
        <w:t>What</w:t>
      </w:r>
      <w:r>
        <w:t xml:space="preserve">: value paid </w:t>
      </w:r>
      <w:r>
        <w:rPr>
          <w:i/>
        </w:rPr>
        <w:t>out</w:t>
      </w:r>
      <w:r>
        <w:t xml:space="preserve"> of the pot before exit (cash dividends, cash</w:t>
      </w:r>
    </w:p>
    <w:p>
      <w:pPr>
        <w:spacing w:after="160"/>
      </w:pPr>
      <w:r>
        <w:t>interest).</w:t>
      </w:r>
    </w:p>
    <w:p>
      <w:pPr>
        <w:pStyle w:val="ListBullet"/>
      </w:pPr>
      <w:r>
        <w:rPr>
          <w:b/>
        </w:rPr>
        <w:t>Where</w:t>
      </w:r>
      <w:r>
        <w:t>: the instruments — is the interest PIK (stays in) or cash-pay</w:t>
      </w:r>
    </w:p>
    <w:p>
      <w:pPr>
        <w:spacing w:after="160"/>
      </w:pPr>
      <w:r>
        <w:t>(leaks out)? Most buyout structures are fully PIK ⇒ q = 0.</w:t>
      </w:r>
    </w:p>
    <w:p>
      <w:pPr>
        <w:pStyle w:val="ListBullet"/>
      </w:pPr>
      <w:r>
        <w:rPr>
          <w:b/>
        </w:rPr>
        <w:t>If it goes up</w:t>
      </w:r>
      <w:r>
        <w:t>: the pot at exit is smaller; the classes at the back — the</w:t>
      </w:r>
    </w:p>
    <w:p>
      <w:pPr>
        <w:spacing w:after="160"/>
      </w:pPr>
      <w:r>
        <w:t>sweet equity — suffer most.</w:t>
      </w:r>
    </w:p>
    <w:p>
      <w:pPr>
        <w:pStyle w:val="ListBullet"/>
      </w:pPr>
      <w:r>
        <w:rPr>
          <w:b/>
        </w:rPr>
        <w:t>Why</w:t>
      </w:r>
      <w:r>
        <w:t>: the model must know whether today's pot all makes it to the exit.</w:t>
      </w:r>
    </w:p>
    <w:p>
      <w:pPr>
        <w:pStyle w:val="Heading2"/>
      </w:pPr>
      <w:r>
        <w:t>DLOM — discount for lack of marketability</w:t>
      </w:r>
    </w:p>
    <w:p>
      <w:pPr>
        <w:pStyle w:val="ListBullet"/>
      </w:pPr>
      <w:r>
        <w:rPr>
          <w:b/>
        </w:rPr>
        <w:t>What</w:t>
      </w:r>
      <w:r>
        <w:t>: a haircut (typically 10–30%) applied to the sweet equity value at</w:t>
      </w:r>
    </w:p>
    <w:p>
      <w:pPr>
        <w:spacing w:after="160"/>
      </w:pPr>
      <w:r>
        <w:t>the end, because a manager can't sell these shares — no market, transfer restrictions, locked in until exit.</w:t>
      </w:r>
    </w:p>
    <w:p>
      <w:pPr>
        <w:pStyle w:val="ListBullet"/>
      </w:pPr>
      <w:r>
        <w:rPr>
          <w:b/>
        </w:rPr>
        <w:t>Where</w:t>
      </w:r>
      <w:r>
        <w:t>: standard estimation methods (Chaffe, Finnerty — both price the</w:t>
      </w:r>
    </w:p>
    <w:p>
      <w:pPr>
        <w:spacing w:after="160"/>
      </w:pPr>
      <w:r>
        <w:t>"insurance" one would need against being locked in) or empirical studies.</w:t>
      </w:r>
    </w:p>
    <w:p>
      <w:pPr>
        <w:pStyle w:val="ListBullet"/>
      </w:pPr>
      <w:r>
        <w:rPr>
          <w:b/>
        </w:rPr>
        <w:t>If it goes up</w:t>
      </w:r>
      <w:r>
        <w:t>: concluded value falls one-for-one.</w:t>
      </w:r>
    </w:p>
    <w:p>
      <w:pPr>
        <w:pStyle w:val="ListBullet"/>
      </w:pPr>
      <w:r>
        <w:rPr>
          <w:b/>
        </w:rPr>
        <w:t>Why</w:t>
      </w:r>
      <w:r>
        <w:t>: the option math prices a freely tradable claim; a locked-up claim</w:t>
      </w:r>
    </w:p>
    <w:p>
      <w:pPr>
        <w:spacing w:after="160"/>
      </w:pPr>
      <w:r>
        <w:t>is worth less to any buyer.</w:t>
      </w:r>
    </w:p>
    <w:p>
      <w:pPr>
        <w:pStyle w:val="Heading2"/>
      </w:pPr>
      <w:r>
        <w:t>Ratchet terms (Monte Carlo only)</w:t>
      </w:r>
    </w:p>
    <w:p>
      <w:pPr>
        <w:pStyle w:val="ListBullet"/>
      </w:pPr>
      <w:r>
        <w:rPr>
          <w:b/>
        </w:rPr>
        <w:t>What</w:t>
      </w:r>
      <w:r>
        <w:t>: the trigger (e.g. sponsor money-multiple ≥ 2.5×) and step</w:t>
      </w:r>
    </w:p>
    <w:p>
      <w:pPr>
        <w:spacing w:after="160"/>
      </w:pPr>
      <w:r>
        <w:t>(15% → 20%).</w:t>
      </w:r>
    </w:p>
    <w:p>
      <w:pPr>
        <w:pStyle w:val="ListBullet"/>
      </w:pPr>
      <w:r>
        <w:rPr>
          <w:b/>
        </w:rPr>
        <w:t>Where</w:t>
      </w:r>
      <w:r>
        <w:t xml:space="preserve">: MIP term sheet / SHA. Read </w:t>
      </w:r>
      <w:r>
        <w:rPr>
          <w:i/>
        </w:rPr>
        <w:t>precisely</w:t>
      </w:r>
      <w:r>
        <w:t xml:space="preserve"> what is tested and on what.</w:t>
      </w:r>
    </w:p>
    <w:p>
      <w:pPr>
        <w:pStyle w:val="ListBullet"/>
      </w:pPr>
      <w:r>
        <w:rPr>
          <w:b/>
        </w:rPr>
        <w:t>If trigger is easier / step bigger</w:t>
      </w:r>
      <w:r>
        <w:t>: sweet equity worth more, in the</w:t>
      </w:r>
    </w:p>
    <w:p>
      <w:pPr>
        <w:spacing w:after="160"/>
      </w:pPr>
      <w:r>
        <w:t>good scenarios exactly.</w:t>
      </w:r>
    </w:p>
    <w:p>
      <w:pPr>
        <w:pStyle w:val="ListBullet"/>
      </w:pPr>
      <w:r>
        <w:rPr>
          <w:b/>
        </w:rPr>
        <w:t>Why</w:t>
      </w:r>
      <w:r>
        <w:t>: it changes the payoff in some futures and not others — this is the</w:t>
      </w:r>
    </w:p>
    <w:p>
      <w:pPr>
        <w:spacing w:after="160"/>
      </w:pPr>
      <w:r>
        <w:t>main reason a simulation is needed at all (§7).</w:t>
      </w:r>
    </w:p>
    <w:p>
      <w:pPr>
        <w:pStyle w:val="Heading2"/>
      </w:pPr>
      <w:r>
        <w:t>Exit-timing probabilities (Monte Carlo only)</w:t>
      </w:r>
    </w:p>
    <w:p>
      <w:pPr>
        <w:pStyle w:val="ListBullet"/>
      </w:pPr>
      <w:r>
        <w:rPr>
          <w:b/>
        </w:rPr>
        <w:t>What</w:t>
      </w:r>
      <w:r>
        <w:t>: instead of one fixed T, weights over plausible exit years, e.g.</w:t>
      </w:r>
    </w:p>
    <w:p>
      <w:pPr>
        <w:spacing w:after="160"/>
      </w:pPr>
      <w:r>
        <w:t>30% year 3 / 40% year 4 / 30% year 5.</w:t>
      </w:r>
    </w:p>
    <w:p>
      <w:pPr>
        <w:pStyle w:val="ListBullet"/>
      </w:pPr>
      <w:r>
        <w:rPr>
          <w:b/>
        </w:rPr>
        <w:t>Where</w:t>
      </w:r>
      <w:r>
        <w:t>: sponsor evidence, fund life, sector norms.</w:t>
      </w:r>
    </w:p>
    <w:p>
      <w:pPr>
        <w:pStyle w:val="ListBullet"/>
      </w:pPr>
      <w:r>
        <w:rPr>
          <w:b/>
        </w:rPr>
        <w:t>Why</w:t>
      </w:r>
      <w:r>
        <w:t xml:space="preserve">: each exit year has a </w:t>
      </w:r>
      <w:r>
        <w:rPr>
          <w:i/>
        </w:rPr>
        <w:t>different</w:t>
      </w:r>
      <w:r>
        <w:t xml:space="preserve"> hurdle (PIK keeps rolling), so</w:t>
      </w:r>
    </w:p>
    <w:p>
      <w:pPr>
        <w:spacing w:after="160"/>
      </w:pPr>
      <w:r>
        <w:t>timing uncertainty genuinely changes the value — a simulation handles it naturally.</w:t>
      </w:r>
    </w:p>
    <w:p>
      <w:pPr>
        <w:pStyle w:val="Heading1"/>
      </w:pPr>
      <w:r>
        <w:t>6. Model 1 — Black-Scholes (the "OPM"), in plain words</w:t>
      </w:r>
    </w:p>
    <w:p>
      <w:pPr>
        <w:spacing w:after="160"/>
      </w:pPr>
      <w:r>
        <w:rPr>
          <w:b/>
        </w:rPr>
        <w:t>The idea.</w:t>
      </w:r>
      <w:r>
        <w:t xml:space="preserve"> We established that sweet equity = 15% of a call option on the pot, struck at the hurdle. Black-Scholes is the standard formula that prices a call option from exactly the inputs above: today's value (V₀), the threshold (hurdle), time (T), volatility (σ), and the risk-free rate (r). One formula, instant answer. Used this way it's called the </w:t>
      </w:r>
      <w:r>
        <w:rPr>
          <w:b/>
        </w:rPr>
        <w:t>Option Pricing Method (OPM)</w:t>
      </w:r>
      <w:r>
        <w:t>.</w:t>
      </w:r>
    </w:p>
    <w:p>
      <w:pPr>
        <w:spacing w:after="160"/>
      </w:pPr>
      <w:r>
        <w:rPr>
          <w:b/>
        </w:rPr>
        <w:t>How the whole structure is valued at once.</w:t>
      </w:r>
      <w:r>
        <w:t xml:space="preserve"> Picture the pot at exit rising from zero: first euros fill class 1's bucket, later euros class 2's, and so on. "All value above threshold B" is a call option struck at B, written C(B). Then each class's slice </w:t>
      </w:r>
      <w:r>
        <w:rPr>
          <w:i/>
        </w:rPr>
        <w:t>between two thresholds</w:t>
      </w:r>
      <w:r>
        <w:t xml:space="preserve"> is a difference of two calls:</w:t>
      </w:r>
    </w:p>
    <w:p>
      <w:pPr>
        <w:pStyle w:val="ListBullet"/>
      </w:pPr>
      <w:r>
        <w:t xml:space="preserve">Class 1 (loans): everything below B₁ = C(0) − C(B₁)   </w:t>
      </w:r>
      <w:r>
        <w:rPr>
          <w:i/>
        </w:rPr>
        <w:t>(C(0) is the whole pot, V₀)</w:t>
      </w:r>
    </w:p>
    <w:p>
      <w:pPr>
        <w:pStyle w:val="ListBullet"/>
      </w:pPr>
      <w:r>
        <w:t>Class 2 (prefs): between B₁ and B₂ = C(B₁) − C(B₂)</w:t>
      </w:r>
    </w:p>
    <w:p>
      <w:pPr>
        <w:pStyle w:val="ListBullet"/>
      </w:pPr>
      <w:r>
        <w:t>Class 3 (rollover): between B₂ and B₃ = C(B₂) − C(B₃)</w:t>
      </w:r>
    </w:p>
    <w:p>
      <w:pPr>
        <w:pStyle w:val="ListBullet"/>
      </w:pPr>
      <w:r>
        <w:t>Classes 4–5 (ordinaries): everything above B₃ = C(B₃), split 85 / 15.</w:t>
      </w:r>
    </w:p>
    <w:p>
      <w:pPr>
        <w:spacing w:after="160"/>
      </w:pPr>
      <w:r>
        <w:t>with B₁ = €263.5m, B₂ = €304.4m, B₃ = €319.0m (the accrued queue from §3).</w:t>
      </w:r>
    </w:p>
    <w:p>
      <w:pPr>
        <w:spacing w:after="160"/>
      </w:pPr>
      <w:r>
        <w:rPr>
          <w:b/>
        </w:rPr>
        <w:t>The built-in self-check</w:t>
      </w:r>
      <w:r>
        <w:t>: those slices must add back up to exactly V₀ — nothing more, nothing less. If a model's class values don't sum to V₀, it is simply wrong. The Excel "4. OPM valuation" sheet shows this check in green.</w:t>
      </w:r>
    </w:p>
    <w:p>
      <w:pPr>
        <w:spacing w:after="160"/>
      </w:pPr>
      <w:r>
        <w:rPr>
          <w:b/>
        </w:rPr>
        <w:t>Result for our deal</w:t>
      </w:r>
      <w:r>
        <w:t xml:space="preserve"> (V₀ = 240, T = 4, σ = 45%, r = 3%): the formula gives C(B₃) ≈ €70.7m for the whole ordinary pool, so: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Class</w:t>
            </w:r>
          </w:p>
        </w:tc>
        <w:tc>
          <w:tcPr>
            <w:tcW w:type="dxa" w:w="2880"/>
          </w:tcPr>
          <w:p>
            <w:r>
              <w:rPr>
                <w:b/>
              </w:rPr>
              <w:t>Value today</w:t>
            </w:r>
          </w:p>
        </w:tc>
        <w:tc>
          <w:tcPr>
            <w:tcW w:type="dxa" w:w="2880"/>
          </w:tcPr>
          <w:p>
            <w:r>
              <w:rPr>
                <w:b/>
              </w:rPr>
              <w:t>Note</w:t>
            </w:r>
          </w:p>
        </w:tc>
      </w:tr>
      <w:tr>
        <w:tc>
          <w:tcPr>
            <w:tcW w:type="dxa" w:w="2880"/>
          </w:tcPr>
          <w:p>
            <w:r>
              <w:t>1 Shareholder loans</w:t>
            </w:r>
          </w:p>
        </w:tc>
        <w:tc>
          <w:tcPr>
            <w:tcW w:type="dxa" w:w="2880"/>
          </w:tcPr>
          <w:p>
            <w:r>
              <w:t>€154.6m</w:t>
            </w:r>
          </w:p>
        </w:tc>
        <w:tc>
          <w:tcPr>
            <w:tcW w:type="dxa" w:w="2880"/>
          </w:tcPr>
          <w:p>
            <w:r>
              <w:t>less than the €180m face: it can lose in bad exits</w:t>
            </w:r>
          </w:p>
        </w:tc>
      </w:tr>
      <w:tr>
        <w:tc>
          <w:tcPr>
            <w:tcW w:type="dxa" w:w="2880"/>
          </w:tcPr>
          <w:p>
            <w:r>
              <w:t>2 Preference shares</w:t>
            </w:r>
          </w:p>
        </w:tc>
        <w:tc>
          <w:tcPr>
            <w:tcW w:type="dxa" w:w="2880"/>
          </w:tcPr>
          <w:p>
            <w:r>
              <w:t>€11.1m</w:t>
            </w:r>
          </w:p>
        </w:tc>
        <w:tc>
          <w:tcPr>
            <w:tcW w:type="dxa" w:w="2880"/>
          </w:tcPr>
          <w:p/>
        </w:tc>
      </w:tr>
      <w:tr>
        <w:tc>
          <w:tcPr>
            <w:tcW w:type="dxa" w:w="2880"/>
          </w:tcPr>
          <w:p>
            <w:r>
              <w:t>3 Rollover notes</w:t>
            </w:r>
          </w:p>
        </w:tc>
        <w:tc>
          <w:tcPr>
            <w:tcW w:type="dxa" w:w="2880"/>
          </w:tcPr>
          <w:p>
            <w:r>
              <w:t>€3.5m</w:t>
            </w:r>
          </w:p>
        </w:tc>
        <w:tc>
          <w:tcPr>
            <w:tcW w:type="dxa" w:w="2880"/>
          </w:tcPr>
          <w:p/>
        </w:tc>
      </w:tr>
      <w:tr>
        <w:tc>
          <w:tcPr>
            <w:tcW w:type="dxa" w:w="2880"/>
          </w:tcPr>
          <w:p>
            <w:r>
              <w:t>4 A ordinaries</w:t>
            </w:r>
          </w:p>
        </w:tc>
        <w:tc>
          <w:tcPr>
            <w:tcW w:type="dxa" w:w="2880"/>
          </w:tcPr>
          <w:p>
            <w:r>
              <w:t>€60.1m</w:t>
            </w:r>
          </w:p>
        </w:tc>
        <w:tc>
          <w:tcPr>
            <w:tcW w:type="dxa" w:w="2880"/>
          </w:tcPr>
          <w:p/>
        </w:tc>
      </w:tr>
      <w:tr>
        <w:tc>
          <w:tcPr>
            <w:tcW w:type="dxa" w:w="2880"/>
          </w:tcPr>
          <w:p>
            <w:r>
              <w:t xml:space="preserve">5 </w:t>
            </w:r>
            <w:r>
              <w:rPr>
                <w:b/>
              </w:rPr>
              <w:t>B ordinaries — sweet equity</w:t>
            </w:r>
          </w:p>
        </w:tc>
        <w:tc>
          <w:tcPr>
            <w:tcW w:type="dxa" w:w="2880"/>
          </w:tcPr>
          <w:p>
            <w:r>
              <w:rPr>
                <w:b/>
              </w:rPr>
              <w:t>€10.6m</w:t>
            </w:r>
          </w:p>
        </w:tc>
        <w:tc>
          <w:tcPr>
            <w:tcW w:type="dxa" w:w="2880"/>
          </w:tcPr>
          <w:p>
            <w:r>
              <w:t>3.5× what management pays</w:t>
            </w:r>
          </w:p>
        </w:tc>
      </w:tr>
      <w:tr>
        <w:tc>
          <w:tcPr>
            <w:tcW w:type="dxa" w:w="2880"/>
          </w:tcPr>
          <w:p>
            <w:r>
              <w:t>Total</w:t>
            </w:r>
          </w:p>
        </w:tc>
        <w:tc>
          <w:tcPr>
            <w:tcW w:type="dxa" w:w="2880"/>
          </w:tcPr>
          <w:p>
            <w:r>
              <w:rPr>
                <w:b/>
              </w:rPr>
              <w:t>€240.0m</w:t>
            </w:r>
            <w:r>
              <w:t xml:space="preserve"> ✓</w:t>
            </w:r>
          </w:p>
        </w:tc>
        <w:tc>
          <w:tcPr>
            <w:tcW w:type="dxa" w:w="2880"/>
          </w:tcPr>
          <w:p>
            <w:r>
              <w:t>the self-check</w:t>
            </w:r>
          </w:p>
        </w:tc>
      </w:tr>
    </w:tbl>
    <w:p/>
    <w:p>
      <w:pPr>
        <w:spacing w:after="160"/>
      </w:pPr>
      <w:r>
        <w:t xml:space="preserve">After a 15% DLOM: </w:t>
      </w:r>
      <w:r>
        <w:rPr>
          <w:b/>
        </w:rPr>
        <w:t>≈ €9.0m</w:t>
      </w:r>
      <w:r>
        <w:t xml:space="preserve">. Compare: management pays €3m, and today's naïve "intrinsic" value is €0 (240 &lt; 319). The €10.6m is </w:t>
      </w:r>
      <w:r>
        <w:rPr>
          <w:i/>
        </w:rPr>
        <w:t>pure</w:t>
      </w:r>
      <w:r>
        <w:t xml:space="preserve"> option value — the priced-in chance of good exits. This is why the method exists.</w:t>
      </w:r>
    </w:p>
    <w:p>
      <w:pPr>
        <w:spacing w:after="160"/>
      </w:pPr>
      <w:r>
        <w:rPr>
          <w:b/>
        </w:rPr>
        <w:t>What Black-Scholes can't do</w:t>
      </w:r>
      <w:r>
        <w:t>: it needs one fixed exit date and a payoff that depends only on the final value. Our ratchet ("did the sponsor make</w:t>
      </w:r>
    </w:p>
    <w:p>
      <w:pPr>
        <w:spacing w:after="160"/>
      </w:pPr>
      <w:r>
        <w:t>2.5×?") and uncertain exit year break those assumptions. Enter Monte Carlo.</w:t>
      </w:r>
    </w:p>
    <w:p>
      <w:pPr>
        <w:pStyle w:val="Heading1"/>
      </w:pPr>
      <w:r>
        <w:t>7. Model 2 — Monte Carlo, in plain words</w:t>
      </w:r>
    </w:p>
    <w:p>
      <w:pPr>
        <w:spacing w:after="160"/>
      </w:pPr>
      <w:r>
        <w:rPr>
          <w:b/>
        </w:rPr>
        <w:t>The idea.</w:t>
      </w:r>
      <w:r>
        <w:t xml:space="preserve"> If you can't solve it with a formula, play the future out many times and average. A Monte Carlo simulation:</w:t>
      </w:r>
    </w:p>
    <w:p>
      <w:pPr>
        <w:pStyle w:val="ListNumber"/>
      </w:pPr>
      <w:r>
        <w:rPr>
          <w:b/>
        </w:rPr>
        <w:t>Draws one possible future</w:t>
      </w:r>
      <w:r>
        <w:t>: picks an exit year (using your timing</w:t>
      </w:r>
    </w:p>
    <w:p>
      <w:pPr>
        <w:spacing w:after="160"/>
      </w:pPr>
      <w:r>
        <w:t>probabilities) and a random exit value for the pot. The random values are not arbitrary — they're drawn from the same statistical distribution that Black-Scholes assumes (centered so that, on average, the pot grows at the risk-free rate; spread out according to σ).</w:t>
      </w:r>
    </w:p>
    <w:p>
      <w:pPr>
        <w:pStyle w:val="ListNumber"/>
      </w:pPr>
      <w:r>
        <w:rPr>
          <w:b/>
        </w:rPr>
        <w:t>Runs the full waterfall of §3</w:t>
      </w:r>
      <w:r>
        <w:t xml:space="preserve"> on that future — all five classes, the</w:t>
      </w:r>
    </w:p>
    <w:p>
      <w:pPr>
        <w:spacing w:after="160"/>
      </w:pPr>
      <w:r>
        <w:t xml:space="preserve">accrued queue </w:t>
      </w:r>
      <w:r>
        <w:rPr>
          <w:i/>
        </w:rPr>
        <w:t>for that exit year</w:t>
      </w:r>
      <w:r>
        <w:t xml:space="preserve">, the ratchet test on the sponsor's money multiple </w:t>
      </w:r>
      <w:r>
        <w:rPr>
          <w:i/>
        </w:rPr>
        <w:t>in that scenario</w:t>
      </w:r>
      <w:r>
        <w:t xml:space="preserve"> — and records what the B shares receive.</w:t>
      </w:r>
    </w:p>
    <w:p>
      <w:pPr>
        <w:pStyle w:val="ListNumber"/>
      </w:pPr>
      <w:r>
        <w:rPr>
          <w:b/>
        </w:rPr>
        <w:t>Repeats 10,000+ times</w:t>
      </w:r>
      <w:r>
        <w:t xml:space="preserve"> and averages the (discounted) results.</w:t>
      </w:r>
    </w:p>
    <w:p>
      <w:pPr>
        <w:spacing w:after="160"/>
      </w:pPr>
      <w:r>
        <w:t>That average is the value. Any contractual quirk you can compute in one scenario, the simulation prices automatically — that's its whole advantage.</w:t>
      </w:r>
    </w:p>
    <w:p>
      <w:pPr>
        <w:spacing w:after="160"/>
      </w:pPr>
      <w:r>
        <w:rPr>
          <w:b/>
        </w:rPr>
        <w:t>Two things make a simulation trustworthy:</w:t>
      </w:r>
    </w:p>
    <w:p>
      <w:pPr>
        <w:pStyle w:val="ListBullet"/>
      </w:pPr>
      <w:r>
        <w:rPr>
          <w:b/>
        </w:rPr>
        <w:t>It must agree with Black-Scholes on the easy case.</w:t>
      </w:r>
      <w:r>
        <w:t xml:space="preserve"> Switch the ratchet</w:t>
      </w:r>
    </w:p>
    <w:p>
      <w:pPr>
        <w:spacing w:after="160"/>
      </w:pPr>
      <w:r>
        <w:t>off, fix the exit year — now it's exactly the OPM problem, and the numbers must match (up to a small, quantified random error). Both the Excel sheet and the Python model show this comparison. If a simulation can't reproduce the formula, don't trust it on the hard case.</w:t>
      </w:r>
    </w:p>
    <w:p>
      <w:pPr>
        <w:pStyle w:val="ListBullet"/>
      </w:pPr>
      <w:r>
        <w:rPr>
          <w:b/>
        </w:rPr>
        <w:t>The random error must be small and disclosed.</w:t>
      </w:r>
      <w:r>
        <w:t xml:space="preserve"> The "standard error"</w:t>
      </w:r>
    </w:p>
    <w:p>
      <w:pPr>
        <w:spacing w:after="160"/>
      </w:pPr>
      <w:r>
        <w:t>shown next to the result says how much the answer wiggles from run to run. More paths ⇒ smaller error (10,000 paths ≈ ±€0.5m here; production runs use 200,000+).</w:t>
      </w:r>
    </w:p>
    <w:p>
      <w:pPr>
        <w:spacing w:after="160"/>
      </w:pPr>
      <w:r>
        <w:rPr>
          <w:b/>
        </w:rPr>
        <w:t>What the ratchet does to the number</w:t>
      </w:r>
      <w:r>
        <w:t xml:space="preserve">: with the 2.5×-trigger ratchet and the 3/4/5-year exit spread switched on, the sweet equity value rises above the plain €10.6m — the ratchet only ever </w:t>
      </w:r>
      <w:r>
        <w:rPr>
          <w:i/>
        </w:rPr>
        <w:t>adds</w:t>
      </w:r>
      <w:r>
        <w:t xml:space="preserve"> (it triggers precisely in the scenarios where management already wins big). The Excel "5. Monte Carlo" sheet shows the per-class values, the % of scenarios where the ratchet fires, and the probability the sweet equity expires worthless — expect that probability to be </w:t>
      </w:r>
      <w:r>
        <w:rPr>
          <w:i/>
        </w:rPr>
        <w:t>large</w:t>
      </w:r>
      <w:r>
        <w:t xml:space="preserve"> (often 60–75%); the value lives in the fat right tail.</w:t>
      </w:r>
    </w:p>
    <w:p>
      <w:pPr>
        <w:pStyle w:val="Heading1"/>
      </w:pPr>
      <w:r>
        <w:t>8. Finishing the valuation: adjustments and sanity checks</w:t>
      </w:r>
    </w:p>
    <w:p>
      <w:pPr>
        <w:pStyle w:val="ListNumber"/>
      </w:pPr>
      <w:r>
        <w:rPr>
          <w:b/>
        </w:rPr>
        <w:t>Apply the DLOM</w:t>
      </w:r>
      <w:r>
        <w:t xml:space="preserve"> to the sweet equity value (not to V₀, not to the</w:t>
      </w:r>
    </w:p>
    <w:p>
      <w:pPr>
        <w:spacing w:after="160"/>
      </w:pPr>
      <w:r>
        <w:t>sponsor's instruments).</w:t>
      </w:r>
    </w:p>
    <w:p>
      <w:pPr>
        <w:pStyle w:val="ListNumber"/>
      </w:pPr>
      <w:r>
        <w:rPr>
          <w:b/>
        </w:rPr>
        <w:t>Probability-weight for leavers</w:t>
      </w:r>
      <w:r>
        <w:t xml:space="preserve"> if the terms create real forfeiture</w:t>
      </w:r>
    </w:p>
    <w:p>
      <w:pPr>
        <w:spacing w:after="160"/>
      </w:pPr>
      <w:r>
        <w:t>risk (state it separately — don't bury it).</w:t>
      </w:r>
    </w:p>
    <w:p>
      <w:pPr>
        <w:pStyle w:val="ListNumber"/>
      </w:pPr>
      <w:r>
        <w:rPr>
          <w:b/>
        </w:rPr>
        <w:t>Sanity checks</w:t>
      </w:r>
      <w:r>
        <w:t>:</w:t>
      </w:r>
    </w:p>
    <w:p>
      <w:pPr>
        <w:pStyle w:val="ListBullet2"/>
      </w:pPr>
      <w:r>
        <w:t xml:space="preserve">Do class values </w:t>
      </w:r>
      <w:r>
        <w:rPr>
          <w:b/>
        </w:rPr>
        <w:t>sum to V₀</w:t>
      </w:r>
      <w:r>
        <w:t>? (OPM: exactly; MC: within the standard error.)</w:t>
      </w:r>
    </w:p>
    <w:p>
      <w:pPr>
        <w:pStyle w:val="ListBullet2"/>
      </w:pPr>
      <w:r>
        <w:t xml:space="preserve">Does MC </w:t>
      </w:r>
      <w:r>
        <w:rPr>
          <w:b/>
        </w:rPr>
        <w:t>match the OPM</w:t>
      </w:r>
      <w:r>
        <w:t xml:space="preserve"> on the plain case?</w:t>
      </w:r>
    </w:p>
    <w:p>
      <w:pPr>
        <w:pStyle w:val="ListBullet2"/>
      </w:pPr>
      <w:r>
        <w:rPr>
          <w:b/>
        </w:rPr>
        <w:t>Envy ratio</w:t>
      </w:r>
      <w:r>
        <w:t xml:space="preserve"> in a normal range (2–5×)? Ours: the sponsor pays €227m</w:t>
      </w:r>
    </w:p>
    <w:p>
      <w:pPr>
        <w:spacing w:after="160"/>
      </w:pPr>
      <w:r>
        <w:t>for 85% of the ordinary upside (€2.7m per point); management pays €13m for 15% (€0.87m per point) — envy ≈ 3.1×, comfortably normal.</w:t>
      </w:r>
    </w:p>
    <w:p>
      <w:pPr>
        <w:pStyle w:val="ListBullet2"/>
      </w:pPr>
      <w:r>
        <w:t xml:space="preserve">Is the concluded value </w:t>
      </w:r>
      <w:r>
        <w:rPr>
          <w:b/>
        </w:rPr>
        <w:t>sensible against the price paid</w:t>
      </w:r>
      <w:r>
        <w:t xml:space="preserve"> (€3m) and the</w:t>
      </w:r>
    </w:p>
    <w:p>
      <w:pPr>
        <w:spacing w:after="160"/>
      </w:pPr>
      <w:r>
        <w:t>probability of zero (≈ 70%)? A first-timer's instinct — "€10m value but 70% chance of nothing?!" — is exactly how options work: rare big wins carry the value.</w:t>
      </w:r>
    </w:p>
    <w:p>
      <w:pPr>
        <w:pStyle w:val="ListNumber"/>
      </w:pPr>
      <w:r>
        <w:rPr>
          <w:b/>
        </w:rPr>
        <w:t>Present sensitivities</w:t>
      </w:r>
      <w:r>
        <w:t xml:space="preserve"> on σ and T (the two judgment inputs) — the Excel</w:t>
      </w:r>
    </w:p>
    <w:p>
      <w:pPr>
        <w:spacing w:after="160"/>
      </w:pPr>
      <w:r>
        <w:t>"6. Sensitivity" sheet is pre-built for this.</w:t>
      </w:r>
    </w:p>
    <w:p>
      <w:pPr>
        <w:pStyle w:val="Heading1"/>
      </w:pPr>
      <w:r>
        <w:t>9. Reviewer's checklist — the errors people actually make</w:t>
      </w:r>
    </w:p>
    <w:p>
      <w:pPr>
        <w:spacing w:after="160"/>
      </w:pPr>
      <w:r>
        <w:t>Work through these when reviewing someone else's model (most frequent first):</w:t>
      </w:r>
    </w:p>
    <w:p>
      <w:pPr>
        <w:pStyle w:val="ListBullet"/>
      </w:pPr>
      <w:r>
        <w:t xml:space="preserve">☐  </w:t>
      </w:r>
      <w:r>
        <w:rPr>
          <w:b/>
        </w:rPr>
        <w:t>Queue not rolled up</w:t>
      </w:r>
      <w:r>
        <w:t>: hurdle built from day-one amounts (€220m)</w:t>
      </w:r>
    </w:p>
    <w:p>
      <w:pPr>
        <w:spacing w:after="160"/>
      </w:pPr>
      <w:r>
        <w:t>instead of exit balances (€319m). Overvalues sweet equity, sometimes hugely.</w:t>
      </w:r>
    </w:p>
    <w:p>
      <w:pPr>
        <w:pStyle w:val="ListBullet"/>
      </w:pPr>
      <w:r>
        <w:t xml:space="preserve">☐  </w:t>
      </w:r>
      <w:r>
        <w:rPr>
          <w:b/>
        </w:rPr>
        <w:t>Class values don't sum to V₀</w:t>
      </w:r>
      <w:r>
        <w:t xml:space="preserve"> — arithmetic/logic error somewhere in</w:t>
      </w:r>
    </w:p>
    <w:p>
      <w:pPr>
        <w:spacing w:after="160"/>
      </w:pPr>
      <w:r>
        <w:t>the call-spreads.</w:t>
      </w:r>
    </w:p>
    <w:p>
      <w:pPr>
        <w:pStyle w:val="ListBullet"/>
      </w:pPr>
      <w:r>
        <w:t xml:space="preserve">☐  </w:t>
      </w:r>
      <w:r>
        <w:rPr>
          <w:b/>
        </w:rPr>
        <w:t>Wrong growth rate</w:t>
      </w:r>
      <w:r>
        <w:t>: pot simulated growing at the business-plan rate</w:t>
      </w:r>
    </w:p>
    <w:p>
      <w:pPr>
        <w:spacing w:after="160"/>
      </w:pPr>
      <w:r>
        <w:t xml:space="preserve">or discounted at a WACC. Option models must grow </w:t>
      </w:r>
      <w:r>
        <w:rPr>
          <w:i/>
        </w:rPr>
        <w:t>and</w:t>
      </w:r>
      <w:r>
        <w:t xml:space="preserve"> discount at the risk-free rate — risk lives in σ. (See §5, "r".)</w:t>
      </w:r>
    </w:p>
    <w:p>
      <w:pPr>
        <w:pStyle w:val="ListBullet"/>
      </w:pPr>
      <w:r>
        <w:t xml:space="preserve">☐  </w:t>
      </w:r>
      <w:r>
        <w:rPr>
          <w:b/>
        </w:rPr>
        <w:t>Volatility mismatched</w:t>
      </w:r>
      <w:r>
        <w:t>: σ taken straight from comparables without</w:t>
      </w:r>
    </w:p>
    <w:p>
      <w:pPr>
        <w:spacing w:after="160"/>
      </w:pPr>
      <w:r>
        <w:t xml:space="preserve">re-levering, or measured over 1 year for a 4-year option; or an </w:t>
      </w:r>
      <w:r>
        <w:rPr>
          <w:i/>
        </w:rPr>
        <w:t>asset</w:t>
      </w:r>
      <w:r>
        <w:t xml:space="preserve"> vol used on an </w:t>
      </w:r>
      <w:r>
        <w:rPr>
          <w:i/>
        </w:rPr>
        <w:t>equity</w:t>
      </w:r>
      <w:r>
        <w:t xml:space="preserve"> pot (or vice versa).</w:t>
      </w:r>
    </w:p>
    <w:p>
      <w:pPr>
        <w:pStyle w:val="ListBullet"/>
      </w:pPr>
      <w:r>
        <w:t xml:space="preserve">☐  </w:t>
      </w:r>
      <w:r>
        <w:rPr>
          <w:b/>
        </w:rPr>
        <w:t>Monte Carlo never validated</w:t>
      </w:r>
      <w:r>
        <w:t xml:space="preserve"> against the closed formula; no standard</w:t>
      </w:r>
    </w:p>
    <w:p>
      <w:pPr>
        <w:spacing w:after="160"/>
      </w:pPr>
      <w:r>
        <w:t>error shown; results change materially per run.</w:t>
      </w:r>
    </w:p>
    <w:p>
      <w:pPr>
        <w:pStyle w:val="ListBullet"/>
      </w:pPr>
      <w:r>
        <w:t xml:space="preserve">☐  </w:t>
      </w:r>
      <w:r>
        <w:rPr>
          <w:b/>
        </w:rPr>
        <w:t>Missing the −σ²/2</w:t>
      </w:r>
      <w:r>
        <w:t>: a subtle simulation bug (the "Itô correction" in</w:t>
      </w:r>
    </w:p>
    <w:p>
      <w:pPr>
        <w:spacing w:after="160"/>
      </w:pPr>
      <w:r>
        <w:t>the growth formula) that biases every path upward. Check the formula: exp((r − q − σ²/2)T + σ√T·Z).</w:t>
      </w:r>
    </w:p>
    <w:p>
      <w:pPr>
        <w:pStyle w:val="ListBullet"/>
      </w:pPr>
      <w:r>
        <w:t xml:space="preserve">☐  </w:t>
      </w:r>
      <w:r>
        <w:rPr>
          <w:b/>
        </w:rPr>
        <w:t>Ratchet or leaver terms ignored</w:t>
      </w:r>
      <w:r>
        <w:t xml:space="preserve"> although the SHA contains them —</w:t>
      </w:r>
    </w:p>
    <w:p>
      <w:pPr>
        <w:spacing w:after="160"/>
      </w:pPr>
      <w:r>
        <w:t>or an IRR-based ratchet forced into a fixed-date formula that can't represent it.</w:t>
      </w:r>
    </w:p>
    <w:p>
      <w:pPr>
        <w:pStyle w:val="ListBullet"/>
      </w:pPr>
      <w:r>
        <w:t xml:space="preserve">☐  </w:t>
      </w:r>
      <w:r>
        <w:rPr>
          <w:b/>
        </w:rPr>
        <w:t>DLOM double-counted</w:t>
      </w:r>
      <w:r>
        <w:t xml:space="preserve"> or applied to the whole pot instead of the</w:t>
      </w:r>
    </w:p>
    <w:p>
      <w:pPr>
        <w:spacing w:after="160"/>
      </w:pPr>
      <w:r>
        <w:t>subject shares.</w:t>
      </w:r>
    </w:p>
    <w:p>
      <w:pPr>
        <w:pStyle w:val="ListBullet"/>
      </w:pPr>
      <w:r>
        <w:t xml:space="preserve">☐  </w:t>
      </w:r>
      <w:r>
        <w:rPr>
          <w:b/>
        </w:rPr>
        <w:t>V₀ not anchored</w:t>
      </w:r>
      <w:r>
        <w:t>: near the deal date the model should reproduce the</w:t>
      </w:r>
    </w:p>
    <w:p>
      <w:pPr>
        <w:spacing w:after="160"/>
      </w:pPr>
      <w:r>
        <w:t>actual transaction (the pot is worth what everyone just paid for it — "calibration"/"backsolve"); an unanchored V₀ is a free parameter.</w:t>
      </w:r>
    </w:p>
    <w:p>
      <w:pPr>
        <w:pStyle w:val="ListBullet"/>
      </w:pPr>
      <w:r>
        <w:t xml:space="preserve">☐  </w:t>
      </w:r>
      <w:r>
        <w:rPr>
          <w:b/>
        </w:rPr>
        <w:t>No sensitivity table</w:t>
      </w:r>
      <w:r>
        <w:t xml:space="preserve"> for σ and T.</w:t>
      </w:r>
    </w:p>
    <w:p>
      <w:pPr>
        <w:pStyle w:val="Heading1"/>
      </w:pPr>
      <w:r>
        <w:t>10.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Plain meaning</w:t>
            </w:r>
          </w:p>
        </w:tc>
      </w:tr>
      <w:tr>
        <w:tc>
          <w:tcPr>
            <w:tcW w:type="dxa" w:w="4320"/>
          </w:tcPr>
          <w:p>
            <w:r>
              <w:t>Black-Scholes</w:t>
            </w:r>
          </w:p>
        </w:tc>
        <w:tc>
          <w:tcPr>
            <w:tcW w:type="dxa" w:w="4320"/>
          </w:tcPr>
          <w:p>
            <w:r>
              <w:t>The standard formula pricing "the right to all value above a threshold at a future date"</w:t>
            </w:r>
          </w:p>
        </w:tc>
      </w:tr>
      <w:tr>
        <w:tc>
          <w:tcPr>
            <w:tcW w:type="dxa" w:w="4320"/>
          </w:tcPr>
          <w:p>
            <w:r>
              <w:t>Breakpoint / strike / hurdle</w:t>
            </w:r>
          </w:p>
        </w:tc>
        <w:tc>
          <w:tcPr>
            <w:tcW w:type="dxa" w:w="4320"/>
          </w:tcPr>
          <w:p>
            <w:r>
              <w:t>The threshold(s): accrued queue amounts at exit</w:t>
            </w:r>
          </w:p>
        </w:tc>
      </w:tr>
      <w:tr>
        <w:tc>
          <w:tcPr>
            <w:tcW w:type="dxa" w:w="4320"/>
          </w:tcPr>
          <w:p>
            <w:r>
              <w:t>Backsolve / calibration</w:t>
            </w:r>
          </w:p>
        </w:tc>
        <w:tc>
          <w:tcPr>
            <w:tcW w:type="dxa" w:w="4320"/>
          </w:tcPr>
          <w:p>
            <w:r>
              <w:t>Choosing V₀ so the model reproduces the real transaction price</w:t>
            </w:r>
          </w:p>
        </w:tc>
      </w:tr>
      <w:tr>
        <w:tc>
          <w:tcPr>
            <w:tcW w:type="dxa" w:w="4320"/>
          </w:tcPr>
          <w:p>
            <w:r>
              <w:t>Call option</w:t>
            </w:r>
          </w:p>
        </w:tc>
        <w:tc>
          <w:tcPr>
            <w:tcW w:type="dxa" w:w="4320"/>
          </w:tcPr>
          <w:p>
            <w:r>
              <w:t>The right (not obligation) to benefit above a threshold — sweet equity's payoff shape</w:t>
            </w:r>
          </w:p>
        </w:tc>
      </w:tr>
      <w:tr>
        <w:tc>
          <w:tcPr>
            <w:tcW w:type="dxa" w:w="4320"/>
          </w:tcPr>
          <w:p>
            <w:r>
              <w:t>DLOM</w:t>
            </w:r>
          </w:p>
        </w:tc>
        <w:tc>
          <w:tcPr>
            <w:tcW w:type="dxa" w:w="4320"/>
          </w:tcPr>
          <w:p>
            <w:r>
              <w:t>Haircut for shares that can't be sold</w:t>
            </w:r>
          </w:p>
        </w:tc>
      </w:tr>
      <w:tr>
        <w:tc>
          <w:tcPr>
            <w:tcW w:type="dxa" w:w="4320"/>
          </w:tcPr>
          <w:p>
            <w:r>
              <w:t>Envy ratio</w:t>
            </w:r>
          </w:p>
        </w:tc>
        <w:tc>
          <w:tcPr>
            <w:tcW w:type="dxa" w:w="4320"/>
          </w:tcPr>
          <w:p>
            <w:r>
              <w:t>How much better management's terms are per euro than the sponsor's</w:t>
            </w:r>
          </w:p>
        </w:tc>
      </w:tr>
      <w:tr>
        <w:tc>
          <w:tcPr>
            <w:tcW w:type="dxa" w:w="4320"/>
          </w:tcPr>
          <w:p>
            <w:r>
              <w:t>GBM</w:t>
            </w:r>
          </w:p>
        </w:tc>
        <w:tc>
          <w:tcPr>
            <w:tcW w:type="dxa" w:w="4320"/>
          </w:tcPr>
          <w:p>
            <w:r>
              <w:t>The standard "random walk with drift" used to simulate the pot's future value</w:t>
            </w:r>
          </w:p>
        </w:tc>
      </w:tr>
      <w:tr>
        <w:tc>
          <w:tcPr>
            <w:tcW w:type="dxa" w:w="4320"/>
          </w:tcPr>
          <w:p>
            <w:r>
              <w:t>Institutional strip</w:t>
            </w:r>
          </w:p>
        </w:tc>
        <w:tc>
          <w:tcPr>
            <w:tcW w:type="dxa" w:w="4320"/>
          </w:tcPr>
          <w:p>
            <w:r>
              <w:t>The sponsor's loan notes + preference shares</w:t>
            </w:r>
          </w:p>
        </w:tc>
      </w:tr>
      <w:tr>
        <w:tc>
          <w:tcPr>
            <w:tcW w:type="dxa" w:w="4320"/>
          </w:tcPr>
          <w:p>
            <w:r>
              <w:t>Money multiple (MoM)</w:t>
            </w:r>
          </w:p>
        </w:tc>
        <w:tc>
          <w:tcPr>
            <w:tcW w:type="dxa" w:w="4320"/>
          </w:tcPr>
          <w:p>
            <w:r>
              <w:t>Cash returned ÷ cash invested</w:t>
            </w:r>
          </w:p>
        </w:tc>
      </w:tr>
      <w:tr>
        <w:tc>
          <w:tcPr>
            <w:tcW w:type="dxa" w:w="4320"/>
          </w:tcPr>
          <w:p>
            <w:r>
              <w:t>Monte Carlo</w:t>
            </w:r>
          </w:p>
        </w:tc>
        <w:tc>
          <w:tcPr>
            <w:tcW w:type="dxa" w:w="4320"/>
          </w:tcPr>
          <w:p>
            <w:r>
              <w:t>Valuation by simulating thousands of futures and averaging</w:t>
            </w:r>
          </w:p>
        </w:tc>
      </w:tr>
      <w:tr>
        <w:tc>
          <w:tcPr>
            <w:tcW w:type="dxa" w:w="4320"/>
          </w:tcPr>
          <w:p>
            <w:r>
              <w:t>OPM</w:t>
            </w:r>
          </w:p>
        </w:tc>
        <w:tc>
          <w:tcPr>
            <w:tcW w:type="dxa" w:w="4320"/>
          </w:tcPr>
          <w:p>
            <w:r>
              <w:t>Option Pricing Method — Black-Scholes applied class-by-class to a waterfall</w:t>
            </w:r>
          </w:p>
        </w:tc>
      </w:tr>
      <w:tr>
        <w:tc>
          <w:tcPr>
            <w:tcW w:type="dxa" w:w="4320"/>
          </w:tcPr>
          <w:p>
            <w:r>
              <w:t>PIK</w:t>
            </w:r>
          </w:p>
        </w:tc>
        <w:tc>
          <w:tcPr>
            <w:tcW w:type="dxa" w:w="4320"/>
          </w:tcPr>
          <w:p>
            <w:r>
              <w:t>Interest that rolls up and compounds instead of being paid in cash</w:t>
            </w:r>
          </w:p>
        </w:tc>
      </w:tr>
      <w:tr>
        <w:tc>
          <w:tcPr>
            <w:tcW w:type="dxa" w:w="4320"/>
          </w:tcPr>
          <w:p>
            <w:r>
              <w:t>Ratchet</w:t>
            </w:r>
          </w:p>
        </w:tc>
        <w:tc>
          <w:tcPr>
            <w:tcW w:type="dxa" w:w="4320"/>
          </w:tcPr>
          <w:p>
            <w:r>
              <w:t>Step-up in management's share if the sponsor's return beats a trigger</w:t>
            </w:r>
          </w:p>
        </w:tc>
      </w:tr>
      <w:tr>
        <w:tc>
          <w:tcPr>
            <w:tcW w:type="dxa" w:w="4320"/>
          </w:tcPr>
          <w:p>
            <w:r>
              <w:t>Risk-neutral</w:t>
            </w:r>
          </w:p>
        </w:tc>
        <w:tc>
          <w:tcPr>
            <w:tcW w:type="dxa" w:w="4320"/>
          </w:tcPr>
          <w:p>
            <w:r>
              <w:t>The adjusted world where option math happens: grow and discount at the risk-free rate</w:t>
            </w:r>
          </w:p>
        </w:tc>
      </w:tr>
      <w:tr>
        <w:tc>
          <w:tcPr>
            <w:tcW w:type="dxa" w:w="4320"/>
          </w:tcPr>
          <w:p>
            <w:r>
              <w:t>Standard error</w:t>
            </w:r>
          </w:p>
        </w:tc>
        <w:tc>
          <w:tcPr>
            <w:tcW w:type="dxa" w:w="4320"/>
          </w:tcPr>
          <w:p>
            <w:r>
              <w:t>The ± wiggle of a simulation's answer due to randomness</w:t>
            </w:r>
          </w:p>
        </w:tc>
      </w:tr>
      <w:tr>
        <w:tc>
          <w:tcPr>
            <w:tcW w:type="dxa" w:w="4320"/>
          </w:tcPr>
          <w:p>
            <w:r>
              <w:t>Sweet equity</w:t>
            </w:r>
          </w:p>
        </w:tc>
        <w:tc>
          <w:tcPr>
            <w:tcW w:type="dxa" w:w="4320"/>
          </w:tcPr>
          <w:p>
            <w:r>
              <w:t>Management's cheap-to-buy, high-upside ordinary shares</w:t>
            </w:r>
          </w:p>
        </w:tc>
      </w:tr>
      <w:tr>
        <w:tc>
          <w:tcPr>
            <w:tcW w:type="dxa" w:w="4320"/>
          </w:tcPr>
          <w:p>
            <w:r>
              <w:t>V₀ / "the pot"</w:t>
            </w:r>
          </w:p>
        </w:tc>
        <w:tc>
          <w:tcPr>
            <w:tcW w:type="dxa" w:w="4320"/>
          </w:tcPr>
          <w:p>
            <w:r>
              <w:t>Today's value of all equity instruments combined</w:t>
            </w:r>
          </w:p>
        </w:tc>
      </w:tr>
      <w:tr>
        <w:tc>
          <w:tcPr>
            <w:tcW w:type="dxa" w:w="4320"/>
          </w:tcPr>
          <w:p>
            <w:r>
              <w:t>Waterfall</w:t>
            </w:r>
          </w:p>
        </w:tc>
        <w:tc>
          <w:tcPr>
            <w:tcW w:type="dxa" w:w="4320"/>
          </w:tcPr>
          <w:p>
            <w:r>
              <w:t>The payout queue at exit</w:t>
            </w:r>
          </w:p>
        </w:tc>
      </w:tr>
    </w:tbl>
    <w:p/>
    <w:p>
      <w:pPr>
        <w:spacing w:after="160"/>
      </w:pPr>
      <w:r>
        <w:rPr>
          <w:i/>
        </w:rPr>
        <w:t>Companion files: the Excel model (same example, live formulas) and the Python scripts `models/black_scholes_opm.py` and `models/monte_carlo_sweet_equity.py`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