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Musicality Evaluation for Music-to-Dance Generation</w:t>
      </w:r>
    </w:p>
    <w:p>
      <w:pPr>
        <w:spacing w:after="40"/>
      </w:pPr>
      <w:r>
        <w:rPr>
          <w:b/>
          <w:color w:val="595959"/>
          <w:sz w:val="24"/>
        </w:rPr>
        <w:t>Working research note: metrics, diagnostic tests, MACE-Dance, and ImperialDance validation</w:t>
      </w:r>
    </w:p>
    <w:p>
      <w:pPr>
        <w:pStyle w:val="SmallNote"/>
      </w:pPr>
      <w:r>
        <w:t>Prepared from the discussion on beat alignment, accents, dynamics, phrase structure, and counterfactual musicality tests. Updated October 2026.</w:t>
      </w:r>
    </w:p>
    <w:p/>
    <w:tbl>
      <w:tblPr>
        <w:tblW w:type="auto" w:w="0"/>
        <w:jc w:val="center"/>
        <w:tblLayout w:type="autofit"/>
        <w:tblLook w:firstColumn="1" w:firstRow="1" w:lastColumn="0" w:lastRow="0" w:noHBand="0" w:noVBand="1" w:val="04A0"/>
      </w:tblPr>
      <w:tblGrid>
        <w:gridCol w:w="10166"/>
      </w:tblGrid>
      <w:tr>
        <w:tc>
          <w:tcPr>
            <w:tcW w:type="dxa" w:w="10166"/>
            <w:shd w:fill="EEF3F8"/>
            <w:tcMar>
              <w:top w:w="120" w:type="dxa"/>
              <w:start w:w="140" w:type="dxa"/>
              <w:bottom w:w="120" w:type="dxa"/>
              <w:end w:w="140" w:type="dxa"/>
            </w:tcMar>
          </w:tcPr>
          <w:p>
            <w:pPr>
              <w:spacing w:after="0"/>
            </w:pPr>
            <w:r>
              <w:rPr>
                <w:rFonts w:ascii="Aptos" w:hAnsi="Aptos"/>
                <w:b/>
                <w:color w:val="1F4E79"/>
              </w:rPr>
              <w:t xml:space="preserve">Core principle: </w:t>
            </w:r>
            <w:r>
              <w:rPr>
                <w:rFonts w:ascii="Aptos" w:hAnsi="Aptos"/>
              </w:rPr>
              <w:t>Do not assume that MACE-Dance lacks musicality. First measure where it succeeds and fails. The strongest motivation for a new loss is a repeatable failure under a metric that is independently validated on human dance.</w:t>
            </w:r>
          </w:p>
        </w:tc>
      </w:tr>
    </w:tbl>
    <w:p>
      <w:pPr>
        <w:spacing w:after="0"/>
      </w:pPr>
    </w:p>
    <w:p>
      <w:pPr>
        <w:pStyle w:val="Heading1"/>
      </w:pPr>
      <w:r>
        <w:t>1. What we mean by musicality evaluation</w:t>
      </w:r>
    </w:p>
    <w:p>
      <w:r>
        <w:t xml:space="preserve">For a music-conditioned generator, musicality evaluation should measure the relationship between the conditioning music M and generated dance D-hat, not only similarity to one ground-truth choreography D. </w:t>
      </w:r>
      <w:r>
        <w:rPr>
          <w:b/>
        </w:rPr>
        <w:t>A useful evaluation stack therefore separates:</w:t>
      </w:r>
    </w:p>
    <w:p>
      <w:pPr>
        <w:pStyle w:val="ListBullet"/>
      </w:pPr>
      <w:r>
        <w:t>Timing: when movement accents occur relative to musical beats.</w:t>
      </w:r>
    </w:p>
    <w:p>
      <w:pPr>
        <w:pStyle w:val="ListBullet"/>
      </w:pPr>
      <w:r>
        <w:t>Accent response: whether stronger musical accents elicit stronger movement accents.</w:t>
      </w:r>
    </w:p>
    <w:p>
      <w:pPr>
        <w:pStyle w:val="ListBullet"/>
      </w:pPr>
      <w:r>
        <w:t>Dynamics: whether motion intensity rises and falls with musical intensity over longer windows.</w:t>
      </w:r>
    </w:p>
    <w:p>
      <w:pPr>
        <w:pStyle w:val="ListBullet"/>
      </w:pPr>
      <w:r>
        <w:t>Structure: whether changes/repetitions in musical phrases are reflected by changes/repetitions in choreography.</w:t>
      </w:r>
    </w:p>
    <w:p>
      <w:pPr>
        <w:pStyle w:val="ListBullet"/>
      </w:pPr>
      <w:r>
        <w:t>Sensitivity: whether controlled changes to the music cause directionally appropriate changes in generated motion.</w:t>
      </w:r>
    </w:p>
    <w:p>
      <w:pPr>
        <w:pStyle w:val="Heading1"/>
      </w:pPr>
      <w:r>
        <w:t>2. Metric summary</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9EAF7"/>
            <w:vAlign w:val="center"/>
          </w:tcPr>
          <w:p>
            <w:pPr>
              <w:spacing w:after="0"/>
            </w:pPr>
            <w:r>
              <w:rPr>
                <w:rFonts w:ascii="Aptos" w:hAnsi="Aptos"/>
                <w:b/>
                <w:sz w:val="16"/>
              </w:rPr>
              <w:t>Metric</w:t>
            </w:r>
          </w:p>
        </w:tc>
        <w:tc>
          <w:tcPr>
            <w:tcW w:type="dxa" w:w="2033"/>
            <w:shd w:fill="D9EAF7"/>
            <w:vAlign w:val="center"/>
          </w:tcPr>
          <w:p>
            <w:pPr>
              <w:spacing w:after="0"/>
            </w:pPr>
            <w:r>
              <w:rPr>
                <w:rFonts w:ascii="Aptos" w:hAnsi="Aptos"/>
                <w:b/>
                <w:sz w:val="16"/>
              </w:rPr>
              <w:t>Status</w:t>
            </w:r>
          </w:p>
        </w:tc>
        <w:tc>
          <w:tcPr>
            <w:tcW w:type="dxa" w:w="2033"/>
            <w:shd w:fill="D9EAF7"/>
            <w:vAlign w:val="center"/>
          </w:tcPr>
          <w:p>
            <w:pPr>
              <w:spacing w:after="0"/>
            </w:pPr>
            <w:r>
              <w:rPr>
                <w:rFonts w:ascii="Aptos" w:hAnsi="Aptos"/>
                <w:b/>
                <w:sz w:val="16"/>
              </w:rPr>
              <w:t>Music signal</w:t>
            </w:r>
          </w:p>
        </w:tc>
        <w:tc>
          <w:tcPr>
            <w:tcW w:type="dxa" w:w="2033"/>
            <w:shd w:fill="D9EAF7"/>
            <w:vAlign w:val="center"/>
          </w:tcPr>
          <w:p>
            <w:pPr>
              <w:spacing w:after="0"/>
            </w:pPr>
            <w:r>
              <w:rPr>
                <w:rFonts w:ascii="Aptos" w:hAnsi="Aptos"/>
                <w:b/>
                <w:sz w:val="16"/>
              </w:rPr>
              <w:t>Motion signal</w:t>
            </w:r>
          </w:p>
        </w:tc>
        <w:tc>
          <w:tcPr>
            <w:tcW w:type="dxa" w:w="2033"/>
            <w:shd w:fill="D9EAF7"/>
            <w:vAlign w:val="center"/>
          </w:tcPr>
          <w:p>
            <w:pPr>
              <w:spacing w:after="0"/>
            </w:pPr>
            <w:r>
              <w:rPr>
                <w:rFonts w:ascii="Aptos" w:hAnsi="Aptos"/>
                <w:b/>
                <w:sz w:val="16"/>
              </w:rPr>
              <w:t>Primary source</w:t>
            </w:r>
          </w:p>
        </w:tc>
      </w:tr>
      <w:tr>
        <w:tc>
          <w:tcPr>
            <w:tcW w:type="dxa" w:w="2033"/>
            <w:tcMar>
              <w:top w:w="80" w:type="dxa"/>
              <w:start w:w="100" w:type="dxa"/>
              <w:bottom w:w="80" w:type="dxa"/>
              <w:end w:w="100" w:type="dxa"/>
            </w:tcMar>
            <w:vAlign w:val="center"/>
          </w:tcPr>
          <w:p>
            <w:pPr>
              <w:spacing w:after="0"/>
            </w:pPr>
            <w:r>
              <w:rPr>
                <w:rFonts w:ascii="Aptos" w:hAnsi="Aptos"/>
                <w:sz w:val="16"/>
              </w:rPr>
              <w:t>BAS / BeatAlign</w:t>
            </w:r>
          </w:p>
        </w:tc>
        <w:tc>
          <w:tcPr>
            <w:tcW w:type="dxa" w:w="2033"/>
            <w:tcMar>
              <w:top w:w="80" w:type="dxa"/>
              <w:start w:w="100" w:type="dxa"/>
              <w:bottom w:w="80" w:type="dxa"/>
              <w:end w:w="100" w:type="dxa"/>
            </w:tcMar>
            <w:vAlign w:val="center"/>
          </w:tcPr>
          <w:p>
            <w:pPr>
              <w:spacing w:after="0"/>
            </w:pPr>
            <w:r>
              <w:rPr>
                <w:rFonts w:ascii="Aptos" w:hAnsi="Aptos"/>
                <w:sz w:val="16"/>
              </w:rPr>
              <w:t>Published</w:t>
            </w:r>
          </w:p>
        </w:tc>
        <w:tc>
          <w:tcPr>
            <w:tcW w:type="dxa" w:w="2033"/>
            <w:tcMar>
              <w:top w:w="80" w:type="dxa"/>
              <w:start w:w="100" w:type="dxa"/>
              <w:bottom w:w="80" w:type="dxa"/>
              <w:end w:w="100" w:type="dxa"/>
            </w:tcMar>
            <w:vAlign w:val="center"/>
          </w:tcPr>
          <w:p>
            <w:pPr>
              <w:spacing w:after="0"/>
            </w:pPr>
            <w:r>
              <w:rPr>
                <w:rFonts w:ascii="Aptos" w:hAnsi="Aptos"/>
                <w:sz w:val="16"/>
              </w:rPr>
              <w:t>Beat timestamps</w:t>
            </w:r>
          </w:p>
        </w:tc>
        <w:tc>
          <w:tcPr>
            <w:tcW w:type="dxa" w:w="2033"/>
            <w:tcMar>
              <w:top w:w="80" w:type="dxa"/>
              <w:start w:w="100" w:type="dxa"/>
              <w:bottom w:w="80" w:type="dxa"/>
              <w:end w:w="100" w:type="dxa"/>
            </w:tcMar>
            <w:vAlign w:val="center"/>
          </w:tcPr>
          <w:p>
            <w:pPr>
              <w:spacing w:after="0"/>
            </w:pPr>
            <w:r>
              <w:rPr>
                <w:rFonts w:ascii="Aptos" w:hAnsi="Aptos"/>
                <w:sz w:val="16"/>
              </w:rPr>
              <w:t>Kinematic beat timestamps</w:t>
            </w:r>
          </w:p>
        </w:tc>
        <w:tc>
          <w:tcPr>
            <w:tcW w:type="dxa" w:w="2033"/>
            <w:tcMar>
              <w:top w:w="80" w:type="dxa"/>
              <w:start w:w="100" w:type="dxa"/>
              <w:bottom w:w="80" w:type="dxa"/>
              <w:end w:w="100" w:type="dxa"/>
            </w:tcMar>
            <w:vAlign w:val="center"/>
          </w:tcPr>
          <w:p>
            <w:pPr>
              <w:spacing w:after="0"/>
            </w:pPr>
            <w:r>
              <w:rPr>
                <w:rFonts w:ascii="Aptos" w:hAnsi="Aptos"/>
                <w:sz w:val="16"/>
              </w:rPr>
              <w:t>Li et al., ICCV 2021 [1]</w:t>
            </w:r>
          </w:p>
        </w:tc>
      </w:tr>
      <w:tr>
        <w:tc>
          <w:tcPr>
            <w:tcW w:type="dxa" w:w="2033"/>
            <w:tcMar>
              <w:top w:w="80" w:type="dxa"/>
              <w:start w:w="100" w:type="dxa"/>
              <w:bottom w:w="80" w:type="dxa"/>
              <w:end w:w="100" w:type="dxa"/>
            </w:tcMar>
            <w:vAlign w:val="center"/>
          </w:tcPr>
          <w:p>
            <w:pPr>
              <w:spacing w:after="0"/>
            </w:pPr>
            <w:r>
              <w:rPr>
                <w:rFonts w:ascii="Aptos" w:hAnsi="Aptos"/>
                <w:sz w:val="16"/>
              </w:rPr>
              <w:t>VBCS</w:t>
            </w:r>
          </w:p>
        </w:tc>
        <w:tc>
          <w:tcPr>
            <w:tcW w:type="dxa" w:w="2033"/>
            <w:tcMar>
              <w:top w:w="80" w:type="dxa"/>
              <w:start w:w="100" w:type="dxa"/>
              <w:bottom w:w="80" w:type="dxa"/>
              <w:end w:w="100" w:type="dxa"/>
            </w:tcMar>
            <w:vAlign w:val="center"/>
          </w:tcPr>
          <w:p>
            <w:pPr>
              <w:spacing w:after="0"/>
            </w:pPr>
            <w:r>
              <w:rPr>
                <w:rFonts w:ascii="Aptos" w:hAnsi="Aptos"/>
                <w:sz w:val="16"/>
              </w:rPr>
              <w:t>Published</w:t>
            </w:r>
          </w:p>
        </w:tc>
        <w:tc>
          <w:tcPr>
            <w:tcW w:type="dxa" w:w="2033"/>
            <w:tcMar>
              <w:top w:w="80" w:type="dxa"/>
              <w:start w:w="100" w:type="dxa"/>
              <w:bottom w:w="80" w:type="dxa"/>
              <w:end w:w="100" w:type="dxa"/>
            </w:tcMar>
            <w:vAlign w:val="center"/>
          </w:tcPr>
          <w:p>
            <w:pPr>
              <w:spacing w:after="0"/>
            </w:pPr>
            <w:r>
              <w:rPr>
                <w:rFonts w:ascii="Aptos" w:hAnsi="Aptos"/>
                <w:sz w:val="16"/>
              </w:rPr>
              <w:t>Beat timestamps</w:t>
            </w:r>
          </w:p>
        </w:tc>
        <w:tc>
          <w:tcPr>
            <w:tcW w:type="dxa" w:w="2033"/>
            <w:tcMar>
              <w:top w:w="80" w:type="dxa"/>
              <w:start w:w="100" w:type="dxa"/>
              <w:bottom w:w="80" w:type="dxa"/>
              <w:end w:w="100" w:type="dxa"/>
            </w:tcMar>
            <w:vAlign w:val="center"/>
          </w:tcPr>
          <w:p>
            <w:pPr>
              <w:spacing w:after="0"/>
            </w:pPr>
            <w:r>
              <w:rPr>
                <w:rFonts w:ascii="Aptos" w:hAnsi="Aptos"/>
                <w:sz w:val="16"/>
              </w:rPr>
              <w:t>Motion-accent timestamps</w:t>
            </w:r>
          </w:p>
        </w:tc>
        <w:tc>
          <w:tcPr>
            <w:tcW w:type="dxa" w:w="2033"/>
            <w:tcMar>
              <w:top w:w="80" w:type="dxa"/>
              <w:start w:w="100" w:type="dxa"/>
              <w:bottom w:w="80" w:type="dxa"/>
              <w:end w:w="100" w:type="dxa"/>
            </w:tcMar>
            <w:vAlign w:val="center"/>
          </w:tcPr>
          <w:p>
            <w:pPr>
              <w:spacing w:after="0"/>
            </w:pPr>
            <w:r>
              <w:rPr>
                <w:rFonts w:ascii="Aptos" w:hAnsi="Aptos"/>
                <w:sz w:val="16"/>
              </w:rPr>
              <w:t>TMD-Bench, ICML 2026 [2]</w:t>
            </w:r>
          </w:p>
        </w:tc>
      </w:tr>
      <w:tr>
        <w:tc>
          <w:tcPr>
            <w:tcW w:type="dxa" w:w="2033"/>
            <w:tcMar>
              <w:top w:w="80" w:type="dxa"/>
              <w:start w:w="100" w:type="dxa"/>
              <w:bottom w:w="80" w:type="dxa"/>
              <w:end w:w="100" w:type="dxa"/>
            </w:tcMar>
            <w:vAlign w:val="center"/>
          </w:tcPr>
          <w:p>
            <w:pPr>
              <w:spacing w:after="0"/>
            </w:pPr>
            <w:r>
              <w:rPr>
                <w:rFonts w:ascii="Aptos" w:hAnsi="Aptos"/>
                <w:sz w:val="16"/>
              </w:rPr>
              <w:t>ABHS</w:t>
            </w:r>
          </w:p>
        </w:tc>
        <w:tc>
          <w:tcPr>
            <w:tcW w:type="dxa" w:w="2033"/>
            <w:tcMar>
              <w:top w:w="80" w:type="dxa"/>
              <w:start w:w="100" w:type="dxa"/>
              <w:bottom w:w="80" w:type="dxa"/>
              <w:end w:w="100" w:type="dxa"/>
            </w:tcMar>
            <w:vAlign w:val="center"/>
          </w:tcPr>
          <w:p>
            <w:pPr>
              <w:spacing w:after="0"/>
            </w:pPr>
            <w:r>
              <w:rPr>
                <w:rFonts w:ascii="Aptos" w:hAnsi="Aptos"/>
                <w:sz w:val="16"/>
              </w:rPr>
              <w:t>Published</w:t>
            </w:r>
          </w:p>
        </w:tc>
        <w:tc>
          <w:tcPr>
            <w:tcW w:type="dxa" w:w="2033"/>
            <w:tcMar>
              <w:top w:w="80" w:type="dxa"/>
              <w:start w:w="100" w:type="dxa"/>
              <w:bottom w:w="80" w:type="dxa"/>
              <w:end w:w="100" w:type="dxa"/>
            </w:tcMar>
            <w:vAlign w:val="center"/>
          </w:tcPr>
          <w:p>
            <w:pPr>
              <w:spacing w:after="0"/>
            </w:pPr>
            <w:r>
              <w:rPr>
                <w:rFonts w:ascii="Aptos" w:hAnsi="Aptos"/>
                <w:sz w:val="16"/>
              </w:rPr>
              <w:t>Beat timestamps</w:t>
            </w:r>
          </w:p>
        </w:tc>
        <w:tc>
          <w:tcPr>
            <w:tcW w:type="dxa" w:w="2033"/>
            <w:tcMar>
              <w:top w:w="80" w:type="dxa"/>
              <w:start w:w="100" w:type="dxa"/>
              <w:bottom w:w="80" w:type="dxa"/>
              <w:end w:w="100" w:type="dxa"/>
            </w:tcMar>
            <w:vAlign w:val="center"/>
          </w:tcPr>
          <w:p>
            <w:pPr>
              <w:spacing w:after="0"/>
            </w:pPr>
            <w:r>
              <w:rPr>
                <w:rFonts w:ascii="Aptos" w:hAnsi="Aptos"/>
                <w:sz w:val="16"/>
              </w:rPr>
              <w:t>Motion-accent timestamps</w:t>
            </w:r>
          </w:p>
        </w:tc>
        <w:tc>
          <w:tcPr>
            <w:tcW w:type="dxa" w:w="2033"/>
            <w:tcMar>
              <w:top w:w="80" w:type="dxa"/>
              <w:start w:w="100" w:type="dxa"/>
              <w:bottom w:w="80" w:type="dxa"/>
              <w:end w:w="100" w:type="dxa"/>
            </w:tcMar>
            <w:vAlign w:val="center"/>
          </w:tcPr>
          <w:p>
            <w:pPr>
              <w:spacing w:after="0"/>
            </w:pPr>
            <w:r>
              <w:rPr>
                <w:rFonts w:ascii="Aptos" w:hAnsi="Aptos"/>
                <w:sz w:val="16"/>
              </w:rPr>
              <w:t>TMD-Bench, ICML 2026 [2]</w:t>
            </w:r>
          </w:p>
        </w:tc>
      </w:tr>
      <w:tr>
        <w:tc>
          <w:tcPr>
            <w:tcW w:type="dxa" w:w="2033"/>
            <w:tcMar>
              <w:top w:w="80" w:type="dxa"/>
              <w:start w:w="100" w:type="dxa"/>
              <w:bottom w:w="80" w:type="dxa"/>
              <w:end w:w="100" w:type="dxa"/>
            </w:tcMar>
            <w:vAlign w:val="center"/>
          </w:tcPr>
          <w:p>
            <w:pPr>
              <w:spacing w:after="0"/>
            </w:pPr>
            <w:r>
              <w:rPr>
                <w:rFonts w:ascii="Aptos" w:hAnsi="Aptos"/>
                <w:sz w:val="16"/>
              </w:rPr>
              <w:t>Accent-Strength Alignment (AAS)</w:t>
            </w:r>
          </w:p>
        </w:tc>
        <w:tc>
          <w:tcPr>
            <w:tcW w:type="dxa" w:w="2033"/>
            <w:tcMar>
              <w:top w:w="80" w:type="dxa"/>
              <w:start w:w="100" w:type="dxa"/>
              <w:bottom w:w="80" w:type="dxa"/>
              <w:end w:w="100" w:type="dxa"/>
            </w:tcMar>
            <w:vAlign w:val="center"/>
          </w:tcPr>
          <w:p>
            <w:pPr>
              <w:spacing w:after="0"/>
            </w:pPr>
            <w:r>
              <w:rPr>
                <w:rFonts w:ascii="Aptos" w:hAnsi="Aptos"/>
                <w:sz w:val="16"/>
              </w:rPr>
              <w:t>Proposed adaptation</w:t>
            </w:r>
          </w:p>
        </w:tc>
        <w:tc>
          <w:tcPr>
            <w:tcW w:type="dxa" w:w="2033"/>
            <w:tcMar>
              <w:top w:w="80" w:type="dxa"/>
              <w:start w:w="100" w:type="dxa"/>
              <w:bottom w:w="80" w:type="dxa"/>
              <w:end w:w="100" w:type="dxa"/>
            </w:tcMar>
            <w:vAlign w:val="center"/>
          </w:tcPr>
          <w:p>
            <w:pPr>
              <w:spacing w:after="0"/>
            </w:pPr>
            <w:r>
              <w:rPr>
                <w:rFonts w:ascii="Aptos" w:hAnsi="Aptos"/>
                <w:sz w:val="16"/>
              </w:rPr>
              <w:t>Continuous accent/onset strength</w:t>
            </w:r>
          </w:p>
        </w:tc>
        <w:tc>
          <w:tcPr>
            <w:tcW w:type="dxa" w:w="2033"/>
            <w:tcMar>
              <w:top w:w="80" w:type="dxa"/>
              <w:start w:w="100" w:type="dxa"/>
              <w:bottom w:w="80" w:type="dxa"/>
              <w:end w:w="100" w:type="dxa"/>
            </w:tcMar>
            <w:vAlign w:val="center"/>
          </w:tcPr>
          <w:p>
            <w:pPr>
              <w:spacing w:after="0"/>
            </w:pPr>
            <w:r>
              <w:rPr>
                <w:rFonts w:ascii="Aptos" w:hAnsi="Aptos"/>
                <w:sz w:val="16"/>
              </w:rPr>
              <w:t>Acceleration-based accent strength</w:t>
            </w:r>
          </w:p>
        </w:tc>
        <w:tc>
          <w:tcPr>
            <w:tcW w:type="dxa" w:w="2033"/>
            <w:tcMar>
              <w:top w:w="80" w:type="dxa"/>
              <w:start w:w="100" w:type="dxa"/>
              <w:bottom w:w="80" w:type="dxa"/>
              <w:end w:w="100" w:type="dxa"/>
            </w:tcMar>
            <w:vAlign w:val="center"/>
          </w:tcPr>
          <w:p>
            <w:pPr>
              <w:spacing w:after="0"/>
            </w:pPr>
            <w:r>
              <w:rPr>
                <w:rFonts w:ascii="Aptos" w:hAnsi="Aptos"/>
                <w:sz w:val="16"/>
              </w:rPr>
              <w:t>Mora &amp; Pellicer 2013 + Bergsland &amp; Sabharwal 2023 [3,4]</w:t>
            </w:r>
          </w:p>
        </w:tc>
      </w:tr>
      <w:tr>
        <w:tc>
          <w:tcPr>
            <w:tcW w:type="dxa" w:w="2033"/>
            <w:tcMar>
              <w:top w:w="80" w:type="dxa"/>
              <w:start w:w="100" w:type="dxa"/>
              <w:bottom w:w="80" w:type="dxa"/>
              <w:end w:w="100" w:type="dxa"/>
            </w:tcMar>
            <w:vAlign w:val="center"/>
          </w:tcPr>
          <w:p>
            <w:pPr>
              <w:spacing w:after="0"/>
            </w:pPr>
            <w:r>
              <w:rPr>
                <w:rFonts w:ascii="Aptos" w:hAnsi="Aptos"/>
                <w:sz w:val="16"/>
              </w:rPr>
              <w:t>Dynamics / Energy Alignment (EAS)</w:t>
            </w:r>
          </w:p>
        </w:tc>
        <w:tc>
          <w:tcPr>
            <w:tcW w:type="dxa" w:w="2033"/>
            <w:tcMar>
              <w:top w:w="80" w:type="dxa"/>
              <w:start w:w="100" w:type="dxa"/>
              <w:bottom w:w="80" w:type="dxa"/>
              <w:end w:w="100" w:type="dxa"/>
            </w:tcMar>
            <w:vAlign w:val="center"/>
          </w:tcPr>
          <w:p>
            <w:pPr>
              <w:spacing w:after="0"/>
            </w:pPr>
            <w:r>
              <w:rPr>
                <w:rFonts w:ascii="Aptos" w:hAnsi="Aptos"/>
                <w:sz w:val="16"/>
              </w:rPr>
              <w:t>Proposed adaptation</w:t>
            </w:r>
          </w:p>
        </w:tc>
        <w:tc>
          <w:tcPr>
            <w:tcW w:type="dxa" w:w="2033"/>
            <w:tcMar>
              <w:top w:w="80" w:type="dxa"/>
              <w:start w:w="100" w:type="dxa"/>
              <w:bottom w:w="80" w:type="dxa"/>
              <w:end w:w="100" w:type="dxa"/>
            </w:tcMar>
            <w:vAlign w:val="center"/>
          </w:tcPr>
          <w:p>
            <w:pPr>
              <w:spacing w:after="0"/>
            </w:pPr>
            <w:r>
              <w:rPr>
                <w:rFonts w:ascii="Aptos" w:hAnsi="Aptos"/>
                <w:sz w:val="16"/>
              </w:rPr>
              <w:t>Loudness/RMS or learned dynamics</w:t>
            </w:r>
          </w:p>
        </w:tc>
        <w:tc>
          <w:tcPr>
            <w:tcW w:type="dxa" w:w="2033"/>
            <w:tcMar>
              <w:top w:w="80" w:type="dxa"/>
              <w:start w:w="100" w:type="dxa"/>
              <w:bottom w:w="80" w:type="dxa"/>
              <w:end w:w="100" w:type="dxa"/>
            </w:tcMar>
            <w:vAlign w:val="center"/>
          </w:tcPr>
          <w:p>
            <w:pPr>
              <w:spacing w:after="0"/>
            </w:pPr>
            <w:r>
              <w:rPr>
                <w:rFonts w:ascii="Aptos" w:hAnsi="Aptos"/>
                <w:sz w:val="16"/>
              </w:rPr>
              <w:t>QoM / velocity-based energy</w:t>
            </w:r>
          </w:p>
        </w:tc>
        <w:tc>
          <w:tcPr>
            <w:tcW w:type="dxa" w:w="2033"/>
            <w:tcMar>
              <w:top w:w="80" w:type="dxa"/>
              <w:start w:w="100" w:type="dxa"/>
              <w:bottom w:w="80" w:type="dxa"/>
              <w:end w:w="100" w:type="dxa"/>
            </w:tcMar>
            <w:vAlign w:val="center"/>
          </w:tcPr>
          <w:p>
            <w:pPr>
              <w:spacing w:after="0"/>
            </w:pPr>
            <w:r>
              <w:rPr>
                <w:rFonts w:ascii="Aptos" w:hAnsi="Aptos"/>
                <w:sz w:val="16"/>
              </w:rPr>
              <w:t>Gonzalez-Sanchez et al. 2018 [5]</w:t>
            </w:r>
          </w:p>
        </w:tc>
      </w:tr>
      <w:tr>
        <w:tc>
          <w:tcPr>
            <w:tcW w:type="dxa" w:w="2033"/>
            <w:tcMar>
              <w:top w:w="80" w:type="dxa"/>
              <w:start w:w="100" w:type="dxa"/>
              <w:bottom w:w="80" w:type="dxa"/>
              <w:end w:w="100" w:type="dxa"/>
            </w:tcMar>
            <w:vAlign w:val="center"/>
          </w:tcPr>
          <w:p>
            <w:pPr>
              <w:spacing w:after="0"/>
            </w:pPr>
            <w:r>
              <w:rPr>
                <w:rFonts w:ascii="Aptos" w:hAnsi="Aptos"/>
                <w:sz w:val="16"/>
              </w:rPr>
              <w:t>Structure Alignment (SAS)</w:t>
            </w:r>
          </w:p>
        </w:tc>
        <w:tc>
          <w:tcPr>
            <w:tcW w:type="dxa" w:w="2033"/>
            <w:tcMar>
              <w:top w:w="80" w:type="dxa"/>
              <w:start w:w="100" w:type="dxa"/>
              <w:bottom w:w="80" w:type="dxa"/>
              <w:end w:w="100" w:type="dxa"/>
            </w:tcMar>
            <w:vAlign w:val="center"/>
          </w:tcPr>
          <w:p>
            <w:pPr>
              <w:spacing w:after="0"/>
            </w:pPr>
            <w:r>
              <w:rPr>
                <w:rFonts w:ascii="Aptos" w:hAnsi="Aptos"/>
                <w:sz w:val="16"/>
              </w:rPr>
              <w:t>Proposed diagnostic</w:t>
            </w:r>
          </w:p>
        </w:tc>
        <w:tc>
          <w:tcPr>
            <w:tcW w:type="dxa" w:w="2033"/>
            <w:tcMar>
              <w:top w:w="80" w:type="dxa"/>
              <w:start w:w="100" w:type="dxa"/>
              <w:bottom w:w="80" w:type="dxa"/>
              <w:end w:w="100" w:type="dxa"/>
            </w:tcMar>
            <w:vAlign w:val="center"/>
          </w:tcPr>
          <w:p>
            <w:pPr>
              <w:spacing w:after="0"/>
            </w:pPr>
            <w:r>
              <w:rPr>
                <w:rFonts w:ascii="Aptos" w:hAnsi="Aptos"/>
                <w:sz w:val="16"/>
              </w:rPr>
              <w:t>Phrase/section embeddings</w:t>
            </w:r>
          </w:p>
        </w:tc>
        <w:tc>
          <w:tcPr>
            <w:tcW w:type="dxa" w:w="2033"/>
            <w:tcMar>
              <w:top w:w="80" w:type="dxa"/>
              <w:start w:w="100" w:type="dxa"/>
              <w:bottom w:w="80" w:type="dxa"/>
              <w:end w:w="100" w:type="dxa"/>
            </w:tcMar>
            <w:vAlign w:val="center"/>
          </w:tcPr>
          <w:p>
            <w:pPr>
              <w:spacing w:after="0"/>
            </w:pPr>
            <w:r>
              <w:rPr>
                <w:rFonts w:ascii="Aptos" w:hAnsi="Aptos"/>
                <w:sz w:val="16"/>
              </w:rPr>
              <w:t>Motion-segment embeddings</w:t>
            </w:r>
          </w:p>
        </w:tc>
        <w:tc>
          <w:tcPr>
            <w:tcW w:type="dxa" w:w="2033"/>
            <w:tcMar>
              <w:top w:w="80" w:type="dxa"/>
              <w:start w:w="100" w:type="dxa"/>
              <w:bottom w:w="80" w:type="dxa"/>
              <w:end w:w="100" w:type="dxa"/>
            </w:tcMar>
            <w:vAlign w:val="center"/>
          </w:tcPr>
          <w:p>
            <w:pPr>
              <w:spacing w:after="0"/>
            </w:pPr>
            <w:r>
              <w:rPr>
                <w:rFonts w:ascii="Aptos" w:hAnsi="Aptos"/>
                <w:sz w:val="16"/>
              </w:rPr>
              <w:t>Self-similarity formulation; not yet a standard dance metric</w:t>
            </w:r>
          </w:p>
        </w:tc>
      </w:tr>
      <w:tr>
        <w:tc>
          <w:tcPr>
            <w:tcW w:type="dxa" w:w="2033"/>
            <w:tcMar>
              <w:top w:w="80" w:type="dxa"/>
              <w:start w:w="100" w:type="dxa"/>
              <w:bottom w:w="80" w:type="dxa"/>
              <w:end w:w="100" w:type="dxa"/>
            </w:tcMar>
            <w:vAlign w:val="center"/>
          </w:tcPr>
          <w:p>
            <w:pPr>
              <w:spacing w:after="0"/>
            </w:pPr>
            <w:r>
              <w:rPr>
                <w:rFonts w:ascii="Aptos" w:hAnsi="Aptos"/>
                <w:sz w:val="16"/>
              </w:rPr>
              <w:t>Counterfactual Sensitivity</w:t>
            </w:r>
          </w:p>
        </w:tc>
        <w:tc>
          <w:tcPr>
            <w:tcW w:type="dxa" w:w="2033"/>
            <w:tcMar>
              <w:top w:w="80" w:type="dxa"/>
              <w:start w:w="100" w:type="dxa"/>
              <w:bottom w:w="80" w:type="dxa"/>
              <w:end w:w="100" w:type="dxa"/>
            </w:tcMar>
            <w:vAlign w:val="center"/>
          </w:tcPr>
          <w:p>
            <w:pPr>
              <w:spacing w:after="0"/>
            </w:pPr>
            <w:r>
              <w:rPr>
                <w:rFonts w:ascii="Aptos" w:hAnsi="Aptos"/>
                <w:sz w:val="16"/>
              </w:rPr>
              <w:t>Proposed diagnostic</w:t>
            </w:r>
          </w:p>
        </w:tc>
        <w:tc>
          <w:tcPr>
            <w:tcW w:type="dxa" w:w="2033"/>
            <w:tcMar>
              <w:top w:w="80" w:type="dxa"/>
              <w:start w:w="100" w:type="dxa"/>
              <w:bottom w:w="80" w:type="dxa"/>
              <w:end w:w="100" w:type="dxa"/>
            </w:tcMar>
            <w:vAlign w:val="center"/>
          </w:tcPr>
          <w:p>
            <w:pPr>
              <w:spacing w:after="0"/>
            </w:pPr>
            <w:r>
              <w:rPr>
                <w:rFonts w:ascii="Aptos" w:hAnsi="Aptos"/>
                <w:sz w:val="16"/>
              </w:rPr>
              <w:t>Controlled audio perturbation</w:t>
            </w:r>
          </w:p>
        </w:tc>
        <w:tc>
          <w:tcPr>
            <w:tcW w:type="dxa" w:w="2033"/>
            <w:tcMar>
              <w:top w:w="80" w:type="dxa"/>
              <w:start w:w="100" w:type="dxa"/>
              <w:bottom w:w="80" w:type="dxa"/>
              <w:end w:w="100" w:type="dxa"/>
            </w:tcMar>
            <w:vAlign w:val="center"/>
          </w:tcPr>
          <w:p>
            <w:pPr>
              <w:spacing w:after="0"/>
            </w:pPr>
            <w:r>
              <w:rPr>
                <w:rFonts w:ascii="Aptos" w:hAnsi="Aptos"/>
                <w:sz w:val="16"/>
              </w:rPr>
              <w:t>Change in generated motion</w:t>
            </w:r>
          </w:p>
        </w:tc>
        <w:tc>
          <w:tcPr>
            <w:tcW w:type="dxa" w:w="2033"/>
            <w:tcMar>
              <w:top w:w="80" w:type="dxa"/>
              <w:start w:w="100" w:type="dxa"/>
              <w:bottom w:w="80" w:type="dxa"/>
              <w:end w:w="100" w:type="dxa"/>
            </w:tcMar>
            <w:vAlign w:val="center"/>
          </w:tcPr>
          <w:p>
            <w:pPr>
              <w:spacing w:after="0"/>
            </w:pPr>
            <w:r>
              <w:rPr>
                <w:rFonts w:ascii="Aptos" w:hAnsi="Aptos"/>
                <w:sz w:val="16"/>
              </w:rPr>
              <w:t>Experimental design; not a published standard metric</w:t>
            </w:r>
          </w:p>
        </w:tc>
      </w:tr>
    </w:tbl>
    <w:p/>
    <w:p>
      <w:pPr>
        <w:pStyle w:val="Heading1"/>
      </w:pPr>
      <w:r>
        <w:t>3. Published beat-level metrics</w:t>
      </w:r>
    </w:p>
    <w:p>
      <w:pPr>
        <w:pStyle w:val="Heading2"/>
      </w:pPr>
      <w:r>
        <w:t>3.1 Beat Alignment Score (BAS / BeatAlign)</w:t>
      </w:r>
    </w:p>
    <w:p>
      <w:r>
        <w:rPr>
          <w:b/>
        </w:rPr>
        <w:t xml:space="preserve">Purpose: </w:t>
      </w:r>
      <w:r>
        <w:t>Measures whether each kinematic dance beat occurs close to a music beat.</w:t>
      </w:r>
    </w:p>
    <w:p>
      <w:pPr>
        <w:spacing w:before="80" w:after="120"/>
        <w:jc w:val="center"/>
      </w:pPr>
      <w:r>
        <w:rPr>
          <w:rFonts w:ascii="Cambria Math" w:hAnsi="Cambria Math"/>
          <w:sz w:val="21"/>
        </w:rPr>
        <w:t>BAS = (1 / |B_d|) * sum_{t_d in B_d} exp( - min_{t_m in B_m} ||t_d - t_m||^2 / (2 sigma^2) )</w:t>
      </w:r>
    </w:p>
    <w:p>
      <w:r>
        <w:rPr>
          <w:b/>
        </w:rPr>
        <w:t xml:space="preserve">Signals. </w:t>
      </w:r>
      <w:r>
        <w:t>Music beats B_m are extracted from the audio; dance beats B_d are local minima of kinetic velocity. The original AIST++/FACT formulation is intentionally one-directional: every kinematic beat is expected to correspond to a musical beat, but the dancer does not have to move on every music beat. [1]</w:t>
      </w:r>
    </w:p>
    <w:p>
      <w:r>
        <w:rPr>
          <w:b/>
        </w:rPr>
        <w:t xml:space="preserve">Interpretation. </w:t>
      </w:r>
      <w:r>
        <w:t>High BAS means good temporal synchronization, but it does not distinguish weak from strong accents and does not measure longer-term dynamics or phrasing.</w:t>
      </w:r>
    </w:p>
    <w:p>
      <w:pPr>
        <w:pStyle w:val="Heading2"/>
      </w:pPr>
      <w:r>
        <w:t>3.2 TMD-Bench: VBCS and ABHS</w:t>
      </w:r>
    </w:p>
    <w:p>
      <w:r>
        <w:t>TMD-Bench extracts a motion-velocity signal from pose trajectories, smooths it, and treats local maxima as motion accents. [2]</w:t>
      </w:r>
    </w:p>
    <w:p>
      <w:pPr>
        <w:spacing w:before="80" w:after="120"/>
        <w:jc w:val="center"/>
      </w:pPr>
      <w:r>
        <w:rPr>
          <w:rFonts w:ascii="Cambria Math" w:hAnsi="Cambria Math"/>
          <w:sz w:val="21"/>
        </w:rPr>
        <w:t>VBCS = (1 / |M|) * sum_{m in M} exp( - min_{a in A} |m - a|^2 / (2 sigma^2) )</w:t>
      </w:r>
    </w:p>
    <w:p>
      <w:r>
        <w:rPr>
          <w:b/>
        </w:rPr>
        <w:t xml:space="preserve">VBCS: </w:t>
      </w:r>
      <w:r>
        <w:t>precision-like timing. When the dancer produces an accent, is a musical beat nearby?</w:t>
      </w:r>
    </w:p>
    <w:p>
      <w:pPr>
        <w:spacing w:before="80" w:after="120"/>
        <w:jc w:val="center"/>
      </w:pPr>
      <w:r>
        <w:rPr>
          <w:rFonts w:ascii="Cambria Math" w:hAnsi="Cambria Math"/>
          <w:sz w:val="21"/>
        </w:rPr>
        <w:t>ABHS = (1 / |A|) * sum_{a in A} I( min_{m in M} |a - m| &lt; tau )</w:t>
      </w:r>
    </w:p>
    <w:p>
      <w:r>
        <w:rPr>
          <w:b/>
        </w:rPr>
        <w:t xml:space="preserve">ABHS: </w:t>
      </w:r>
      <w:r>
        <w:t>coverage-like response. What fraction of musical beats receive a nearby motion accent?</w:t>
      </w:r>
    </w:p>
    <w:tbl>
      <w:tblPr>
        <w:tblW w:type="auto" w:w="0"/>
        <w:jc w:val="center"/>
        <w:tblLayout w:type="autofit"/>
        <w:tblLook w:firstColumn="1" w:firstRow="1" w:lastColumn="0" w:lastRow="0" w:noHBand="0" w:noVBand="1" w:val="04A0"/>
      </w:tblPr>
      <w:tblGrid>
        <w:gridCol w:w="10166"/>
      </w:tblGrid>
      <w:tr>
        <w:tc>
          <w:tcPr>
            <w:tcW w:type="dxa" w:w="10166"/>
            <w:shd w:fill="EEF3F8"/>
            <w:tcMar>
              <w:top w:w="120" w:type="dxa"/>
              <w:start w:w="140" w:type="dxa"/>
              <w:bottom w:w="120" w:type="dxa"/>
              <w:end w:w="140" w:type="dxa"/>
            </w:tcMar>
          </w:tcPr>
          <w:p>
            <w:pPr>
              <w:spacing w:after="0"/>
            </w:pPr>
            <w:r>
              <w:rPr>
                <w:rFonts w:ascii="Aptos" w:hAnsi="Aptos"/>
                <w:b/>
                <w:color w:val="1F4E79"/>
              </w:rPr>
              <w:t xml:space="preserve">Transfer to MACE: </w:t>
            </w:r>
            <w:r>
              <w:rPr>
                <w:rFonts w:ascii="Aptos" w:hAnsi="Aptos"/>
              </w:rPr>
              <w:t>These metrics can be computed directly from MACE-generated SMPL joints, avoiding the 2D pose-estimation noise required when TMD-Bench evaluates rendered video.</w:t>
            </w:r>
          </w:p>
        </w:tc>
      </w:tr>
    </w:tbl>
    <w:p>
      <w:pPr>
        <w:spacing w:after="0"/>
      </w:pPr>
    </w:p>
    <w:p>
      <w:pPr>
        <w:pStyle w:val="Heading1"/>
      </w:pPr>
      <w:r>
        <w:t>4. Accent-strength evaluation</w:t>
      </w:r>
    </w:p>
    <w:p>
      <w:r>
        <w:rPr>
          <w:b/>
        </w:rPr>
        <w:t xml:space="preserve">Status: </w:t>
      </w:r>
      <w:r>
        <w:t>There is no widely adopted modern dance-generation metric analogous to BAS for accent strength. The proposed metric should therefore be presented as an adaptation grounded in prior dance-rhythm research, not as an established benchmark.</w:t>
      </w:r>
    </w:p>
    <w:p>
      <w:r>
        <w:rPr>
          <w:b/>
        </w:rPr>
        <w:t xml:space="preserve">Motion-side grounding. </w:t>
      </w:r>
      <w:r>
        <w:t>Mora and Pellicer define perceived movement accents as strong concentrations in the magnitude of the acceleration vector and show that local maxima of acceleration magnitude match human accent perception in simple rhythmic motion. They also discuss rhythmic quality as agreement between performed accentuation and a target rhythm pattern. [3]</w:t>
      </w:r>
    </w:p>
    <w:p>
      <w:r>
        <w:rPr>
          <w:b/>
        </w:rPr>
        <w:t xml:space="preserve">Cross-modal grounding. </w:t>
      </w:r>
      <w:r>
        <w:t>Bergsland and Sabharwal analyze motion-capture features and compare their temporal peaks with peaks in audio features, reporting that dancers variably accentuate movements around musical peaks/accents. [4]</w:t>
      </w:r>
    </w:p>
    <w:p>
      <w:pPr>
        <w:spacing w:before="80" w:after="120"/>
        <w:jc w:val="center"/>
      </w:pPr>
      <w:r>
        <w:rPr>
          <w:rFonts w:ascii="Cambria Math" w:hAnsi="Cambria Math"/>
          <w:sz w:val="21"/>
        </w:rPr>
        <w:t>A_motion(t) = (1 / J) * sum_j || d^2 x_j(t) / dt^2 ||</w:t>
      </w:r>
    </w:p>
    <w:p>
      <w:pPr>
        <w:spacing w:before="80" w:after="120"/>
        <w:jc w:val="center"/>
      </w:pPr>
      <w:r>
        <w:rPr>
          <w:rFonts w:ascii="Cambria Math" w:hAnsi="Cambria Math"/>
          <w:sz w:val="21"/>
        </w:rPr>
        <w:t>AAS = corr( z(A_music(t)), z(A_motion(t)) )</w:t>
      </w:r>
    </w:p>
    <w:p>
      <w:r>
        <w:rPr>
          <w:b/>
        </w:rPr>
        <w:t xml:space="preserve">Recommended implementation. </w:t>
      </w:r>
      <w:r>
        <w:t>Use an audio onset/accent-strength envelope (for example onset strength or a localized spectral-energy derivative), normalize both curves, smooth them to a common temporal resolution, and compute Pearson correlation. Also report lag-optimized cross-correlation to allow small anticipatory or reactive offsets.</w:t>
      </w:r>
    </w:p>
    <w:p>
      <w:r>
        <w:rPr>
          <w:b/>
        </w:rPr>
        <w:t xml:space="preserve">What it tests. </w:t>
      </w:r>
      <w:r>
        <w:t>Not only “did a motion hit happen near a beat?” but “did stronger musical events receive stronger kinetic responses?”</w:t>
      </w:r>
    </w:p>
    <w:p>
      <w:pPr>
        <w:pStyle w:val="Heading1"/>
      </w:pPr>
      <w:r>
        <w:t>5. Dynamics / energy evaluation</w:t>
      </w:r>
    </w:p>
    <w:p>
      <w:r>
        <w:rPr>
          <w:b/>
        </w:rPr>
        <w:t xml:space="preserve">Status: </w:t>
      </w:r>
      <w:r>
        <w:t>Again, there is no canonical EAS used across music-to-dance generation. However, prior embodied-music work explicitly compares time-varying music features with time-varying movement quantity using cross-correlation.</w:t>
      </w:r>
    </w:p>
    <w:p>
      <w:r>
        <w:rPr>
          <w:b/>
        </w:rPr>
        <w:t xml:space="preserve">Published grounding. </w:t>
      </w:r>
      <w:r>
        <w:t>Gonzalez-Sanchez, Zelechowska, and Jensenius (2018) extract loudness as frame-wise RMS and compute cross-correlation between musical features and Quantity of Motion (QoM), including the lag of maximum cross-correlation. [5]</w:t>
      </w:r>
    </w:p>
    <w:p>
      <w:pPr>
        <w:spacing w:before="80" w:after="120"/>
        <w:jc w:val="center"/>
      </w:pPr>
      <w:r>
        <w:rPr>
          <w:rFonts w:ascii="Cambria Math" w:hAnsi="Cambria Math"/>
          <w:sz w:val="21"/>
        </w:rPr>
        <w:t>E_music(t) = RMS(audio window around t)</w:t>
      </w:r>
    </w:p>
    <w:p>
      <w:pPr>
        <w:spacing w:before="80" w:after="120"/>
        <w:jc w:val="center"/>
      </w:pPr>
      <w:r>
        <w:rPr>
          <w:rFonts w:ascii="Cambria Math" w:hAnsi="Cambria Math"/>
          <w:sz w:val="21"/>
        </w:rPr>
        <w:t>E_motion(t) = (1 / J) * sum_j || v_j(t) ||^2    [or a QoM signal based on joint displacement/velocity]</w:t>
      </w:r>
    </w:p>
    <w:p>
      <w:pPr>
        <w:spacing w:before="80" w:after="120"/>
        <w:jc w:val="center"/>
      </w:pPr>
      <w:r>
        <w:rPr>
          <w:rFonts w:ascii="Cambria Math" w:hAnsi="Cambria Math"/>
          <w:sz w:val="21"/>
        </w:rPr>
        <w:t>EAS = corr( z(E_music(t)), z(E_motion(t)) )</w:t>
      </w:r>
    </w:p>
    <w:p>
      <w:r>
        <w:rPr>
          <w:b/>
        </w:rPr>
        <w:t xml:space="preserve">Recommended extension. </w:t>
      </w:r>
      <w:r>
        <w:t>Report both zero-lag correlation and maximum cross-correlation within a small lag window (for example +/- 0.5 s). The second value distinguishes a genuinely related response that is slightly anticipatory/reactive from a completely unrelated energy profile.</w:t>
      </w:r>
    </w:p>
    <w:tbl>
      <w:tblPr>
        <w:tblW w:type="auto" w:w="0"/>
        <w:jc w:val="center"/>
        <w:tblLayout w:type="autofit"/>
        <w:tblLook w:firstColumn="1" w:firstRow="1" w:lastColumn="0" w:lastRow="0" w:noHBand="0" w:noVBand="1" w:val="04A0"/>
      </w:tblPr>
      <w:tblGrid>
        <w:gridCol w:w="10166"/>
      </w:tblGrid>
      <w:tr>
        <w:tc>
          <w:tcPr>
            <w:tcW w:type="dxa" w:w="10166"/>
            <w:shd w:fill="EEF3F8"/>
            <w:tcMar>
              <w:top w:w="120" w:type="dxa"/>
              <w:start w:w="140" w:type="dxa"/>
              <w:bottom w:w="120" w:type="dxa"/>
              <w:end w:w="140" w:type="dxa"/>
            </w:tcMar>
          </w:tcPr>
          <w:p>
            <w:pPr>
              <w:spacing w:after="0"/>
            </w:pPr>
            <w:r>
              <w:rPr>
                <w:rFonts w:ascii="Aptos" w:hAnsi="Aptos"/>
                <w:b/>
                <w:color w:val="1F4E79"/>
              </w:rPr>
              <w:t xml:space="preserve">Important MACE caveat: </w:t>
            </w:r>
            <w:r>
              <w:rPr>
                <w:rFonts w:ascii="Aptos" w:hAnsi="Aptos"/>
              </w:rPr>
              <w:t>MACE already uses a velocity loss, so the research claim cannot be “MACE ignores velocity/energy.” Its velocity loss matches generated motion velocity to the paired ground-truth trajectory. EAS asks a different cross-modal question: whether generated motion dynamics track dynamics in the conditioning music, including when the generated choreography is not identical to the training trajectory.</w:t>
            </w:r>
          </w:p>
        </w:tc>
      </w:tr>
    </w:tbl>
    <w:p>
      <w:pPr>
        <w:spacing w:after="0"/>
      </w:pPr>
    </w:p>
    <w:p>
      <w:pPr>
        <w:pStyle w:val="Heading1"/>
      </w:pPr>
      <w:r>
        <w:t>6. Phrase / structure alignment</w:t>
      </w:r>
    </w:p>
    <w:p>
      <w:r>
        <w:rPr>
          <w:b/>
        </w:rPr>
        <w:t xml:space="preserve">Status: </w:t>
      </w:r>
      <w:r>
        <w:t>Proposed diagnostic rather than a standard metric from MACE or TMD-Bench.</w:t>
      </w:r>
    </w:p>
    <w:p>
      <w:r>
        <w:t>One workable formulation is to compare music and motion self-similarity matrices. Divide a clip into windows, extract one embedding per music window and one embedding per motion window, then compute pairwise cosine similarity.</w:t>
      </w:r>
    </w:p>
    <w:p>
      <w:pPr>
        <w:spacing w:before="80" w:after="120"/>
        <w:jc w:val="center"/>
      </w:pPr>
      <w:r>
        <w:rPr>
          <w:rFonts w:ascii="Cambria Math" w:hAnsi="Cambria Math"/>
          <w:sz w:val="21"/>
        </w:rPr>
        <w:t>S_M(i,j) = cos(m_i, m_j)        S_D(i,j) = cos(d_i, d_j)</w:t>
      </w:r>
    </w:p>
    <w:p>
      <w:pPr>
        <w:spacing w:before="80" w:after="120"/>
        <w:jc w:val="center"/>
      </w:pPr>
      <w:r>
        <w:rPr>
          <w:rFonts w:ascii="Cambria Math" w:hAnsi="Cambria Math"/>
          <w:sz w:val="21"/>
        </w:rPr>
        <w:t>SAS = corr( vec(S_M), vec(S_D) )</w:t>
      </w:r>
    </w:p>
    <w:p>
      <w:r>
        <w:rPr>
          <w:b/>
        </w:rPr>
        <w:t xml:space="preserve">Interpretation. </w:t>
      </w:r>
      <w:r>
        <w:t>If the music has an A-A-B-A organization, good choreography need not repeat exact poses, but it may show related motion motifs in repeated A sections and a larger change at B. SAS tests structural correspondence without requiring pose reconstruction.</w:t>
      </w:r>
    </w:p>
    <w:p>
      <w:r>
        <w:rPr>
          <w:b/>
        </w:rPr>
        <w:t xml:space="preserve">Alternative. </w:t>
      </w:r>
      <w:r>
        <w:t>If reliable phrase-boundary annotations or a music-structure model are available, evaluate whether motion change points fall near musical phrase boundaries using tolerance-based precision/recall/F1.</w:t>
      </w:r>
    </w:p>
    <w:p>
      <w:pPr>
        <w:pStyle w:val="Heading1"/>
      </w:pPr>
      <w:r>
        <w:t>7. Counterfactual sensitivity tests</w:t>
      </w:r>
    </w:p>
    <w:p>
      <w:r>
        <w:rPr>
          <w:b/>
        </w:rPr>
        <w:t xml:space="preserve">Status: </w:t>
      </w:r>
      <w:r>
        <w:t>Experimental diagnostic, not a standard published metric.</w:t>
      </w:r>
    </w:p>
    <w:p>
      <w:r>
        <w:t>The goal is to test whether the generator actually uses a particular musical property rather than merely producing realistic motion from a broad music embedding. Keep beat timing as constant as possible and change only one property.</w:t>
      </w:r>
    </w:p>
    <w:p>
      <w:pPr>
        <w:pStyle w:val="ListBullet"/>
      </w:pPr>
      <w:r>
        <w:t>Accent test: attenuate or strengthen a snare/drop while preserving its timestamp.</w:t>
      </w:r>
    </w:p>
    <w:p>
      <w:pPr>
        <w:pStyle w:val="ListBullet"/>
      </w:pPr>
      <w:r>
        <w:t>Dynamics test: compress a crescendo into near-constant loudness while preserving rhythm.</w:t>
      </w:r>
    </w:p>
    <w:p>
      <w:pPr>
        <w:pStyle w:val="ListBullet"/>
      </w:pPr>
      <w:r>
        <w:t>Structure test: replace or rearrange a musical section while preserving local tempo.</w:t>
      </w:r>
    </w:p>
    <w:p>
      <w:pPr>
        <w:spacing w:before="80" w:after="120"/>
        <w:jc w:val="center"/>
      </w:pPr>
      <w:r>
        <w:rPr>
          <w:rFonts w:ascii="Cambria Math" w:hAnsi="Cambria Math"/>
          <w:sz w:val="21"/>
        </w:rPr>
        <w:t>Delta_music = property(M_modified) - property(M_original)</w:t>
      </w:r>
    </w:p>
    <w:p>
      <w:pPr>
        <w:spacing w:before="80" w:after="120"/>
        <w:jc w:val="center"/>
      </w:pPr>
      <w:r>
        <w:rPr>
          <w:rFonts w:ascii="Cambria Math" w:hAnsi="Cambria Math"/>
          <w:sz w:val="21"/>
        </w:rPr>
        <w:t>Delta_motion = property(G(M_modified)) - property(G(M_original))</w:t>
      </w:r>
    </w:p>
    <w:p>
      <w:pPr>
        <w:spacing w:before="80" w:after="120"/>
        <w:jc w:val="center"/>
      </w:pPr>
      <w:r>
        <w:rPr>
          <w:rFonts w:ascii="Cambria Math" w:hAnsi="Cambria Math"/>
          <w:sz w:val="21"/>
        </w:rPr>
        <w:t>Counterfactual Success Rate = (1/N) * sum_i I( Delta_music_i * Delta_motion_i &gt; 0 )</w:t>
      </w:r>
    </w:p>
    <w:p>
      <w:r>
        <w:rPr>
          <w:b/>
        </w:rPr>
        <w:t xml:space="preserve">Why this is valuable. </w:t>
      </w:r>
      <w:r>
        <w:t>It tests sensitivity directly and avoids the one-to-many problem of comparing a generated dance to one unique ground-truth choreography.</w:t>
      </w:r>
    </w:p>
    <w:p>
      <w:pPr>
        <w:pStyle w:val="Heading1"/>
      </w:pPr>
      <w:r>
        <w:t>8. How these metrics complement MACE-Dance</w:t>
      </w:r>
    </w:p>
    <w:p>
      <w:r>
        <w:t>MACE-Dance Motion Expert is optimized with a weighted sum of reconstruction, joint-position, velocity, and foot-contact losses: [6]</w:t>
      </w:r>
    </w:p>
    <w:p>
      <w:pPr>
        <w:spacing w:before="80" w:after="120"/>
        <w:jc w:val="center"/>
      </w:pPr>
      <w:r>
        <w:rPr>
          <w:rFonts w:ascii="Cambria Math" w:hAnsi="Cambria Math"/>
          <w:sz w:val="21"/>
        </w:rPr>
        <w:t>L_MACE = lambda_rec L_rec + lambda_joint L_joint + lambda_vel L_vel + lambda_foot L_foot</w:t>
      </w:r>
    </w:p>
    <w:p>
      <w:r>
        <w:rPr>
          <w:b/>
        </w:rPr>
        <w:t xml:space="preserve">Crucial distinction: </w:t>
      </w:r>
      <w:r>
        <w:t>these objectives primarily enforce generated-motion-to-ground-truth-motion fidelity and physical plausibility. They can teach musicality implicitly because the training pairs are synchronized, but they do not separately report whether music-side changes in accent strength or dynamics are preserved in generated motion.</w:t>
      </w:r>
    </w:p>
    <w:p>
      <w:r>
        <w:t>Therefore the initial research question should be diagnostic:</w:t>
      </w:r>
    </w:p>
    <w:p>
      <w:pPr>
        <w:ind w:left="504"/>
      </w:pPr>
      <w:r>
        <w:rPr>
          <w:b/>
          <w:color w:val="1F4E79"/>
          <w:sz w:val="22"/>
        </w:rPr>
        <w:t>Does MACE maintain high beat alignment while under-responding to musical accent strength, dynamics, or higher-level structure?</w:t>
      </w:r>
    </w:p>
    <w:p>
      <w:r>
        <w:t>Only if a repeatable failure is found should a new cross-modal loss be introduced.</w:t>
      </w:r>
    </w:p>
    <w:p>
      <w:pPr>
        <w:pStyle w:val="Heading1"/>
      </w:pPr>
      <w:r>
        <w:t>9. Validation with ImperialDance</w:t>
      </w:r>
    </w:p>
    <w:p>
      <w:r>
        <w:t>ImperialDance is useful for metric validation because it provides the same choreographies performed repeatedly by dancers at Expert, Intermediate, and Beginner levels. Motion is captured as 21 three-dimensional joints at 100 fps, and the repository provides the associated music source/time ranges. [7]</w:t>
      </w:r>
    </w:p>
    <w:p>
      <w:r>
        <w:rPr>
          <w:b/>
        </w:rPr>
        <w:t>Suggested validation sequence:</w:t>
      </w:r>
    </w:p>
    <w:p>
      <w:pPr>
        <w:pStyle w:val="ListNumber"/>
      </w:pPr>
      <w:r>
        <w:t>Compute BAS/VBCS/ABHS for all expertise levels as sanity checks.</w:t>
      </w:r>
    </w:p>
    <w:p>
      <w:pPr>
        <w:pStyle w:val="ListNumber"/>
      </w:pPr>
      <w:r>
        <w:t>Compute AAS and EAS using identical preprocessing for all levels.</w:t>
      </w:r>
    </w:p>
    <w:p>
      <w:pPr>
        <w:pStyle w:val="ListNumber"/>
      </w:pPr>
      <w:r>
        <w:t>Test whether the proposed metric separates Expert from Intermediate/Beginner on average. Do not assume a monotonic ordering; verify statistically.</w:t>
      </w:r>
    </w:p>
    <w:p>
      <w:pPr>
        <w:pStyle w:val="ListNumber"/>
      </w:pPr>
      <w:r>
        <w:t>Use repeated performances to estimate within-dancer and between-dancer variance, not just a single mean.</w:t>
      </w:r>
    </w:p>
    <w:p>
      <w:pPr>
        <w:pStyle w:val="ListNumber"/>
      </w:pPr>
      <w:r>
        <w:t>Once validated, compute the same metrics for MACE outputs and compare the distribution to human expertise groups.</w:t>
      </w:r>
    </w:p>
    <w:tbl>
      <w:tblPr>
        <w:tblW w:type="auto" w:w="0"/>
        <w:jc w:val="center"/>
        <w:tblLayout w:type="autofit"/>
        <w:tblLook w:firstColumn="1" w:firstRow="1" w:lastColumn="0" w:lastRow="0" w:noHBand="0" w:noVBand="1" w:val="04A0"/>
      </w:tblPr>
      <w:tblGrid>
        <w:gridCol w:w="10166"/>
      </w:tblGrid>
      <w:tr>
        <w:tc>
          <w:tcPr>
            <w:tcW w:type="dxa" w:w="10166"/>
            <w:shd w:fill="EEF3F8"/>
            <w:tcMar>
              <w:top w:w="120" w:type="dxa"/>
              <w:start w:w="140" w:type="dxa"/>
              <w:bottom w:w="120" w:type="dxa"/>
              <w:end w:w="140" w:type="dxa"/>
            </w:tcMar>
          </w:tcPr>
          <w:p>
            <w:pPr>
              <w:spacing w:after="0"/>
            </w:pPr>
            <w:r>
              <w:rPr>
                <w:rFonts w:ascii="Aptos" w:hAnsi="Aptos"/>
                <w:b/>
                <w:color w:val="1F4E79"/>
              </w:rPr>
              <w:t xml:space="preserve">Interpretation caution: </w:t>
            </w:r>
            <w:r>
              <w:rPr>
                <w:rFonts w:ascii="Aptos" w:hAnsi="Aptos"/>
              </w:rPr>
              <w:t>Expert &gt; beginner is a validation hypothesis, not a guaranteed truth for every metric. If an energy metric does not separate expertise levels, it may still measure music-motion dynamics, but it is weaker evidence that it captures “dance quality” or “musicality.”</w:t>
            </w:r>
          </w:p>
        </w:tc>
      </w:tr>
    </w:tbl>
    <w:p>
      <w:pPr>
        <w:spacing w:after="0"/>
      </w:pPr>
    </w:p>
    <w:p>
      <w:pPr>
        <w:pStyle w:val="Heading1"/>
      </w:pPr>
      <w:r>
        <w:t>10. Can the metrics be computed from video?</w:t>
      </w:r>
    </w:p>
    <w:p>
      <w:r>
        <w:t>Yes. A generic audio-video pipeline is:</w:t>
      </w:r>
    </w:p>
    <w:p>
      <w:pPr>
        <w:spacing w:before="80" w:after="120"/>
        <w:jc w:val="center"/>
      </w:pPr>
      <w:r>
        <w:rPr>
          <w:rFonts w:ascii="Cambria Math" w:hAnsi="Cambria Math"/>
          <w:sz w:val="21"/>
        </w:rPr>
        <w:t>video -&gt; 2D/3D pose estimation -&gt; joint trajectories -&gt; velocity / acceleration / QoM</w:t>
      </w:r>
    </w:p>
    <w:p>
      <w:pPr>
        <w:spacing w:before="80" w:after="120"/>
        <w:jc w:val="center"/>
      </w:pPr>
      <w:r>
        <w:rPr>
          <w:rFonts w:ascii="Cambria Math" w:hAnsi="Cambria Math"/>
          <w:sz w:val="21"/>
        </w:rPr>
        <w:t>audio -&gt; beats / onset strength / RMS / music embeddings</w:t>
      </w:r>
    </w:p>
    <w:p>
      <w:pPr>
        <w:spacing w:before="80" w:after="120"/>
        <w:jc w:val="center"/>
      </w:pPr>
      <w:r>
        <w:rPr>
          <w:rFonts w:ascii="Cambria Math" w:hAnsi="Cambria Math"/>
          <w:sz w:val="21"/>
        </w:rPr>
        <w:t>music signal + motion signal -&gt; alignment metric</w:t>
      </w:r>
    </w:p>
    <w:p>
      <w:r>
        <w:t>For MACE, use its native 3D motion whenever possible because it avoids camera motion, perspective, occlusion, and pose-estimation noise. For ordinary real dance videos, normalize for scale/root translation and stabilize camera motion before interpreting velocity or acceleration magnitudes.</w:t>
      </w:r>
    </w:p>
    <w:p>
      <w:pPr>
        <w:pStyle w:val="Heading1"/>
      </w:pPr>
      <w:r>
        <w:t>11. Recommended first study</w:t>
      </w:r>
    </w:p>
    <w:p>
      <w:r>
        <w:rPr>
          <w:b/>
        </w:rPr>
        <w:t xml:space="preserve">A. Reproduce established metrics: </w:t>
      </w:r>
      <w:r>
        <w:t>BAS + TMD VBCS/ABHS on MACE outputs and real dance.</w:t>
      </w:r>
    </w:p>
    <w:p>
      <w:r>
        <w:rPr>
          <w:b/>
        </w:rPr>
        <w:t xml:space="preserve">B. Validate proposed signals on humans: </w:t>
      </w:r>
      <w:r>
        <w:t>AAS and EAS on ImperialDance, with expertise-level and repeated-trial statistics.</w:t>
      </w:r>
    </w:p>
    <w:p>
      <w:r>
        <w:rPr>
          <w:b/>
        </w:rPr>
        <w:t xml:space="preserve">C. Diagnose MACE: </w:t>
      </w:r>
      <w:r>
        <w:t>Compare MACE with human distributions; look specifically for high beat alignment but weaker accent/dynamics coupling.</w:t>
      </w:r>
    </w:p>
    <w:p>
      <w:r>
        <w:rPr>
          <w:b/>
        </w:rPr>
        <w:t xml:space="preserve">D. Run counterfactual stress tests: </w:t>
      </w:r>
      <w:r>
        <w:t>Same beats, modified accent strength or loudness profile. Measure whether generated motion changes in the expected direction.</w:t>
      </w:r>
    </w:p>
    <w:p>
      <w:r>
        <w:rPr>
          <w:b/>
        </w:rPr>
        <w:t xml:space="preserve">E. Only then design a loss: </w:t>
      </w:r>
      <w:r>
        <w:t>If a robust failure exists, convert the validated evaluation signal into a differentiable training objective and test whether it improves the failure without degrading FID/diversity/physical quality.</w:t>
      </w:r>
    </w:p>
    <w:p>
      <w:pPr>
        <w:pStyle w:val="Heading1"/>
      </w:pPr>
      <w:r>
        <w:t>References</w:t>
      </w:r>
    </w:p>
    <w:p>
      <w:pPr>
        <w:pStyle w:val="SmallNote"/>
        <w:ind w:hanging="259" w:left="259"/>
      </w:pPr>
      <w:r>
        <w:t xml:space="preserve">[1] R. Li, S. Yang, D. A. Ross, and A. Kanazawa. “AI Choreographer: Music Conditioned 3D Dance Generation With AIST++.” ICCV, 2021, pp. 13401-13412. DOI: 10.1109/ICCV48922.2021.01315. </w:t>
      </w:r>
      <w:hyperlink r:id="rId9">
        <w:r>
          <w:rPr>
            <w:color w:val="2F5597"/>
            <w:u w:val="single"/>
          </w:rPr>
          <w:t>Link</w:t>
        </w:r>
      </w:hyperlink>
    </w:p>
    <w:p>
      <w:pPr>
        <w:pStyle w:val="SmallNote"/>
        <w:ind w:hanging="259" w:left="259"/>
      </w:pPr>
      <w:r>
        <w:t xml:space="preserve">[2] X. Yang et al. “TMD-Bench: A Multi-Level Evaluation Paradigm for Music-Dance Co-Generation.” Proceedings of the 43rd International Conference on Machine Learning, PMLR 306, 2026. </w:t>
      </w:r>
      <w:hyperlink r:id="rId10">
        <w:r>
          <w:rPr>
            <w:color w:val="2F5597"/>
            <w:u w:val="single"/>
          </w:rPr>
          <w:t>Link</w:t>
        </w:r>
      </w:hyperlink>
    </w:p>
    <w:p>
      <w:pPr>
        <w:pStyle w:val="SmallNote"/>
        <w:ind w:hanging="259" w:left="259"/>
      </w:pPr>
      <w:r>
        <w:t xml:space="preserve">[3] X. Mora and M. Pellicer. “Understanding and Measuring Rhythmic Quality in Dance: What is a Movement Accent?” Proceedings of Bridges 2013, pp. 111-118. </w:t>
      </w:r>
      <w:hyperlink r:id="rId11">
        <w:r>
          <w:rPr>
            <w:color w:val="2F5597"/>
            <w:u w:val="single"/>
          </w:rPr>
          <w:t>Link</w:t>
        </w:r>
      </w:hyperlink>
    </w:p>
    <w:p>
      <w:pPr>
        <w:pStyle w:val="SmallNote"/>
        <w:ind w:hanging="259" w:left="259"/>
      </w:pPr>
      <w:r>
        <w:t xml:space="preserve">[4] A. Bergsland and S. R. Sabharwal. “Examining the Correlation Between Dance and Electroacoustic Music Phrases: A Pilot Study.” Audio Mostly 2023. DOI: 10.1145/3616195.3616218. </w:t>
      </w:r>
      <w:hyperlink r:id="rId12">
        <w:r>
          <w:rPr>
            <w:color w:val="2F5597"/>
            <w:u w:val="single"/>
          </w:rPr>
          <w:t>Link</w:t>
        </w:r>
      </w:hyperlink>
    </w:p>
    <w:p>
      <w:pPr>
        <w:pStyle w:val="SmallNote"/>
        <w:ind w:hanging="259" w:left="259"/>
      </w:pPr>
      <w:r>
        <w:t xml:space="preserve">[5] V. E. Gonzalez-Sanchez, A. Zelechowska, and A. R. Jensenius. “Correspondences Between Music and Involuntary Human Micromotion During Standstill.” Frontiers in Psychology 9, 2018. DOI: 10.3389/fpsyg.2018.01382. </w:t>
      </w:r>
      <w:hyperlink r:id="rId13">
        <w:r>
          <w:rPr>
            <w:color w:val="2F5597"/>
            <w:u w:val="single"/>
          </w:rPr>
          <w:t>Link</w:t>
        </w:r>
      </w:hyperlink>
    </w:p>
    <w:p>
      <w:pPr>
        <w:pStyle w:val="SmallNote"/>
        <w:ind w:hanging="259" w:left="259"/>
      </w:pPr>
      <w:r>
        <w:t xml:space="preserve">[6] K. Yang et al. “MACE-Dance: Motion-Appearance Cascaded Experts for Music-Driven Dance Video Generation.” ACM SIGGRAPH, 2026; arXiv:2512.18181. </w:t>
      </w:r>
      <w:hyperlink r:id="rId14">
        <w:r>
          <w:rPr>
            <w:color w:val="2F5597"/>
            <w:u w:val="single"/>
          </w:rPr>
          <w:t>Link</w:t>
        </w:r>
      </w:hyperlink>
    </w:p>
    <w:p>
      <w:pPr>
        <w:pStyle w:val="SmallNote"/>
        <w:ind w:hanging="259" w:left="259"/>
      </w:pPr>
      <w:r>
        <w:t xml:space="preserve">[7] ImperialDance Dataset repository (dataset description: 21 3D joints, 100 fps, three expertise levels, repeated choreographies). </w:t>
      </w:r>
      <w:hyperlink r:id="rId15">
        <w:r>
          <w:rPr>
            <w:color w:val="2F5597"/>
            <w:u w:val="single"/>
          </w:rPr>
          <w:t>Link</w:t>
        </w:r>
      </w:hyperlink>
    </w:p>
    <w:sectPr w:rsidR="00FC693F" w:rsidRPr="0006063C" w:rsidSect="00034616">
      <w:footerReference w:type="default" r:id="rId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Musicality Evaluation for Music-to-Dance Generation | Working research note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enaccess.thecvf.com/content/ICCV2021/html/Li_AI_Choreographer_Music_Conditioned_3D_Dance_Generation_With_AIST_ICCV_2021_paper.html" TargetMode="External"/><Relationship Id="rId10" Type="http://schemas.openxmlformats.org/officeDocument/2006/relationships/hyperlink" Target="https://proceedings.mlr.press/v306/yang26dl.html" TargetMode="External"/><Relationship Id="rId11" Type="http://schemas.openxmlformats.org/officeDocument/2006/relationships/hyperlink" Target="https://archive.bridgesmathart.org/2013/bridges2013-111.html" TargetMode="External"/><Relationship Id="rId12" Type="http://schemas.openxmlformats.org/officeDocument/2006/relationships/hyperlink" Target="https://ntnuopen.ntnu.no/ntnu-xmlui/handle/11250/3122990" TargetMode="External"/><Relationship Id="rId13" Type="http://schemas.openxmlformats.org/officeDocument/2006/relationships/hyperlink" Target="https://pmc.ncbi.nlm.nih.gov/articles/PMC6090462/" TargetMode="External"/><Relationship Id="rId14" Type="http://schemas.openxmlformats.org/officeDocument/2006/relationships/hyperlink" Target="https://arxiv.org/abs/2512.18181" TargetMode="External"/><Relationship Id="rId15" Type="http://schemas.openxmlformats.org/officeDocument/2006/relationships/hyperlink" Target="https://github.com/YunZhongNikki/ImperialDance-Dataset"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