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Next Experiment: Multi-Component Music–Motion Dynamics Evaluation of MACE</w:t>
      </w:r>
    </w:p>
    <w:p>
      <w:pPr>
        <w:jc w:val="center"/>
      </w:pPr>
      <w:r>
        <w:rPr>
          <w:i/>
          <w:sz w:val="22"/>
        </w:rPr>
        <w:t>Goal: identify which dimensions of musical dynamics are preserved by human dance but weakened in MACE generation</w:t>
      </w:r>
    </w:p>
    <w:p>
      <w:r>
        <w:t>This experiment extends the initial loudness–motion-energy result into a literature-grounded, multi-component analysis. The objective is diagnostic: first establish where MACE actually fails, then decide which cross-modal property is worth turning into a training objective.</w:t>
      </w:r>
    </w:p>
    <w:p>
      <w:pPr>
        <w:pStyle w:val="Heading1"/>
      </w:pPr>
      <w:r>
        <w:t>1. Research Question</w:t>
      </w:r>
    </w:p>
    <w:p>
      <w:pPr>
        <w:pStyle w:val="Callout"/>
      </w:pPr>
      <w:r>
        <w:t>Does MACE preserve song-specific relationships between musical dynamics and body dynamics, or does it mainly preserve plausible/beat-aligned motion while weakening finer music–motion coupling?</w:t>
      </w:r>
    </w:p>
    <w:p>
      <w:r>
        <w:t>The experiment compares each dance against its correct song and carefully chosen mismatched songs. The key quantity is not raw motion quality; it is the extra alignment obtained when a dance is paired with the song it actually belongs to.</w:t>
      </w:r>
    </w:p>
    <w:p>
      <w:pPr>
        <w:pStyle w:val="Heading1"/>
      </w:pPr>
      <w:r>
        <w:t>2. Hypotheses</w:t>
      </w:r>
    </w:p>
    <w:p>
      <w:pPr>
        <w:pStyle w:val="ListBullet"/>
        <w:spacing w:after="40"/>
      </w:pPr>
      <w:r>
        <w:t>H1 — Human dance shows positive song-specific coupling: correct-song alignment is higher than matched wrong-song alignment for several music–motion components.</w:t>
      </w:r>
    </w:p>
    <w:p>
      <w:pPr>
        <w:pStyle w:val="ListBullet"/>
        <w:spacing w:after="40"/>
      </w:pPr>
      <w:r>
        <w:t>H2 — MACE shows a smaller correct-song advantage than real dance for at least some components, revealing which musical cues are underused.</w:t>
      </w:r>
    </w:p>
    <w:p>
      <w:pPr>
        <w:pStyle w:val="ListBullet"/>
        <w:spacing w:after="40"/>
      </w:pPr>
      <w:r>
        <w:t>H3 — Beat metrics (e.g., BAS) may remain strong even when dynamics-based components are weak, showing that beat timing and musical dynamics are not equivalent.</w:t>
      </w:r>
    </w:p>
    <w:p>
      <w:pPr>
        <w:pStyle w:val="Heading1"/>
      </w:pPr>
      <w:r>
        <w:t>3. Multi-Component Musicality Profile</w:t>
      </w:r>
    </w:p>
    <w:p>
      <w:r>
        <w:t>Rather than compressing musicality into one score immediately, compute a vector of interpretable cross-modal scores. Each component is motivated by prior embodied-music / music–movement literature.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 w:val="true"/>
        </w:trPr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Component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Music feature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Motion feature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Working score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Literature basis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Loudness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RMS / loudness envelope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Quantity of motion (QoM) or mean joint speed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S_loud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González-Sánchez et al., 2018; Kohn &amp; Eitan, 2016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Pulse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Rolling pulse clarity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Whole-body periodicity / hip-foot movement envelope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S_pulse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Burger et al., 2013; Burger et al., 2018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Percussiveness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Percussive energy / onset envelope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Acceleration / sharp upper-body motion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S_perc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Burger et al., 2013; Burger &amp; Toiviainen, 2018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Low-frequency flux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Sub-band spectral flux (low band)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Hip/feet/whole-body movement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S_lowflux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Burger et al., 2018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High-frequency flux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Sub-band spectral flux (high band)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Head/hand speed or acceleration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S_highflux</w:t>
            </w:r>
          </w:p>
        </w:tc>
        <w:tc>
          <w:tcPr>
            <w:tcW w:type="dxa" w:w="19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Burger et al., 2013</w:t>
            </w:r>
          </w:p>
        </w:tc>
      </w:tr>
    </w:tbl>
    <w:p>
      <w:r>
        <w:t>Important: these are working evaluation components, not established dance-generation benchmark metrics. The literature motivates the feature relationships; this experiment tests whether they are useful for distinguishing song-specific dance coupling.</w:t>
      </w:r>
    </w:p>
    <w:p>
      <w:pPr>
        <w:pStyle w:val="Heading1"/>
      </w:pPr>
      <w:r>
        <w:t>4. Core Formula</w:t>
      </w:r>
    </w:p>
    <w:p>
      <w:r>
        <w:t>For music feature M_i(t) and motion feature D_j(t), use lag-aware normalized cross-correlation:</w:t>
      </w:r>
    </w:p>
    <w:p>
      <w:pPr>
        <w:pStyle w:val="Equation"/>
      </w:pPr>
      <w:r>
        <w:t>S_ij = max over τ ∈ [−τ_max, +τ_max]  Corr( M_i(t), D_j(t + τ) )</w:t>
      </w:r>
    </w:p>
    <w:p>
      <w:r>
        <w:t>A small lag is allowed because a dancer may anticipate a musical event or react slightly after it. A practical first setting is τ_max = 300 ms; report the selected lag as well as the correlation score.</w:t>
      </w:r>
    </w:p>
    <w:p>
      <w:r>
        <w:t>The full profile for one music–dance pair is:</w:t>
      </w:r>
    </w:p>
    <w:p>
      <w:pPr>
        <w:pStyle w:val="Equation"/>
      </w:pPr>
      <w:r>
        <w:t>S = [ S_loud, S_pulse, S_perc, S_lowflux, S_highflux ]</w:t>
      </w:r>
    </w:p>
    <w:p>
      <w:pPr>
        <w:pStyle w:val="Heading1"/>
      </w:pPr>
      <w:r>
        <w:t>5. Data and Comparison Conditions</w:t>
      </w:r>
    </w:p>
    <w:p>
      <w:r>
        <w:t>Use the same set of songs/dances used in the current ImperialDance analysis, expanding the sample if feasible. For each song i, prepare the following pairings: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shd w:fill="E8F1E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Condition</w:t>
            </w:r>
          </w:p>
        </w:tc>
        <w:tc>
          <w:tcPr>
            <w:tcW w:type="dxa" w:w="3312"/>
            <w:shd w:fill="E8F1E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Pair</w:t>
            </w:r>
          </w:p>
        </w:tc>
        <w:tc>
          <w:tcPr>
            <w:tcW w:type="dxa" w:w="3312"/>
            <w:shd w:fill="E8F1E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Real–Own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Music_i + RealDance_i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Human song-specific alignment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Real–Other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WrongMusic_j + RealDance_i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Human mismatch baseline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MACE–Own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Music_i + MACEDance_i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song-specific alignment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MACE–Other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WrongMusic_j + MACEDance_i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mismatch baseline</w:t>
            </w:r>
          </w:p>
        </w:tc>
      </w:tr>
    </w:tbl>
    <w:p>
      <w:r>
        <w:t>Choose mismatched songs carefully. Prefer songs with similar BPM and, when possible, similar genre/style. This reduces the chance that a score is driven only by tempo or gross genre differences.</w:t>
      </w:r>
    </w:p>
    <w:p>
      <w:pPr>
        <w:pStyle w:val="Heading1"/>
      </w:pPr>
      <w:r>
        <w:t>6. Signal Extraction</w:t>
      </w:r>
    </w:p>
    <w:p>
      <w:pPr>
        <w:pStyle w:val="Heading2"/>
      </w:pPr>
      <w:r>
        <w:t>6.1 Music</w:t>
      </w:r>
    </w:p>
    <w:p>
      <w:pPr>
        <w:pStyle w:val="ListBullet"/>
        <w:spacing w:after="40"/>
      </w:pPr>
      <w:r>
        <w:t>RMS/loudness: short-time RMS or a perceptual loudness measure, smoothed over a small window.</w:t>
      </w:r>
    </w:p>
    <w:p>
      <w:pPr>
        <w:pStyle w:val="ListBullet"/>
        <w:spacing w:after="40"/>
      </w:pPr>
      <w:r>
        <w:t>Pulse clarity: estimate in rolling windows so it becomes a time-varying signal rather than one number per song.</w:t>
      </w:r>
    </w:p>
    <w:p>
      <w:pPr>
        <w:pStyle w:val="ListBullet"/>
        <w:spacing w:after="40"/>
      </w:pPr>
      <w:r>
        <w:t>Percussiveness: HPSS percussive component energy and/or onset strength envelope.</w:t>
      </w:r>
    </w:p>
    <w:p>
      <w:pPr>
        <w:pStyle w:val="ListBullet"/>
        <w:spacing w:after="40"/>
      </w:pPr>
      <w:r>
        <w:t>Low-frequency spectral flux: frame-to-frame spectral change restricted to low frequencies.</w:t>
      </w:r>
    </w:p>
    <w:p>
      <w:pPr>
        <w:pStyle w:val="ListBullet"/>
        <w:spacing w:after="40"/>
      </w:pPr>
      <w:r>
        <w:t>High-frequency spectral flux: frame-to-frame spectral change restricted to higher frequencies.</w:t>
      </w:r>
    </w:p>
    <w:p>
      <w:pPr>
        <w:pStyle w:val="Heading2"/>
      </w:pPr>
      <w:r>
        <w:t>6.2 Motion</w:t>
      </w:r>
    </w:p>
    <w:p>
      <w:pPr>
        <w:pStyle w:val="ListBullet"/>
        <w:spacing w:after="40"/>
      </w:pPr>
      <w:r>
        <w:t>Quantity of motion (QoM): aggregate frame-to-frame joint displacement, normalized for body scale.</w:t>
      </w:r>
    </w:p>
    <w:p>
      <w:pPr>
        <w:pStyle w:val="ListBullet"/>
        <w:spacing w:after="40"/>
      </w:pPr>
      <w:r>
        <w:t>Mean joint speed: average joint velocity magnitude across a common skeleton subset.</w:t>
      </w:r>
    </w:p>
    <w:p>
      <w:pPr>
        <w:pStyle w:val="ListBullet"/>
        <w:spacing w:after="40"/>
      </w:pPr>
      <w:r>
        <w:t>Acceleration / motion accent envelope: aggregate acceleration magnitude, optionally upper-body specific.</w:t>
      </w:r>
    </w:p>
    <w:p>
      <w:pPr>
        <w:pStyle w:val="ListBullet"/>
        <w:spacing w:after="40"/>
      </w:pPr>
      <w:r>
        <w:t>Hip/feet movement envelope: speed or acceleration from pelvis, knees, ankles/feet.</w:t>
      </w:r>
    </w:p>
    <w:p>
      <w:pPr>
        <w:pStyle w:val="ListBullet"/>
        <w:spacing w:after="40"/>
      </w:pPr>
      <w:r>
        <w:t>Head/hand envelope: speed or acceleration from head, wrists/hands.</w:t>
      </w:r>
    </w:p>
    <w:p>
      <w:r>
        <w:t>For a fair Real-vs-MACE comparison, map both skeletons to a common joint subset and normalize by body scale. Do not compare raw coordinates across skeleton formats.</w:t>
      </w:r>
    </w:p>
    <w:p>
      <w:pPr>
        <w:pStyle w:val="Heading1"/>
      </w:pPr>
      <w:r>
        <w:t>7. Main Statistical Analysis</w:t>
      </w:r>
    </w:p>
    <w:p>
      <w:r>
        <w:t>For each component k and song i, compute the song-specific advantage:</w:t>
      </w:r>
    </w:p>
    <w:p>
      <w:pPr>
        <w:pStyle w:val="Equation"/>
      </w:pPr>
      <w:r>
        <w:t>Δ_real(i,k) = S_real,own(i,k) − S_real,other(i,k)</w:t>
      </w:r>
    </w:p>
    <w:p>
      <w:pPr>
        <w:pStyle w:val="Equation"/>
      </w:pPr>
      <w:r>
        <w:t>Δ_MACE(i,k) = S_MACE,own(i,k) − S_MACE,other(i,k)</w:t>
      </w:r>
    </w:p>
    <w:p>
      <w:r>
        <w:t>Then compute the model gap:</w:t>
      </w:r>
    </w:p>
    <w:p>
      <w:pPr>
        <w:pStyle w:val="Equation"/>
      </w:pPr>
      <w:r>
        <w:t>G(k) = mean_i [ Δ_real(i,k) − Δ_MACE(i,k) ]</w:t>
      </w:r>
    </w:p>
    <w:p>
      <w:r>
        <w:t>Interpretation: G(k) &gt; 0 means real dancers preserve more song-specific coupling than MACE for component k.</w:t>
      </w:r>
    </w:p>
    <w:p>
      <w:pPr>
        <w:pStyle w:val="ListBullet"/>
        <w:spacing w:after="40"/>
      </w:pPr>
      <w:r>
        <w:t>Primary test: paired permutation test or Wilcoxon signed-rank test on Δ_real versus Δ_MACE for each component.</w:t>
      </w:r>
    </w:p>
    <w:p>
      <w:pPr>
        <w:pStyle w:val="ListBullet"/>
        <w:spacing w:after="40"/>
      </w:pPr>
      <w:r>
        <w:t>Report bootstrap 95% confidence intervals for G(k).</w:t>
      </w:r>
    </w:p>
    <w:p>
      <w:pPr>
        <w:pStyle w:val="ListBullet"/>
        <w:spacing w:after="40"/>
      </w:pPr>
      <w:r>
        <w:t>Because several components are tested, control false discoveries across components (e.g., Benjamini–Hochberg FDR).</w:t>
      </w:r>
    </w:p>
    <w:p>
      <w:pPr>
        <w:pStyle w:val="ListBullet"/>
        <w:spacing w:after="40"/>
      </w:pPr>
      <w:r>
        <w:t>Also report how many songs have Δ &gt; 0 in each condition; this gives an intuitive consistency check.</w:t>
      </w:r>
    </w:p>
    <w:p>
      <w:pPr>
        <w:pStyle w:val="Heading1"/>
      </w:pPr>
      <w:r>
        <w:t>8. What Would Count as a Useful Result?</w:t>
      </w:r>
    </w:p>
    <w:p>
      <w:r>
        <w:t>The strongest motivation is not simply 'MACE has a lower correlation.' The useful pattern is:</w:t>
      </w:r>
    </w:p>
    <w:p>
      <w:pPr>
        <w:pStyle w:val="Equation"/>
      </w:pPr>
      <w:r>
        <w:t>Real:  S_own  &gt;  S_other    but    MACE:  S_own ≈ S_other</w:t>
      </w:r>
    </w:p>
    <w:p>
      <w:r>
        <w:t>for one or more literature-grounded components. This would show that the corresponding music–motion relationship exists in human performance but is not preserved as strongly by the generator.</w:t>
      </w:r>
    </w:p>
    <w:p>
      <w:r>
        <w:t>Example interpretation (illustrative only):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484"/>
            <w:shd w:fill="F4E5D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Component</w:t>
            </w:r>
          </w:p>
        </w:tc>
        <w:tc>
          <w:tcPr>
            <w:tcW w:type="dxa" w:w="2484"/>
            <w:shd w:fill="F4E5D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Real own-vs-other</w:t>
            </w:r>
          </w:p>
        </w:tc>
        <w:tc>
          <w:tcPr>
            <w:tcW w:type="dxa" w:w="2484"/>
            <w:shd w:fill="F4E5D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MACE own-vs-other</w:t>
            </w:r>
          </w:p>
        </w:tc>
        <w:tc>
          <w:tcPr>
            <w:tcW w:type="dxa" w:w="2484"/>
            <w:shd w:fill="F4E5D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Interpretation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Loudness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Clear positive gap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Near zero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MACE underuses loudness dynamics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Percussiveness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Clear positive gap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Small/zero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Weak response to percussive intensity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Low-frequency flux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Positive gap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Positive gap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Likely already captured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High-frequency flux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Positive gap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Near zero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Upper-body musical responsiveness may be weak</w:t>
            </w:r>
          </w:p>
        </w:tc>
      </w:tr>
    </w:tbl>
    <w:p>
      <w:pPr>
        <w:pStyle w:val="Heading1"/>
      </w:pPr>
      <w:r>
        <w:t>9. Decision Rule for the Next Modeling Step</w:t>
      </w:r>
    </w:p>
    <w:p>
      <w:pPr>
        <w:pStyle w:val="ListBullet"/>
        <w:spacing w:after="40"/>
      </w:pPr>
      <w:r>
        <w:t>If a component separates Real–Own from Real–Other but not MACE–Own from MACE–Other, prioritize it as a candidate training objective.</w:t>
      </w:r>
    </w:p>
    <w:p>
      <w:pPr>
        <w:pStyle w:val="ListBullet"/>
        <w:spacing w:after="40"/>
      </w:pPr>
      <w:r>
        <w:t>If both real dancers and MACE show strong song-specific coupling, do not build a new loss for that component.</w:t>
      </w:r>
    </w:p>
    <w:p>
      <w:pPr>
        <w:pStyle w:val="ListBullet"/>
        <w:spacing w:after="40"/>
      </w:pPr>
      <w:r>
        <w:t>If even real dancers do not show reliable own-song coupling, the metric is probably not a good musicality target and should be dropped or redesigned.</w:t>
      </w:r>
    </w:p>
    <w:p>
      <w:pPr>
        <w:pStyle w:val="ListBullet"/>
        <w:spacing w:after="40"/>
      </w:pPr>
      <w:r>
        <w:t>Only after a component passes this diagnostic should we formulate a differentiable loss and retrain MACE.</w:t>
      </w:r>
    </w:p>
    <w:p>
      <w:pPr>
        <w:pStyle w:val="Heading1"/>
      </w:pPr>
      <w:r>
        <w:t>10. Recommended Figures</w:t>
      </w:r>
    </w:p>
    <w:p>
      <w:pPr>
        <w:pStyle w:val="ListBullet"/>
        <w:spacing w:after="40"/>
      </w:pPr>
      <w:r>
        <w:t>Paired slope plot for each component: Own vs Other, shown separately for Real and MACE.</w:t>
      </w:r>
    </w:p>
    <w:p>
      <w:pPr>
        <w:pStyle w:val="ListBullet"/>
        <w:spacing w:after="40"/>
      </w:pPr>
      <w:r>
        <w:t>Bar/point plot of Δ_real and Δ_MACE with 95% confidence intervals.</w:t>
      </w:r>
    </w:p>
    <w:p>
      <w:pPr>
        <w:pStyle w:val="ListBullet"/>
        <w:spacing w:after="40"/>
      </w:pPr>
      <w:r>
        <w:t>Per-song scatter of Δ_real versus Δ_MACE to see whether failures are style/song dependent.</w:t>
      </w:r>
    </w:p>
    <w:p>
      <w:pPr>
        <w:pStyle w:val="ListBullet"/>
        <w:spacing w:after="40"/>
      </w:pPr>
      <w:r>
        <w:t>Optional profile/radar plot for descriptive visualization only; do not use it as the main statistical evidence.</w:t>
      </w:r>
    </w:p>
    <w:p>
      <w:pPr>
        <w:pStyle w:val="Heading1"/>
      </w:pPr>
      <w:r>
        <w:t>11. Minimal Implementation Order</w:t>
      </w:r>
    </w:p>
    <w:p>
      <w:pPr>
        <w:pStyle w:val="ListNumber"/>
      </w:pPr>
      <w:r>
        <w:t>Reproduce the current loudness/QoM result exactly as a sanity check.</w:t>
      </w:r>
    </w:p>
    <w:p>
      <w:pPr>
        <w:pStyle w:val="ListNumber"/>
      </w:pPr>
      <w:r>
        <w:t>Add percussive/onset envelope &lt;-&gt; motion acceleration.</w:t>
      </w:r>
    </w:p>
    <w:p>
      <w:pPr>
        <w:pStyle w:val="ListNumber"/>
      </w:pPr>
      <w:r>
        <w:t>Add low-frequency spectral flux &lt;-&gt; hip/feet/whole-body movement.</w:t>
      </w:r>
    </w:p>
    <w:p>
      <w:pPr>
        <w:pStyle w:val="ListNumber"/>
      </w:pPr>
      <w:r>
        <w:t>Add high-frequency spectral flux &lt;-&gt; head/hand movement.</w:t>
      </w:r>
    </w:p>
    <w:p>
      <w:pPr>
        <w:pStyle w:val="ListNumber"/>
      </w:pPr>
      <w:r>
        <w:t>Add rolling pulse clarity last, because its time-varying estimation is less direct.</w:t>
      </w:r>
    </w:p>
    <w:p>
      <w:pPr>
        <w:pStyle w:val="ListNumber"/>
      </w:pPr>
      <w:r>
        <w:t>Run own-song vs BPM/genre-matched wrong-song comparisons for Real and MACE.</w:t>
      </w:r>
    </w:p>
    <w:p>
      <w:pPr>
        <w:pStyle w:val="ListNumber"/>
      </w:pPr>
      <w:r>
        <w:t>Only then decide whether a new loss is justified.</w:t>
      </w:r>
    </w:p>
    <w:p>
      <w:pPr>
        <w:pStyle w:val="Heading1"/>
      </w:pPr>
      <w:r>
        <w:t>12. Intended Research Claim — If Supported</w:t>
      </w:r>
    </w:p>
    <w:p>
      <w:pPr>
        <w:pStyle w:val="Callout"/>
      </w:pPr>
      <w:r>
        <w:t>MACE can generate realistic and beat-aligned dance, but controlled cross-modal analysis reveals that some song-specific dynamic relationships present in human dance are attenuated in generated motion. This motivates explicit supervision of the missing music–motion component rather than a generic 'musicality loss'.</w:t>
      </w:r>
    </w:p>
    <w:p>
      <w:pPr>
        <w:pStyle w:val="Heading1"/>
      </w:pPr>
      <w:r>
        <w:t>References</w:t>
      </w:r>
    </w:p>
    <w:p>
      <w:pPr>
        <w:spacing w:after="60"/>
      </w:pPr>
      <w:r/>
      <w:r>
        <w:t>1. Burger, B., Thompson, M. R., Luck, G., Saarikallio, S., &amp; Toiviainen, P. (2013). Influences of Rhythm- and Timbre-Related Musical Features on Characteristics of Music-Induced Movement. Frontiers in Psychology, 4. DOI: 10.3389/fpsyg.2013.00183.</w:t>
      </w:r>
    </w:p>
    <w:p>
      <w:pPr>
        <w:spacing w:after="60"/>
      </w:pPr>
      <w:r/>
      <w:r>
        <w:t>2. González-Sánchez, V. E., Zelechowska, A., &amp; Jensenius, A. R. (2018). Correspondences Between Music and Involuntary Human Micromotion During Standstill. Frontiers in Psychology, 9. DOI: 10.3389/fpsyg.2018.01382.</w:t>
      </w:r>
    </w:p>
    <w:p>
      <w:pPr>
        <w:spacing w:after="60"/>
      </w:pPr>
      <w:r/>
      <w:r>
        <w:t>3. Burger, B., London, J., Thompson, M. R., &amp; Toiviainen, P. (2018). Synchronization to metrical levels in music depends on low-frequency spectral components and tempo. Psychological Research, 82, 1195–1211. DOI: 10.1007/s00426-017-0894-2.</w:t>
      </w:r>
    </w:p>
    <w:p>
      <w:pPr>
        <w:spacing w:after="60"/>
      </w:pPr>
      <w:r/>
      <w:r>
        <w:t>4. Burger, B., &amp; Toiviainen, P. (2018). Embodiment in Electronic Dance Music: Effects of musical content and structure on body movement. Musicae Scientiae. DOI: 10.1177/1029864918792594.</w:t>
      </w:r>
    </w:p>
    <w:p>
      <w:pPr>
        <w:spacing w:after="60"/>
      </w:pPr>
      <w:r/>
      <w:r>
        <w:t>5. Bergsland, A., &amp; Sabharwal, S. R. (2023). Examining the Correlation Between Dance and Electroacoustic Music Phrases: A Pilot Study. Proceedings of the 18th International Audio Mostly Conference. DOI: 10.1145/3616195.3616218.</w:t>
      </w:r>
    </w:p>
    <w:p>
      <w:pPr>
        <w:spacing w:after="60"/>
      </w:pPr>
      <w:r/>
      <w:r>
        <w:t>6. Kohn, D., &amp; Eitan, Z. (2016). Moving Music: Correspondences of Musical Parameters and Movement Dimensions in Children's Motion and Verbal Responses. Music Perception, 34, 40–55. DOI: 10.1525/mp.2016.34.1.40.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Experiment note — MACE musicality diagnostics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100"/>
      <w:ind w:left="504"/>
    </w:pPr>
    <w:rPr>
      <w:rFonts w:ascii="Cambria Math" w:hAnsi="Cambria Math"/>
      <w:sz w:val="22"/>
    </w:rPr>
  </w:style>
  <w:style w:type="paragraph" w:customStyle="1" w:styleId="Callout">
    <w:name w:val="Callout"/>
    <w:pPr>
      <w:spacing w:before="120" w:after="120"/>
      <w:ind w:left="360" w:right="360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