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AE213" w14:textId="77777777" w:rsidR="00181841" w:rsidRPr="000A6338" w:rsidRDefault="00181841" w:rsidP="003E37AC">
      <w:pPr>
        <w:pStyle w:val="1"/>
        <w:spacing w:beforeLines="100" w:before="312" w:afterLines="100" w:after="312"/>
        <w:ind w:left="357" w:hanging="357"/>
        <w:rPr>
          <w:lang w:val="en-GB"/>
        </w:rPr>
      </w:pPr>
      <w:r w:rsidRPr="000A6338">
        <w:rPr>
          <w:lang w:val="en-GB"/>
        </w:rPr>
        <w:t>Introduction</w:t>
      </w:r>
    </w:p>
    <w:p w14:paraId="356F9AEA" w14:textId="1919D89E" w:rsidR="00DE48FE" w:rsidRPr="000A6338" w:rsidRDefault="0037426A" w:rsidP="003E37AC">
      <w:pPr>
        <w:spacing w:beforeLines="100" w:before="312" w:afterLines="100" w:after="312" w:line="360" w:lineRule="auto"/>
        <w:rPr>
          <w:rFonts w:ascii="Times New Roman" w:hAnsi="Times New Roman" w:cs="Times New Roman"/>
          <w:sz w:val="24"/>
          <w:szCs w:val="24"/>
          <w:lang w:val="en-GB"/>
        </w:rPr>
      </w:pPr>
      <w:r w:rsidRPr="000A6338">
        <w:rPr>
          <w:rFonts w:ascii="Times New Roman" w:hAnsi="Times New Roman" w:cs="Times New Roman"/>
          <w:sz w:val="24"/>
          <w:szCs w:val="24"/>
          <w:lang w:val="en-GB"/>
        </w:rPr>
        <w:t>T</w:t>
      </w:r>
      <w:r w:rsidR="009B3A96" w:rsidRPr="000A6338">
        <w:rPr>
          <w:rFonts w:ascii="Times New Roman" w:hAnsi="Times New Roman" w:cs="Times New Roman"/>
          <w:sz w:val="24"/>
          <w:szCs w:val="24"/>
          <w:lang w:val="en-GB"/>
        </w:rPr>
        <w:t xml:space="preserve">he </w:t>
      </w:r>
      <w:r w:rsidRPr="000A6338">
        <w:rPr>
          <w:rFonts w:ascii="Times New Roman" w:hAnsi="Times New Roman" w:cs="Times New Roman"/>
          <w:sz w:val="24"/>
          <w:szCs w:val="24"/>
          <w:lang w:val="en-GB"/>
        </w:rPr>
        <w:t>authors</w:t>
      </w:r>
      <w:r w:rsidR="009B3A96" w:rsidRPr="000A6338">
        <w:rPr>
          <w:rFonts w:ascii="Times New Roman" w:hAnsi="Times New Roman" w:cs="Times New Roman"/>
          <w:sz w:val="24"/>
          <w:szCs w:val="24"/>
          <w:lang w:val="en-GB"/>
        </w:rPr>
        <w:t xml:space="preserve"> </w:t>
      </w:r>
      <w:r w:rsidR="00DE09E2">
        <w:rPr>
          <w:rFonts w:ascii="Times New Roman" w:hAnsi="Times New Roman" w:cs="Times New Roman"/>
          <w:sz w:val="24"/>
          <w:szCs w:val="24"/>
          <w:lang w:val="en-GB"/>
        </w:rPr>
        <w:t>conduct</w:t>
      </w:r>
      <w:r w:rsidRPr="000A6338">
        <w:rPr>
          <w:rFonts w:ascii="Times New Roman" w:hAnsi="Times New Roman" w:cs="Times New Roman"/>
          <w:sz w:val="24"/>
          <w:szCs w:val="24"/>
          <w:lang w:val="en-GB"/>
        </w:rPr>
        <w:t xml:space="preserve"> a drought insurance experiment in Ethiopia. They examine whether uptake of index-based insurance is enhanced if farmers are allowed to pay after harvest (addressing a liquidity constraint). They also test to what extent uptake can be enhanced by promoting insurance via informal risk-sharing institutions (</w:t>
      </w:r>
      <w:proofErr w:type="spellStart"/>
      <w:r w:rsidRPr="000A6338">
        <w:rPr>
          <w:rFonts w:ascii="Times New Roman" w:hAnsi="Times New Roman" w:cs="Times New Roman"/>
          <w:i/>
          <w:iCs/>
          <w:sz w:val="24"/>
          <w:szCs w:val="24"/>
          <w:lang w:val="en-GB"/>
        </w:rPr>
        <w:t>Iddirs</w:t>
      </w:r>
      <w:proofErr w:type="spellEnd"/>
      <w:r w:rsidRPr="000A6338">
        <w:rPr>
          <w:rFonts w:ascii="Times New Roman" w:hAnsi="Times New Roman" w:cs="Times New Roman"/>
          <w:sz w:val="24"/>
          <w:szCs w:val="24"/>
          <w:lang w:val="en-GB"/>
        </w:rPr>
        <w:t>). The main results of the paper are that the delayed payment insurance product increases uptake substantially when compared to standard insurance, from 8% to 24%, and leveraging informal institutions results in even greater uptake (43%). They also find suggestive evidence that the delayed premium product is indeed better at targeting the liquidity constrained.</w:t>
      </w:r>
    </w:p>
    <w:p w14:paraId="579D82C3" w14:textId="43938252" w:rsidR="0037426A" w:rsidRPr="000A6338" w:rsidRDefault="00B904BA" w:rsidP="003E37AC">
      <w:pPr>
        <w:spacing w:beforeLines="100" w:before="312" w:afterLines="100" w:after="312" w:line="360" w:lineRule="auto"/>
        <w:rPr>
          <w:rFonts w:ascii="Times New Roman" w:hAnsi="Times New Roman" w:cs="Times New Roman"/>
          <w:sz w:val="24"/>
          <w:szCs w:val="24"/>
          <w:lang w:val="en-GB"/>
        </w:rPr>
      </w:pPr>
      <w:r>
        <w:rPr>
          <w:rFonts w:ascii="Times New Roman" w:hAnsi="Times New Roman" w:cs="Times New Roman"/>
          <w:sz w:val="24"/>
          <w:szCs w:val="24"/>
          <w:lang w:val="en-GB"/>
        </w:rPr>
        <w:t>They</w:t>
      </w:r>
      <w:r w:rsidR="00963DC4" w:rsidRPr="000A6338">
        <w:rPr>
          <w:rFonts w:ascii="Times New Roman" w:hAnsi="Times New Roman" w:cs="Times New Roman"/>
          <w:sz w:val="24"/>
          <w:szCs w:val="24"/>
          <w:lang w:val="en-GB"/>
        </w:rPr>
        <w:t xml:space="preserve"> report on the outcomes of an RCT in rural Ethiopia that focused on two major reasons for low adoption of insurance: (</w:t>
      </w:r>
      <w:proofErr w:type="spellStart"/>
      <w:r w:rsidR="00963DC4" w:rsidRPr="000A6338">
        <w:rPr>
          <w:rFonts w:ascii="Times New Roman" w:hAnsi="Times New Roman" w:cs="Times New Roman"/>
          <w:sz w:val="24"/>
          <w:szCs w:val="24"/>
          <w:lang w:val="en-GB"/>
        </w:rPr>
        <w:t>i</w:t>
      </w:r>
      <w:proofErr w:type="spellEnd"/>
      <w:r w:rsidR="00963DC4" w:rsidRPr="000A6338">
        <w:rPr>
          <w:rFonts w:ascii="Times New Roman" w:hAnsi="Times New Roman" w:cs="Times New Roman"/>
          <w:sz w:val="24"/>
          <w:szCs w:val="24"/>
          <w:lang w:val="en-GB"/>
        </w:rPr>
        <w:t>) lack of liquidity to pay for the insurance premium, and (ii) lack of information about, or trust in, the insurance product. To study the role of liquidity constraints during the planting season we allow (randomly selected) farmers to pay the premium after harvest</w:t>
      </w:r>
      <w:r w:rsidR="008344BC" w:rsidRPr="000A6338">
        <w:rPr>
          <w:rFonts w:ascii="Times New Roman" w:hAnsi="Times New Roman" w:cs="Times New Roman"/>
          <w:sz w:val="24"/>
          <w:szCs w:val="24"/>
          <w:lang w:val="en-GB"/>
        </w:rPr>
        <w:t xml:space="preserve">—they </w:t>
      </w:r>
      <w:r w:rsidR="00963DC4" w:rsidRPr="000A6338">
        <w:rPr>
          <w:rFonts w:ascii="Times New Roman" w:hAnsi="Times New Roman" w:cs="Times New Roman"/>
          <w:sz w:val="24"/>
          <w:szCs w:val="24"/>
          <w:lang w:val="en-GB"/>
        </w:rPr>
        <w:t>allow smallholders to postpone premium payment until after the harvest, and henceforth call this insurance product IOU. Second,</w:t>
      </w:r>
      <w:r>
        <w:rPr>
          <w:rFonts w:ascii="Times New Roman" w:hAnsi="Times New Roman" w:cs="Times New Roman"/>
          <w:sz w:val="24"/>
          <w:szCs w:val="24"/>
          <w:lang w:val="en-GB"/>
        </w:rPr>
        <w:t xml:space="preserve"> they </w:t>
      </w:r>
      <w:r w:rsidR="00963DC4" w:rsidRPr="000A6338">
        <w:rPr>
          <w:rFonts w:ascii="Times New Roman" w:hAnsi="Times New Roman" w:cs="Times New Roman"/>
          <w:sz w:val="24"/>
          <w:szCs w:val="24"/>
          <w:lang w:val="en-GB"/>
        </w:rPr>
        <w:t xml:space="preserve">randomly vary the marketing channel, and leverage support of leaders of </w:t>
      </w:r>
      <w:proofErr w:type="spellStart"/>
      <w:r w:rsidR="00963DC4" w:rsidRPr="000A6338">
        <w:rPr>
          <w:rFonts w:ascii="Times New Roman" w:hAnsi="Times New Roman" w:cs="Times New Roman"/>
          <w:i/>
          <w:iCs/>
          <w:sz w:val="24"/>
          <w:szCs w:val="24"/>
          <w:lang w:val="en-GB"/>
        </w:rPr>
        <w:t>Iddirs</w:t>
      </w:r>
      <w:proofErr w:type="spellEnd"/>
      <w:r w:rsidR="00963DC4" w:rsidRPr="000A6338">
        <w:rPr>
          <w:rFonts w:ascii="Times New Roman" w:hAnsi="Times New Roman" w:cs="Times New Roman"/>
          <w:sz w:val="24"/>
          <w:szCs w:val="24"/>
          <w:lang w:val="en-GB"/>
        </w:rPr>
        <w:t>, which are informal social institutions in Ethiopia, for the product in some experimental arms</w:t>
      </w:r>
      <w:r w:rsidR="008344BC" w:rsidRPr="000A6338">
        <w:rPr>
          <w:rFonts w:ascii="Times New Roman" w:hAnsi="Times New Roman" w:cs="Times New Roman"/>
          <w:sz w:val="24"/>
          <w:szCs w:val="24"/>
          <w:lang w:val="en-GB"/>
        </w:rPr>
        <w:t>—the leaders are informed of how the insurance works and are responsible for promoting it.</w:t>
      </w:r>
    </w:p>
    <w:p w14:paraId="251424FE" w14:textId="28D7F48F" w:rsidR="00084886" w:rsidRDefault="00084886" w:rsidP="003E37AC">
      <w:pPr>
        <w:spacing w:beforeLines="100" w:before="312" w:afterLines="100" w:after="312" w:line="360" w:lineRule="auto"/>
        <w:rPr>
          <w:rFonts w:ascii="Times New Roman" w:hAnsi="Times New Roman" w:cs="Times New Roman"/>
          <w:sz w:val="24"/>
          <w:szCs w:val="24"/>
          <w:lang w:val="en-GB"/>
        </w:rPr>
      </w:pPr>
      <w:r w:rsidRPr="000A6338">
        <w:rPr>
          <w:rFonts w:ascii="Times New Roman" w:hAnsi="Times New Roman" w:cs="Times New Roman"/>
          <w:sz w:val="24"/>
          <w:szCs w:val="24"/>
          <w:lang w:val="en-GB"/>
        </w:rPr>
        <w:t xml:space="preserve">This paper extends the important findings of </w:t>
      </w:r>
      <w:proofErr w:type="spellStart"/>
      <w:r w:rsidRPr="000A6338">
        <w:rPr>
          <w:rFonts w:ascii="Times New Roman" w:hAnsi="Times New Roman" w:cs="Times New Roman"/>
          <w:sz w:val="24"/>
          <w:szCs w:val="24"/>
          <w:lang w:val="en-GB"/>
        </w:rPr>
        <w:t>Casaburi</w:t>
      </w:r>
      <w:proofErr w:type="spellEnd"/>
      <w:r w:rsidRPr="000A6338">
        <w:rPr>
          <w:rFonts w:ascii="Times New Roman" w:hAnsi="Times New Roman" w:cs="Times New Roman"/>
          <w:sz w:val="24"/>
          <w:szCs w:val="24"/>
          <w:lang w:val="en-GB"/>
        </w:rPr>
        <w:t xml:space="preserve"> and Willis (2018) outside the contract farming setting by analyse the uptake increase under other contracting arrangements, taking into consideration that most smallholders are not engaged in contract farming. Their design also further extends the findings of </w:t>
      </w:r>
      <w:proofErr w:type="spellStart"/>
      <w:r w:rsidRPr="000A6338">
        <w:rPr>
          <w:rFonts w:ascii="Times New Roman" w:hAnsi="Times New Roman" w:cs="Times New Roman"/>
          <w:sz w:val="24"/>
          <w:szCs w:val="24"/>
          <w:lang w:val="en-GB"/>
        </w:rPr>
        <w:t>Dercon</w:t>
      </w:r>
      <w:proofErr w:type="spellEnd"/>
      <w:r w:rsidRPr="000A6338">
        <w:rPr>
          <w:rFonts w:ascii="Times New Roman" w:hAnsi="Times New Roman" w:cs="Times New Roman"/>
          <w:sz w:val="24"/>
          <w:szCs w:val="24"/>
          <w:lang w:val="en-GB"/>
        </w:rPr>
        <w:t xml:space="preserve"> et al. (2014) because it combines marketing through informal groups with delayed premium—with possible synergies both in terms of uptake and defaults. Their result is in line with the findings of </w:t>
      </w:r>
      <w:proofErr w:type="spellStart"/>
      <w:r w:rsidRPr="000A6338">
        <w:rPr>
          <w:rFonts w:ascii="Times New Roman" w:hAnsi="Times New Roman" w:cs="Times New Roman"/>
          <w:sz w:val="24"/>
          <w:szCs w:val="24"/>
          <w:lang w:val="en-GB"/>
        </w:rPr>
        <w:t>Casaburi</w:t>
      </w:r>
      <w:proofErr w:type="spellEnd"/>
      <w:r w:rsidRPr="000A6338">
        <w:rPr>
          <w:rFonts w:ascii="Times New Roman" w:hAnsi="Times New Roman" w:cs="Times New Roman"/>
          <w:sz w:val="24"/>
          <w:szCs w:val="24"/>
          <w:lang w:val="en-GB"/>
        </w:rPr>
        <w:t xml:space="preserve"> and Willis (2018) in the context of contract farming, but they find some evidence that the demand-increasing effect of the IOU may be larger for people with low savings or income, supporting the idea that liquidity constraints impede uptake of insurance.</w:t>
      </w:r>
    </w:p>
    <w:p w14:paraId="7FCDCF63" w14:textId="4F4C441B" w:rsidR="00DC0928" w:rsidRPr="00C54301" w:rsidRDefault="00DC0928" w:rsidP="003E37AC">
      <w:pPr>
        <w:spacing w:beforeLines="100" w:before="312" w:afterLines="100" w:after="312" w:line="360" w:lineRule="auto"/>
        <w:rPr>
          <w:rFonts w:ascii="Times New Roman" w:hAnsi="Times New Roman" w:cs="Times New Roman"/>
          <w:color w:val="FF0000"/>
          <w:sz w:val="24"/>
          <w:szCs w:val="24"/>
          <w:lang w:val="en-GB"/>
        </w:rPr>
      </w:pPr>
      <w:r>
        <w:rPr>
          <w:rFonts w:ascii="Times New Roman" w:hAnsi="Times New Roman" w:cs="Times New Roman"/>
          <w:sz w:val="24"/>
          <w:szCs w:val="24"/>
          <w:lang w:val="en-GB"/>
        </w:rPr>
        <w:lastRenderedPageBreak/>
        <w:t xml:space="preserve">In our replication, we use R to reproduce the main results of the original paper using the data provided by the author. In addition, to further study the heterogeneous effects of the </w:t>
      </w:r>
      <w:r w:rsidR="00C764BC">
        <w:rPr>
          <w:rFonts w:ascii="Times New Roman" w:hAnsi="Times New Roman" w:cs="Times New Roman"/>
          <w:sz w:val="24"/>
          <w:szCs w:val="24"/>
          <w:lang w:val="en-GB"/>
        </w:rPr>
        <w:t xml:space="preserve">(different types of) insurance, we extend the paper by applying the causal forest method developed by Wager and </w:t>
      </w:r>
      <w:proofErr w:type="spellStart"/>
      <w:r w:rsidR="00C764BC">
        <w:rPr>
          <w:rFonts w:ascii="Times New Roman" w:hAnsi="Times New Roman" w:cs="Times New Roman"/>
          <w:sz w:val="24"/>
          <w:szCs w:val="24"/>
          <w:lang w:val="en-GB"/>
        </w:rPr>
        <w:t>Athey</w:t>
      </w:r>
      <w:proofErr w:type="spellEnd"/>
      <w:r w:rsidR="00C764BC">
        <w:rPr>
          <w:rFonts w:ascii="Times New Roman" w:hAnsi="Times New Roman" w:cs="Times New Roman"/>
          <w:sz w:val="24"/>
          <w:szCs w:val="24"/>
          <w:lang w:val="en-GB"/>
        </w:rPr>
        <w:t xml:space="preserve"> (2017). Finally, we compare our results with those obtained by the authors and explain the differences.</w:t>
      </w:r>
      <w:r w:rsidR="00C54301">
        <w:rPr>
          <w:rFonts w:ascii="Times New Roman" w:hAnsi="Times New Roman" w:cs="Times New Roman"/>
          <w:sz w:val="24"/>
          <w:szCs w:val="24"/>
          <w:lang w:val="en-GB"/>
        </w:rPr>
        <w:t xml:space="preserve"> </w:t>
      </w:r>
      <w:r w:rsidR="00C54301" w:rsidRPr="00C54301">
        <w:rPr>
          <w:rFonts w:ascii="Times New Roman" w:hAnsi="Times New Roman" w:cs="Times New Roman"/>
          <w:color w:val="FF0000"/>
          <w:sz w:val="24"/>
          <w:szCs w:val="24"/>
          <w:lang w:val="en-GB"/>
        </w:rPr>
        <w:t>(More details of results and conclusions needed.)</w:t>
      </w:r>
    </w:p>
    <w:p w14:paraId="4DE122AE" w14:textId="6517A164" w:rsidR="00084886" w:rsidRPr="000A6338" w:rsidRDefault="00084886" w:rsidP="003E37AC">
      <w:pPr>
        <w:pStyle w:val="1"/>
        <w:spacing w:beforeLines="100" w:before="312" w:afterLines="100" w:after="312"/>
        <w:ind w:left="357" w:hanging="357"/>
        <w:rPr>
          <w:lang w:val="en-GB"/>
        </w:rPr>
      </w:pPr>
      <w:r w:rsidRPr="000A6338">
        <w:rPr>
          <w:lang w:val="en-GB"/>
        </w:rPr>
        <w:t>Methodology</w:t>
      </w:r>
    </w:p>
    <w:p w14:paraId="0935F1FD" w14:textId="23087254" w:rsidR="003B392F" w:rsidRPr="000A6338" w:rsidRDefault="003B392F" w:rsidP="003E37AC">
      <w:pPr>
        <w:pStyle w:val="2"/>
        <w:spacing w:beforeLines="100" w:before="312" w:afterLines="100" w:after="312"/>
        <w:ind w:left="357" w:hanging="357"/>
        <w:rPr>
          <w:lang w:val="en-GB"/>
        </w:rPr>
      </w:pPr>
      <w:r w:rsidRPr="000A6338">
        <w:rPr>
          <w:lang w:val="en-GB"/>
        </w:rPr>
        <w:t>Original study</w:t>
      </w:r>
    </w:p>
    <w:p w14:paraId="4AEB736F" w14:textId="35048382" w:rsidR="007E6E11" w:rsidRPr="000A6338" w:rsidRDefault="007E6E11" w:rsidP="003E37AC">
      <w:pPr>
        <w:spacing w:beforeLines="100" w:before="312" w:afterLines="100" w:after="312" w:line="360" w:lineRule="auto"/>
        <w:rPr>
          <w:rFonts w:ascii="Times New Roman" w:hAnsi="Times New Roman" w:cs="Times New Roman"/>
          <w:sz w:val="24"/>
          <w:szCs w:val="24"/>
          <w:lang w:val="en-GB"/>
        </w:rPr>
      </w:pPr>
      <w:r w:rsidRPr="000A6338">
        <w:rPr>
          <w:rFonts w:ascii="Times New Roman" w:hAnsi="Times New Roman" w:cs="Times New Roman"/>
          <w:sz w:val="24"/>
          <w:szCs w:val="24"/>
          <w:lang w:val="en-GB"/>
        </w:rPr>
        <w:t xml:space="preserve">They </w:t>
      </w:r>
      <w:r w:rsidR="00084886" w:rsidRPr="000A6338">
        <w:rPr>
          <w:rFonts w:ascii="Times New Roman" w:hAnsi="Times New Roman" w:cs="Times New Roman"/>
          <w:sz w:val="24"/>
          <w:szCs w:val="24"/>
          <w:lang w:val="en-GB"/>
        </w:rPr>
        <w:t xml:space="preserve">worked together with Oromia Insurance Company (OIC) in Ethiopia and </w:t>
      </w:r>
      <w:r w:rsidRPr="000A6338">
        <w:rPr>
          <w:rFonts w:ascii="Times New Roman" w:hAnsi="Times New Roman" w:cs="Times New Roman"/>
          <w:sz w:val="24"/>
          <w:szCs w:val="24"/>
          <w:lang w:val="en-GB"/>
        </w:rPr>
        <w:t>use</w:t>
      </w:r>
      <w:r w:rsidR="00084886" w:rsidRPr="000A6338">
        <w:rPr>
          <w:rFonts w:ascii="Times New Roman" w:hAnsi="Times New Roman" w:cs="Times New Roman"/>
          <w:sz w:val="24"/>
          <w:szCs w:val="24"/>
          <w:lang w:val="en-GB"/>
        </w:rPr>
        <w:t>d</w:t>
      </w:r>
      <w:r w:rsidRPr="000A6338">
        <w:rPr>
          <w:rFonts w:ascii="Times New Roman" w:hAnsi="Times New Roman" w:cs="Times New Roman"/>
          <w:sz w:val="24"/>
          <w:szCs w:val="24"/>
          <w:lang w:val="en-GB"/>
        </w:rPr>
        <w:t xml:space="preserve"> multi-level randomization at the </w:t>
      </w:r>
      <w:proofErr w:type="spellStart"/>
      <w:r w:rsidRPr="000A6338">
        <w:rPr>
          <w:rFonts w:ascii="Times New Roman" w:hAnsi="Times New Roman" w:cs="Times New Roman"/>
          <w:i/>
          <w:iCs/>
          <w:sz w:val="24"/>
          <w:szCs w:val="24"/>
          <w:lang w:val="en-GB"/>
        </w:rPr>
        <w:t>Iddir</w:t>
      </w:r>
      <w:proofErr w:type="spellEnd"/>
      <w:r w:rsidRPr="000A6338">
        <w:rPr>
          <w:rFonts w:ascii="Times New Roman" w:hAnsi="Times New Roman" w:cs="Times New Roman"/>
          <w:sz w:val="24"/>
          <w:szCs w:val="24"/>
          <w:lang w:val="en-GB"/>
        </w:rPr>
        <w:t xml:space="preserve"> level to assign the 144 </w:t>
      </w:r>
      <w:proofErr w:type="spellStart"/>
      <w:r w:rsidRPr="00982253">
        <w:rPr>
          <w:rFonts w:ascii="Times New Roman" w:hAnsi="Times New Roman" w:cs="Times New Roman"/>
          <w:i/>
          <w:iCs/>
          <w:sz w:val="24"/>
          <w:szCs w:val="24"/>
          <w:lang w:val="en-GB"/>
        </w:rPr>
        <w:t>Iddirs</w:t>
      </w:r>
      <w:proofErr w:type="spellEnd"/>
      <w:r w:rsidRPr="000A6338">
        <w:rPr>
          <w:rFonts w:ascii="Times New Roman" w:hAnsi="Times New Roman" w:cs="Times New Roman"/>
          <w:sz w:val="24"/>
          <w:szCs w:val="24"/>
          <w:lang w:val="en-GB"/>
        </w:rPr>
        <w:t xml:space="preserve"> to six experimental arms: 1) Standard Index Insurance (control group); 2) Standard Index Insurance via </w:t>
      </w:r>
      <w:proofErr w:type="spellStart"/>
      <w:r w:rsidRPr="000A6338">
        <w:rPr>
          <w:rFonts w:ascii="Times New Roman" w:hAnsi="Times New Roman" w:cs="Times New Roman"/>
          <w:i/>
          <w:iCs/>
          <w:sz w:val="24"/>
          <w:szCs w:val="24"/>
          <w:lang w:val="en-GB"/>
        </w:rPr>
        <w:t>Iddir</w:t>
      </w:r>
      <w:proofErr w:type="spellEnd"/>
      <w:r w:rsidRPr="000A6338">
        <w:rPr>
          <w:rFonts w:ascii="Times New Roman" w:hAnsi="Times New Roman" w:cs="Times New Roman"/>
          <w:i/>
          <w:iCs/>
          <w:sz w:val="24"/>
          <w:szCs w:val="24"/>
          <w:lang w:val="en-GB"/>
        </w:rPr>
        <w:t xml:space="preserve"> </w:t>
      </w:r>
      <w:r w:rsidRPr="000A6338">
        <w:rPr>
          <w:rFonts w:ascii="Times New Roman" w:hAnsi="Times New Roman" w:cs="Times New Roman"/>
          <w:sz w:val="24"/>
          <w:szCs w:val="24"/>
          <w:lang w:val="en-GB"/>
        </w:rPr>
        <w:t xml:space="preserve">promotions; 3) IOU insurance; 4) IOU insurance with Contract; 5) IOU insurance via </w:t>
      </w:r>
      <w:proofErr w:type="spellStart"/>
      <w:r w:rsidRPr="000A6338">
        <w:rPr>
          <w:rFonts w:ascii="Times New Roman" w:hAnsi="Times New Roman" w:cs="Times New Roman"/>
          <w:i/>
          <w:iCs/>
          <w:sz w:val="24"/>
          <w:szCs w:val="24"/>
          <w:lang w:val="en-GB"/>
        </w:rPr>
        <w:t>Iddir</w:t>
      </w:r>
      <w:proofErr w:type="spellEnd"/>
      <w:r w:rsidRPr="000A6338">
        <w:rPr>
          <w:rFonts w:ascii="Times New Roman" w:hAnsi="Times New Roman" w:cs="Times New Roman"/>
          <w:sz w:val="24"/>
          <w:szCs w:val="24"/>
          <w:lang w:val="en-GB"/>
        </w:rPr>
        <w:t xml:space="preserve"> promotions; and 6) IOU insurance via</w:t>
      </w:r>
      <w:r w:rsidRPr="000A6338">
        <w:rPr>
          <w:rFonts w:ascii="Times New Roman" w:hAnsi="Times New Roman" w:cs="Times New Roman"/>
          <w:i/>
          <w:iCs/>
          <w:sz w:val="24"/>
          <w:szCs w:val="24"/>
          <w:lang w:val="en-GB"/>
        </w:rPr>
        <w:t xml:space="preserve"> </w:t>
      </w:r>
      <w:proofErr w:type="spellStart"/>
      <w:r w:rsidRPr="000A6338">
        <w:rPr>
          <w:rFonts w:ascii="Times New Roman" w:hAnsi="Times New Roman" w:cs="Times New Roman"/>
          <w:i/>
          <w:iCs/>
          <w:sz w:val="24"/>
          <w:szCs w:val="24"/>
          <w:lang w:val="en-GB"/>
        </w:rPr>
        <w:t>Iddir</w:t>
      </w:r>
      <w:proofErr w:type="spellEnd"/>
      <w:r w:rsidRPr="000A6338">
        <w:rPr>
          <w:rFonts w:ascii="Times New Roman" w:hAnsi="Times New Roman" w:cs="Times New Roman"/>
          <w:i/>
          <w:iCs/>
          <w:sz w:val="24"/>
          <w:szCs w:val="24"/>
          <w:lang w:val="en-GB"/>
        </w:rPr>
        <w:t xml:space="preserve"> </w:t>
      </w:r>
      <w:r w:rsidRPr="000A6338">
        <w:rPr>
          <w:rFonts w:ascii="Times New Roman" w:hAnsi="Times New Roman" w:cs="Times New Roman"/>
          <w:sz w:val="24"/>
          <w:szCs w:val="24"/>
          <w:lang w:val="en-GB"/>
        </w:rPr>
        <w:t>promotions with Contract. And they collected data on household demographic characteristics including age, sex, marital status, education and family size; household income, households’ level of exposure to drought, experience in buying crop insurance before the experiment, household production and saving variables.</w:t>
      </w:r>
    </w:p>
    <w:p w14:paraId="65C210A4" w14:textId="47D84AFD" w:rsidR="00084886" w:rsidRPr="000A6338" w:rsidRDefault="00084886" w:rsidP="003E37AC">
      <w:pPr>
        <w:spacing w:beforeLines="100" w:before="312" w:afterLines="100" w:after="312" w:line="360" w:lineRule="auto"/>
        <w:rPr>
          <w:rFonts w:ascii="Times New Roman" w:hAnsi="Times New Roman" w:cs="Times New Roman"/>
          <w:sz w:val="24"/>
          <w:szCs w:val="24"/>
          <w:lang w:val="en-GB"/>
        </w:rPr>
      </w:pPr>
      <w:r w:rsidRPr="000A6338">
        <w:rPr>
          <w:rFonts w:ascii="Times New Roman" w:hAnsi="Times New Roman" w:cs="Times New Roman"/>
          <w:sz w:val="24"/>
          <w:szCs w:val="24"/>
          <w:lang w:val="en-GB"/>
        </w:rPr>
        <w:t>To verify whether randomization resulted in balanced groups we regress household observables and farming variables on treatment group dummies and a constant. The constant reflects the comparison group. The coefficients indicate whether other groups are significantly different from the comparison group, and we test for differences between other groups by Wald tests.</w:t>
      </w:r>
      <w:r w:rsidR="0077456F" w:rsidRPr="000A6338">
        <w:rPr>
          <w:rFonts w:ascii="Times New Roman" w:hAnsi="Times New Roman" w:cs="Times New Roman"/>
          <w:sz w:val="24"/>
          <w:szCs w:val="24"/>
          <w:lang w:val="en-GB"/>
        </w:rPr>
        <w:t xml:space="preserve"> The results suggest the randomization worked well.</w:t>
      </w:r>
    </w:p>
    <w:p w14:paraId="0966F792" w14:textId="51B7C742" w:rsidR="0077456F" w:rsidRPr="000A6338" w:rsidRDefault="0077456F" w:rsidP="003E37AC">
      <w:pPr>
        <w:spacing w:beforeLines="100" w:before="312" w:afterLines="100" w:after="312" w:line="360" w:lineRule="auto"/>
        <w:rPr>
          <w:rFonts w:ascii="Times New Roman" w:hAnsi="Times New Roman" w:cs="Times New Roman"/>
          <w:sz w:val="24"/>
          <w:szCs w:val="24"/>
          <w:lang w:val="en-GB"/>
        </w:rPr>
      </w:pPr>
      <w:r w:rsidRPr="000A6338">
        <w:rPr>
          <w:rFonts w:ascii="Times New Roman" w:hAnsi="Times New Roman" w:cs="Times New Roman"/>
          <w:sz w:val="24"/>
          <w:szCs w:val="24"/>
          <w:lang w:val="en-GB"/>
        </w:rPr>
        <w:t xml:space="preserve">Then, they present insurance uptake across treatment arms and do regression analysis, both showing that uptake change induced by </w:t>
      </w:r>
      <w:proofErr w:type="spellStart"/>
      <w:r w:rsidRPr="000A6338">
        <w:rPr>
          <w:rFonts w:ascii="Times New Roman" w:hAnsi="Times New Roman" w:cs="Times New Roman"/>
          <w:i/>
          <w:iCs/>
          <w:sz w:val="24"/>
          <w:szCs w:val="24"/>
          <w:lang w:val="en-GB"/>
        </w:rPr>
        <w:t>Iddir</w:t>
      </w:r>
      <w:proofErr w:type="spellEnd"/>
      <w:r w:rsidRPr="000A6338">
        <w:rPr>
          <w:rFonts w:ascii="Times New Roman" w:hAnsi="Times New Roman" w:cs="Times New Roman"/>
          <w:sz w:val="24"/>
          <w:szCs w:val="24"/>
          <w:lang w:val="en-GB"/>
        </w:rPr>
        <w:t xml:space="preserve"> promotions in isolation is statistically insignificant, as is IOU with binding contract.</w:t>
      </w:r>
    </w:p>
    <w:p w14:paraId="202C7923" w14:textId="6DE46840" w:rsidR="00565CAB" w:rsidRPr="000A6338" w:rsidRDefault="00565CAB" w:rsidP="003E37AC">
      <w:pPr>
        <w:spacing w:beforeLines="100" w:before="312" w:afterLines="100" w:after="312" w:line="360" w:lineRule="auto"/>
        <w:rPr>
          <w:rFonts w:ascii="Times New Roman" w:hAnsi="Times New Roman" w:cs="Times New Roman"/>
          <w:sz w:val="24"/>
          <w:szCs w:val="24"/>
          <w:lang w:val="en-GB"/>
        </w:rPr>
      </w:pPr>
      <w:r w:rsidRPr="000A6338">
        <w:rPr>
          <w:rFonts w:ascii="Times New Roman" w:hAnsi="Times New Roman" w:cs="Times New Roman"/>
          <w:sz w:val="24"/>
          <w:szCs w:val="24"/>
          <w:lang w:val="en-GB"/>
        </w:rPr>
        <w:t xml:space="preserve">They perform a heterogeneity analysis, to figure out if </w:t>
      </w:r>
      <w:r w:rsidR="00DC0928">
        <w:rPr>
          <w:rFonts w:ascii="Times New Roman" w:hAnsi="Times New Roman" w:cs="Times New Roman"/>
          <w:sz w:val="24"/>
          <w:szCs w:val="24"/>
          <w:lang w:val="en-GB"/>
        </w:rPr>
        <w:t>they</w:t>
      </w:r>
      <w:r w:rsidRPr="000A6338">
        <w:rPr>
          <w:rFonts w:ascii="Times New Roman" w:hAnsi="Times New Roman" w:cs="Times New Roman"/>
          <w:sz w:val="24"/>
          <w:szCs w:val="24"/>
          <w:lang w:val="en-GB"/>
        </w:rPr>
        <w:t xml:space="preserve"> can attribute the increase in uptake under IOU insurance to the relaxation of the liquidity constraint. To proxy for liquidity, </w:t>
      </w:r>
      <w:r w:rsidR="00DC0928">
        <w:rPr>
          <w:rFonts w:ascii="Times New Roman" w:hAnsi="Times New Roman" w:cs="Times New Roman"/>
          <w:sz w:val="24"/>
          <w:szCs w:val="24"/>
          <w:lang w:val="en-GB"/>
        </w:rPr>
        <w:t>they</w:t>
      </w:r>
      <w:r w:rsidRPr="000A6338">
        <w:rPr>
          <w:rFonts w:ascii="Times New Roman" w:hAnsi="Times New Roman" w:cs="Times New Roman"/>
          <w:sz w:val="24"/>
          <w:szCs w:val="24"/>
          <w:lang w:val="en-GB"/>
        </w:rPr>
        <w:t xml:space="preserve"> </w:t>
      </w:r>
      <w:r w:rsidRPr="000A6338">
        <w:rPr>
          <w:rFonts w:ascii="Times New Roman" w:hAnsi="Times New Roman" w:cs="Times New Roman"/>
          <w:sz w:val="24"/>
          <w:szCs w:val="24"/>
          <w:lang w:val="en-GB"/>
        </w:rPr>
        <w:lastRenderedPageBreak/>
        <w:t>distinguish between households with above and below-median income, and between households with and without savings (self-reported). And for both proxies, the coefficients of the simple IOU product are higher for the liquidity-constrained. However, while the IOU coefficient of the (more) constrained subsample is consistently different from zero, and the coefficient for the complementary sample is not, the relevant coefficients are</w:t>
      </w:r>
      <w:r w:rsidRPr="000A6338">
        <w:rPr>
          <w:lang w:val="en-GB"/>
        </w:rPr>
        <w:t xml:space="preserve"> </w:t>
      </w:r>
      <w:r w:rsidRPr="000A6338">
        <w:rPr>
          <w:rFonts w:ascii="Times New Roman" w:hAnsi="Times New Roman" w:cs="Times New Roman"/>
          <w:sz w:val="24"/>
          <w:szCs w:val="24"/>
          <w:lang w:val="en-GB"/>
        </w:rPr>
        <w:t>not statistically different from each other (according to a Wald test). This can also be seen by the insignificance of the coefficients using the interaction term instead of subsamples.</w:t>
      </w:r>
    </w:p>
    <w:p w14:paraId="0D926922" w14:textId="77777777" w:rsidR="004E3B38" w:rsidRPr="000A6338" w:rsidRDefault="00181841" w:rsidP="003E37AC">
      <w:pPr>
        <w:pStyle w:val="2"/>
        <w:spacing w:beforeLines="100" w:before="312" w:afterLines="100" w:after="312"/>
        <w:ind w:left="357" w:hanging="357"/>
        <w:rPr>
          <w:lang w:val="en-GB"/>
        </w:rPr>
      </w:pPr>
      <w:r w:rsidRPr="000A6338">
        <w:rPr>
          <w:lang w:val="en-GB"/>
        </w:rPr>
        <w:t>Replication</w:t>
      </w:r>
    </w:p>
    <w:p w14:paraId="754469AE" w14:textId="435A7187" w:rsidR="00410A30" w:rsidRPr="000A6338" w:rsidRDefault="002762D3" w:rsidP="003E37AC">
      <w:pPr>
        <w:spacing w:beforeLines="100" w:before="312" w:afterLines="100" w:after="312" w:line="360" w:lineRule="auto"/>
        <w:rPr>
          <w:rFonts w:ascii="Times New Roman" w:hAnsi="Times New Roman" w:cs="Times New Roman"/>
          <w:sz w:val="24"/>
          <w:szCs w:val="24"/>
          <w:lang w:val="en-GB"/>
        </w:rPr>
      </w:pPr>
      <w:r w:rsidRPr="000A6338">
        <w:rPr>
          <w:rFonts w:ascii="Times New Roman" w:hAnsi="Times New Roman" w:cs="Times New Roman"/>
          <w:sz w:val="24"/>
          <w:szCs w:val="24"/>
          <w:lang w:val="en-GB"/>
        </w:rPr>
        <w:t>We generate five dumm</w:t>
      </w:r>
      <w:r w:rsidR="001A1C9D" w:rsidRPr="000A6338">
        <w:rPr>
          <w:rFonts w:ascii="Times New Roman" w:hAnsi="Times New Roman" w:cs="Times New Roman"/>
          <w:sz w:val="24"/>
          <w:szCs w:val="24"/>
          <w:lang w:val="en-GB"/>
        </w:rPr>
        <w:t>i</w:t>
      </w:r>
      <w:r w:rsidRPr="000A6338">
        <w:rPr>
          <w:rFonts w:ascii="Times New Roman" w:hAnsi="Times New Roman" w:cs="Times New Roman"/>
          <w:sz w:val="24"/>
          <w:szCs w:val="24"/>
          <w:lang w:val="en-GB"/>
        </w:rPr>
        <w:t>es indicating whether each individual is in one of the five treatment groups and a dummy indi</w:t>
      </w:r>
      <w:r w:rsidR="001A1C9D" w:rsidRPr="000A6338">
        <w:rPr>
          <w:rFonts w:ascii="Times New Roman" w:hAnsi="Times New Roman" w:cs="Times New Roman"/>
          <w:sz w:val="24"/>
          <w:szCs w:val="24"/>
          <w:lang w:val="en-GB"/>
        </w:rPr>
        <w:t xml:space="preserve">cating the status of uptake. </w:t>
      </w:r>
      <w:r w:rsidR="003B392F" w:rsidRPr="000A6338">
        <w:rPr>
          <w:rFonts w:ascii="Times New Roman" w:hAnsi="Times New Roman" w:cs="Times New Roman"/>
          <w:sz w:val="24"/>
          <w:szCs w:val="24"/>
          <w:lang w:val="en-GB"/>
        </w:rPr>
        <w:t>Then we</w:t>
      </w:r>
      <w:r w:rsidR="001A1C9D" w:rsidRPr="000A6338">
        <w:rPr>
          <w:rFonts w:ascii="Times New Roman" w:hAnsi="Times New Roman" w:cs="Times New Roman"/>
          <w:sz w:val="24"/>
          <w:szCs w:val="24"/>
          <w:lang w:val="en-GB"/>
        </w:rPr>
        <w:t xml:space="preserve"> generate the controls used in the article, including demographic variables: Age (in years), Sex (male=1; female=0), Marital status (married=1; not-married=0), Education (years of schooling), Family size, Total income in the last month (in Birr), Drought (a dummy taking value of 1 if the household experienced a drought in the last three years), and Insurance (a dummy taking the value of 1 if the household had purchased index insurance during the past three years); and farming variables: capturing quantities of crops produced in the last cropping season (maize, haricot, teff, sorghum, wheat, and barely), a measure of total land under cultivation, and a dummy taking the value 1 if the household had any formal savings.</w:t>
      </w:r>
    </w:p>
    <w:p w14:paraId="0DB3F0B2" w14:textId="51F8EA21" w:rsidR="003B392F" w:rsidRPr="000A6338" w:rsidRDefault="00410A30" w:rsidP="003E37AC">
      <w:pPr>
        <w:spacing w:beforeLines="100" w:before="312" w:afterLines="100" w:after="312" w:line="360" w:lineRule="auto"/>
        <w:rPr>
          <w:rFonts w:ascii="Times New Roman" w:hAnsi="Times New Roman" w:cs="Times New Roman"/>
          <w:sz w:val="24"/>
          <w:szCs w:val="24"/>
          <w:lang w:val="en-GB"/>
        </w:rPr>
      </w:pPr>
      <w:r w:rsidRPr="000A6338">
        <w:rPr>
          <w:rFonts w:ascii="Times New Roman" w:hAnsi="Times New Roman" w:cs="Times New Roman"/>
          <w:sz w:val="24"/>
          <w:szCs w:val="24"/>
          <w:lang w:val="en-GB"/>
        </w:rPr>
        <w:t xml:space="preserve">To </w:t>
      </w:r>
      <w:r w:rsidR="003B392F" w:rsidRPr="000A6338">
        <w:rPr>
          <w:rFonts w:ascii="Times New Roman" w:hAnsi="Times New Roman" w:cs="Times New Roman"/>
          <w:sz w:val="24"/>
          <w:szCs w:val="24"/>
          <w:lang w:val="en-GB"/>
        </w:rPr>
        <w:t>conduct balancing tests,</w:t>
      </w:r>
      <w:r w:rsidRPr="000A6338">
        <w:rPr>
          <w:rFonts w:ascii="Times New Roman" w:hAnsi="Times New Roman" w:cs="Times New Roman"/>
          <w:sz w:val="24"/>
          <w:szCs w:val="24"/>
          <w:lang w:val="en-GB"/>
        </w:rPr>
        <w:t xml:space="preserve"> we regress observable controls</w:t>
      </w:r>
      <w:r w:rsidR="003B392F" w:rsidRPr="000A6338">
        <w:rPr>
          <w:rFonts w:ascii="Times New Roman" w:hAnsi="Times New Roman" w:cs="Times New Roman"/>
          <w:sz w:val="24"/>
          <w:szCs w:val="24"/>
          <w:lang w:val="en-GB"/>
        </w:rPr>
        <w:t>, including demographic variables and farming variables,</w:t>
      </w:r>
      <w:r w:rsidRPr="000A6338">
        <w:rPr>
          <w:rFonts w:ascii="Times New Roman" w:hAnsi="Times New Roman" w:cs="Times New Roman"/>
          <w:sz w:val="24"/>
          <w:szCs w:val="24"/>
          <w:lang w:val="en-GB"/>
        </w:rPr>
        <w:t xml:space="preserve"> on treatment group dummies and a constant</w:t>
      </w:r>
      <w:r w:rsidR="003B392F" w:rsidRPr="000A6338">
        <w:rPr>
          <w:rFonts w:ascii="Times New Roman" w:hAnsi="Times New Roman" w:cs="Times New Roman"/>
          <w:sz w:val="24"/>
          <w:szCs w:val="24"/>
          <w:lang w:val="en-GB"/>
        </w:rPr>
        <w:t>, to see if the coefficients of the group dummies are statistically significant</w:t>
      </w:r>
      <w:r w:rsidRPr="000A6338">
        <w:rPr>
          <w:rFonts w:ascii="Times New Roman" w:hAnsi="Times New Roman" w:cs="Times New Roman"/>
          <w:sz w:val="24"/>
          <w:szCs w:val="24"/>
          <w:lang w:val="en-GB"/>
        </w:rPr>
        <w:t>.</w:t>
      </w:r>
    </w:p>
    <w:p w14:paraId="1A64AAD8" w14:textId="4B277B04" w:rsidR="00DC0928" w:rsidRDefault="003B392F" w:rsidP="003E37AC">
      <w:pPr>
        <w:spacing w:beforeLines="100" w:before="312" w:afterLines="100" w:after="312" w:line="360" w:lineRule="auto"/>
        <w:rPr>
          <w:rFonts w:ascii="Times New Roman" w:hAnsi="Times New Roman" w:cs="Times New Roman"/>
          <w:sz w:val="24"/>
          <w:szCs w:val="24"/>
          <w:lang w:val="en-GB"/>
        </w:rPr>
      </w:pPr>
      <w:r w:rsidRPr="000A6338">
        <w:rPr>
          <w:rFonts w:ascii="Times New Roman" w:hAnsi="Times New Roman" w:cs="Times New Roman"/>
          <w:sz w:val="24"/>
          <w:szCs w:val="24"/>
          <w:lang w:val="en-GB"/>
        </w:rPr>
        <w:t xml:space="preserve">For regression analysis, we regress the uptake status on five group dummies, and then add controls and </w:t>
      </w:r>
      <w:r w:rsidRPr="000A6338">
        <w:rPr>
          <w:rFonts w:ascii="Times New Roman" w:hAnsi="Times New Roman" w:cs="Times New Roman"/>
          <w:i/>
          <w:iCs/>
          <w:sz w:val="24"/>
          <w:szCs w:val="24"/>
          <w:lang w:val="en-GB"/>
        </w:rPr>
        <w:t>Kebele</w:t>
      </w:r>
      <w:r w:rsidRPr="000A6338">
        <w:rPr>
          <w:rFonts w:ascii="Times New Roman" w:hAnsi="Times New Roman" w:cs="Times New Roman"/>
          <w:sz w:val="24"/>
          <w:szCs w:val="24"/>
          <w:lang w:val="en-GB"/>
        </w:rPr>
        <w:t xml:space="preserve"> fixed effects to the parsimonious model. Finally, we also exclude the </w:t>
      </w:r>
      <w:r w:rsidR="00B9316F" w:rsidRPr="000A6338">
        <w:rPr>
          <w:rFonts w:ascii="Times New Roman" w:hAnsi="Times New Roman" w:cs="Times New Roman"/>
          <w:sz w:val="24"/>
          <w:szCs w:val="24"/>
          <w:lang w:val="en-GB"/>
        </w:rPr>
        <w:t xml:space="preserve">subsample from a certain </w:t>
      </w:r>
      <w:r w:rsidR="00B9316F" w:rsidRPr="000A6338">
        <w:rPr>
          <w:rFonts w:ascii="Times New Roman" w:hAnsi="Times New Roman" w:cs="Times New Roman"/>
          <w:i/>
          <w:iCs/>
          <w:sz w:val="24"/>
          <w:szCs w:val="24"/>
          <w:lang w:val="en-GB"/>
        </w:rPr>
        <w:t>Kebele</w:t>
      </w:r>
      <w:r w:rsidR="00B9316F" w:rsidRPr="000A6338">
        <w:rPr>
          <w:rFonts w:ascii="Times New Roman" w:hAnsi="Times New Roman" w:cs="Times New Roman"/>
          <w:sz w:val="24"/>
          <w:szCs w:val="24"/>
          <w:lang w:val="en-GB"/>
        </w:rPr>
        <w:t xml:space="preserve">, </w:t>
      </w:r>
      <w:proofErr w:type="spellStart"/>
      <w:r w:rsidR="00B9316F" w:rsidRPr="000A6338">
        <w:rPr>
          <w:rFonts w:ascii="Times New Roman" w:hAnsi="Times New Roman" w:cs="Times New Roman"/>
          <w:sz w:val="24"/>
          <w:szCs w:val="24"/>
          <w:lang w:val="en-GB"/>
        </w:rPr>
        <w:t>Dalota</w:t>
      </w:r>
      <w:proofErr w:type="spellEnd"/>
      <w:r w:rsidR="00B9316F" w:rsidRPr="000A6338">
        <w:rPr>
          <w:rFonts w:ascii="Times New Roman" w:hAnsi="Times New Roman" w:cs="Times New Roman"/>
          <w:sz w:val="24"/>
          <w:szCs w:val="24"/>
          <w:lang w:val="en-GB"/>
        </w:rPr>
        <w:t xml:space="preserve"> Mati, which all the defaults in the dataset come from, to increase the statistical power of the analysis.</w:t>
      </w:r>
    </w:p>
    <w:p w14:paraId="44A729C9" w14:textId="48ACF1C8" w:rsidR="008C7B69" w:rsidRPr="000A6338" w:rsidRDefault="008C7B69" w:rsidP="008C7B69">
      <w:pPr>
        <w:pStyle w:val="2"/>
        <w:spacing w:beforeLines="100" w:before="312" w:afterLines="100" w:after="312"/>
        <w:ind w:left="357" w:hanging="357"/>
        <w:rPr>
          <w:rFonts w:hint="eastAsia"/>
          <w:lang w:val="en-GB"/>
        </w:rPr>
      </w:pPr>
      <w:r>
        <w:rPr>
          <w:rFonts w:hint="eastAsia"/>
          <w:lang w:val="en-GB"/>
        </w:rPr>
        <w:t>c</w:t>
      </w:r>
      <w:r>
        <w:rPr>
          <w:lang w:val="en-GB"/>
        </w:rPr>
        <w:t>hallenges</w:t>
      </w:r>
    </w:p>
    <w:p w14:paraId="77E9D1D1" w14:textId="24A5047F" w:rsidR="000A6338" w:rsidRPr="000A6338" w:rsidRDefault="000A6338" w:rsidP="003E37AC">
      <w:pPr>
        <w:pStyle w:val="1"/>
        <w:spacing w:beforeLines="100" w:before="312" w:afterLines="100" w:after="312"/>
        <w:ind w:left="0"/>
        <w:rPr>
          <w:lang w:val="en-GB"/>
        </w:rPr>
      </w:pPr>
      <w:r w:rsidRPr="000A6338">
        <w:rPr>
          <w:lang w:val="en-GB"/>
        </w:rPr>
        <w:lastRenderedPageBreak/>
        <w:t>Results</w:t>
      </w:r>
    </w:p>
    <w:p w14:paraId="16669630" w14:textId="3B34334C" w:rsidR="000A6338" w:rsidRPr="000A6338" w:rsidRDefault="000A6338" w:rsidP="003E37AC">
      <w:pPr>
        <w:pStyle w:val="2"/>
        <w:spacing w:beforeLines="100" w:before="312" w:afterLines="100" w:after="312"/>
        <w:ind w:left="357" w:hanging="357"/>
        <w:rPr>
          <w:lang w:val="en-GB"/>
        </w:rPr>
      </w:pPr>
      <w:r w:rsidRPr="000A6338">
        <w:rPr>
          <w:lang w:val="en-GB"/>
        </w:rPr>
        <w:t>Balance test</w:t>
      </w:r>
    </w:p>
    <w:p w14:paraId="5CA0C26D" w14:textId="167C9992" w:rsidR="000A6338" w:rsidRDefault="000A6338" w:rsidP="003E37AC">
      <w:pPr>
        <w:spacing w:beforeLines="100" w:before="312" w:afterLines="100" w:after="312" w:line="360" w:lineRule="auto"/>
        <w:rPr>
          <w:rFonts w:ascii="Times New Roman" w:hAnsi="Times New Roman" w:cs="Times New Roman"/>
          <w:sz w:val="24"/>
          <w:szCs w:val="24"/>
          <w:lang w:val="en-GB"/>
        </w:rPr>
      </w:pPr>
      <w:r w:rsidRPr="000A6338">
        <w:rPr>
          <w:rFonts w:ascii="Times New Roman" w:hAnsi="Times New Roman" w:cs="Times New Roman"/>
          <w:sz w:val="24"/>
          <w:szCs w:val="24"/>
          <w:lang w:val="en-GB"/>
        </w:rPr>
        <w:t>The results show that the randomi</w:t>
      </w:r>
      <w:r>
        <w:rPr>
          <w:rFonts w:ascii="Times New Roman" w:hAnsi="Times New Roman" w:cs="Times New Roman"/>
          <w:sz w:val="24"/>
          <w:szCs w:val="24"/>
          <w:lang w:val="en-GB"/>
        </w:rPr>
        <w:t>s</w:t>
      </w:r>
      <w:r w:rsidRPr="000A6338">
        <w:rPr>
          <w:rFonts w:ascii="Times New Roman" w:hAnsi="Times New Roman" w:cs="Times New Roman"/>
          <w:sz w:val="24"/>
          <w:szCs w:val="24"/>
          <w:lang w:val="en-GB"/>
        </w:rPr>
        <w:t xml:space="preserve">ation </w:t>
      </w:r>
      <w:r>
        <w:rPr>
          <w:rFonts w:ascii="Times New Roman" w:hAnsi="Times New Roman" w:cs="Times New Roman"/>
          <w:sz w:val="24"/>
          <w:szCs w:val="24"/>
          <w:lang w:val="en-GB"/>
        </w:rPr>
        <w:t xml:space="preserve">does not work as well as the original paper, since the significance levels of some coefficients increase, showing that the treatments affect some observables and thus </w:t>
      </w:r>
      <w:r w:rsidR="003E37AC">
        <w:rPr>
          <w:rFonts w:ascii="Times New Roman" w:hAnsi="Times New Roman" w:cs="Times New Roman"/>
          <w:sz w:val="24"/>
          <w:szCs w:val="24"/>
          <w:lang w:val="en-GB"/>
        </w:rPr>
        <w:t>we cannot ignore the selection bias.</w:t>
      </w:r>
    </w:p>
    <w:p w14:paraId="451C2E3C" w14:textId="56C99578" w:rsidR="003E37AC" w:rsidRDefault="003E37AC" w:rsidP="003E37AC">
      <w:pPr>
        <w:pStyle w:val="2"/>
        <w:spacing w:beforeLines="100" w:before="312" w:afterLines="100" w:after="312"/>
        <w:ind w:left="357" w:hanging="357"/>
        <w:rPr>
          <w:lang w:val="en-GB"/>
        </w:rPr>
      </w:pPr>
      <w:r>
        <w:rPr>
          <w:lang w:val="en-GB"/>
        </w:rPr>
        <w:t>Regression analysis</w:t>
      </w:r>
    </w:p>
    <w:p w14:paraId="0E78124F" w14:textId="2CD5FD28" w:rsidR="003E37AC" w:rsidRDefault="003E37AC" w:rsidP="003E37AC">
      <w:pPr>
        <w:spacing w:beforeLines="100" w:before="312" w:afterLines="100" w:after="312"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results of regression analysis are quite similar to what the authors obtained. </w:t>
      </w:r>
      <w:r w:rsidR="004E4044">
        <w:rPr>
          <w:rFonts w:ascii="Times New Roman" w:hAnsi="Times New Roman" w:cs="Times New Roman"/>
          <w:sz w:val="24"/>
          <w:szCs w:val="24"/>
          <w:lang w:val="en-GB"/>
        </w:rPr>
        <w:t xml:space="preserve">Except the parsimonious model, where </w:t>
      </w:r>
      <w:r w:rsidR="004E4044" w:rsidRPr="004E4044">
        <w:rPr>
          <w:rFonts w:ascii="Times New Roman" w:hAnsi="Times New Roman" w:cs="Times New Roman"/>
          <w:sz w:val="24"/>
          <w:szCs w:val="24"/>
          <w:lang w:val="en-GB"/>
        </w:rPr>
        <w:t xml:space="preserve">Index Insurance via </w:t>
      </w:r>
      <w:proofErr w:type="spellStart"/>
      <w:r w:rsidR="004E4044" w:rsidRPr="004E4044">
        <w:rPr>
          <w:rFonts w:ascii="Times New Roman" w:hAnsi="Times New Roman" w:cs="Times New Roman"/>
          <w:i/>
          <w:iCs/>
          <w:sz w:val="24"/>
          <w:szCs w:val="24"/>
          <w:lang w:val="en-GB"/>
        </w:rPr>
        <w:t>Iddir</w:t>
      </w:r>
      <w:proofErr w:type="spellEnd"/>
      <w:r w:rsidR="004E4044">
        <w:rPr>
          <w:rFonts w:ascii="Times New Roman" w:hAnsi="Times New Roman" w:cs="Times New Roman"/>
          <w:sz w:val="24"/>
          <w:szCs w:val="24"/>
          <w:lang w:val="en-GB"/>
        </w:rPr>
        <w:t xml:space="preserve"> has a significant impact on the uptake, </w:t>
      </w:r>
      <w:r w:rsidR="004E4044" w:rsidRPr="004E4044">
        <w:rPr>
          <w:rFonts w:ascii="Times New Roman" w:hAnsi="Times New Roman" w:cs="Times New Roman"/>
          <w:sz w:val="24"/>
          <w:szCs w:val="24"/>
          <w:lang w:val="en-GB"/>
        </w:rPr>
        <w:t xml:space="preserve">Index Insurance via </w:t>
      </w:r>
      <w:proofErr w:type="spellStart"/>
      <w:r w:rsidR="004E4044" w:rsidRPr="004E4044">
        <w:rPr>
          <w:rFonts w:ascii="Times New Roman" w:hAnsi="Times New Roman" w:cs="Times New Roman"/>
          <w:i/>
          <w:iCs/>
          <w:sz w:val="24"/>
          <w:szCs w:val="24"/>
          <w:lang w:val="en-GB"/>
        </w:rPr>
        <w:t>Iddir</w:t>
      </w:r>
      <w:proofErr w:type="spellEnd"/>
      <w:r w:rsidR="004E4044">
        <w:rPr>
          <w:rFonts w:ascii="Times New Roman" w:hAnsi="Times New Roman" w:cs="Times New Roman"/>
          <w:sz w:val="24"/>
          <w:szCs w:val="24"/>
          <w:lang w:val="en-GB"/>
        </w:rPr>
        <w:t xml:space="preserve"> and </w:t>
      </w:r>
      <w:r w:rsidR="004E4044" w:rsidRPr="004E4044">
        <w:rPr>
          <w:rFonts w:ascii="Times New Roman" w:hAnsi="Times New Roman" w:cs="Times New Roman"/>
          <w:sz w:val="24"/>
          <w:szCs w:val="24"/>
          <w:lang w:val="en-GB"/>
        </w:rPr>
        <w:t>IOU Insurance with Contract</w:t>
      </w:r>
      <w:r w:rsidR="004E4044">
        <w:rPr>
          <w:rFonts w:ascii="Times New Roman" w:hAnsi="Times New Roman" w:cs="Times New Roman"/>
          <w:sz w:val="24"/>
          <w:szCs w:val="24"/>
          <w:lang w:val="en-GB"/>
        </w:rPr>
        <w:t xml:space="preserve"> do not increase the uptake rate, with or without adding controls and dropping the sample from the </w:t>
      </w:r>
      <w:r w:rsidR="004E4044" w:rsidRPr="004E4044">
        <w:rPr>
          <w:rFonts w:ascii="Times New Roman" w:hAnsi="Times New Roman" w:cs="Times New Roman"/>
          <w:i/>
          <w:iCs/>
          <w:sz w:val="24"/>
          <w:szCs w:val="24"/>
          <w:lang w:val="en-GB"/>
        </w:rPr>
        <w:t>Kebele</w:t>
      </w:r>
      <w:r w:rsidR="004E4044">
        <w:rPr>
          <w:rFonts w:ascii="Times New Roman" w:hAnsi="Times New Roman" w:cs="Times New Roman"/>
          <w:sz w:val="24"/>
          <w:szCs w:val="24"/>
          <w:lang w:val="en-GB"/>
        </w:rPr>
        <w:t xml:space="preserve"> where defaults took place.</w:t>
      </w:r>
    </w:p>
    <w:p w14:paraId="285DA02E" w14:textId="0B1F34D0" w:rsidR="001B66FC" w:rsidRDefault="001B66FC" w:rsidP="001B66FC">
      <w:pPr>
        <w:pStyle w:val="2"/>
        <w:spacing w:beforeLines="100" w:before="312" w:afterLines="100" w:after="312"/>
        <w:ind w:left="357" w:hanging="357"/>
        <w:rPr>
          <w:lang w:val="en-GB"/>
        </w:rPr>
      </w:pPr>
      <w:r>
        <w:rPr>
          <w:lang w:val="en-GB"/>
        </w:rPr>
        <w:t>Heterogeneity</w:t>
      </w:r>
    </w:p>
    <w:p w14:paraId="7189CB53" w14:textId="774C9087" w:rsidR="001B66FC" w:rsidRPr="001B66FC" w:rsidRDefault="001B66FC" w:rsidP="001B66FC">
      <w:pPr>
        <w:pStyle w:val="1"/>
        <w:spacing w:beforeLines="100" w:before="312" w:afterLines="100" w:after="312"/>
        <w:ind w:left="0" w:firstLine="0"/>
        <w:rPr>
          <w:lang w:val="en-GB"/>
        </w:rPr>
      </w:pPr>
      <w:r w:rsidRPr="001B66FC">
        <w:rPr>
          <w:lang w:val="en-GB"/>
        </w:rPr>
        <w:t>Extension</w:t>
      </w:r>
    </w:p>
    <w:p w14:paraId="2DF03082" w14:textId="7E03A022" w:rsidR="001B66FC" w:rsidRDefault="008C6227" w:rsidP="008C6227">
      <w:pPr>
        <w:pStyle w:val="2"/>
        <w:spacing w:beforeLines="100" w:before="312" w:afterLines="100" w:after="312"/>
        <w:ind w:left="357" w:hanging="357"/>
        <w:rPr>
          <w:lang w:val="en-GB"/>
        </w:rPr>
      </w:pPr>
      <w:r>
        <w:rPr>
          <w:lang w:val="en-GB"/>
        </w:rPr>
        <w:t>Introduction of Causal Forest</w:t>
      </w:r>
    </w:p>
    <w:p w14:paraId="6C233F98" w14:textId="45A10A81" w:rsidR="008C6227" w:rsidRDefault="008C6227" w:rsidP="00E25E30">
      <w:pPr>
        <w:spacing w:beforeLines="100" w:before="312" w:afterLines="100" w:after="312"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F</w:t>
      </w:r>
      <w:r>
        <w:rPr>
          <w:rFonts w:ascii="Times New Roman" w:hAnsi="Times New Roman" w:cs="Times New Roman"/>
          <w:sz w:val="24"/>
          <w:szCs w:val="24"/>
          <w:lang w:val="en-GB"/>
        </w:rPr>
        <w:t xml:space="preserve">or extension of the replication, </w:t>
      </w:r>
      <w:r w:rsidRPr="008C6227">
        <w:rPr>
          <w:rFonts w:ascii="Times New Roman" w:hAnsi="Times New Roman" w:cs="Times New Roman"/>
          <w:sz w:val="24"/>
          <w:szCs w:val="24"/>
          <w:lang w:val="en-GB"/>
        </w:rPr>
        <w:t xml:space="preserve">we </w:t>
      </w:r>
      <w:r>
        <w:rPr>
          <w:rFonts w:ascii="Times New Roman" w:hAnsi="Times New Roman" w:cs="Times New Roman"/>
          <w:sz w:val="24"/>
          <w:szCs w:val="24"/>
          <w:lang w:val="en-GB"/>
        </w:rPr>
        <w:t>apply</w:t>
      </w:r>
      <w:r w:rsidRPr="008C6227">
        <w:rPr>
          <w:rFonts w:ascii="Times New Roman" w:hAnsi="Times New Roman" w:cs="Times New Roman"/>
          <w:sz w:val="24"/>
          <w:szCs w:val="24"/>
          <w:lang w:val="en-GB"/>
        </w:rPr>
        <w:t xml:space="preserve"> a non-parametric causal forest</w:t>
      </w:r>
      <w:r w:rsidR="001B1543">
        <w:rPr>
          <w:rFonts w:ascii="Times New Roman" w:hAnsi="Times New Roman" w:cs="Times New Roman"/>
          <w:sz w:val="24"/>
          <w:szCs w:val="24"/>
          <w:lang w:val="en-GB"/>
        </w:rPr>
        <w:t>, which is</w:t>
      </w:r>
      <w:r>
        <w:rPr>
          <w:rFonts w:ascii="Times New Roman" w:hAnsi="Times New Roman" w:cs="Times New Roman"/>
          <w:sz w:val="24"/>
          <w:szCs w:val="24"/>
          <w:lang w:val="en-GB"/>
        </w:rPr>
        <w:t xml:space="preserve"> developed by Wager and </w:t>
      </w:r>
      <w:proofErr w:type="spellStart"/>
      <w:r>
        <w:rPr>
          <w:rFonts w:ascii="Times New Roman" w:hAnsi="Times New Roman" w:cs="Times New Roman"/>
          <w:sz w:val="24"/>
          <w:szCs w:val="24"/>
          <w:lang w:val="en-GB"/>
        </w:rPr>
        <w:t>Athey</w:t>
      </w:r>
      <w:proofErr w:type="spellEnd"/>
      <w:r>
        <w:rPr>
          <w:rFonts w:ascii="Times New Roman" w:hAnsi="Times New Roman" w:cs="Times New Roman"/>
          <w:sz w:val="24"/>
          <w:szCs w:val="24"/>
          <w:lang w:val="en-GB"/>
        </w:rPr>
        <w:t xml:space="preserve"> (2017)</w:t>
      </w:r>
      <w:r w:rsidR="001B1543">
        <w:rPr>
          <w:rFonts w:ascii="Times New Roman" w:hAnsi="Times New Roman" w:cs="Times New Roman"/>
          <w:sz w:val="24"/>
          <w:szCs w:val="24"/>
          <w:lang w:val="en-GB"/>
        </w:rPr>
        <w:t xml:space="preserve"> and can achieve better matching with many covariates,</w:t>
      </w:r>
      <w:r w:rsidRPr="008C6227">
        <w:rPr>
          <w:rFonts w:ascii="Times New Roman" w:hAnsi="Times New Roman" w:cs="Times New Roman"/>
          <w:sz w:val="24"/>
          <w:szCs w:val="24"/>
          <w:lang w:val="en-GB"/>
        </w:rPr>
        <w:t xml:space="preserve"> for estimating heterogeneous treatment effects that extends </w:t>
      </w:r>
      <w:proofErr w:type="spellStart"/>
      <w:r w:rsidRPr="008C6227">
        <w:rPr>
          <w:rFonts w:ascii="Times New Roman" w:hAnsi="Times New Roman" w:cs="Times New Roman"/>
          <w:sz w:val="24"/>
          <w:szCs w:val="24"/>
          <w:lang w:val="en-GB"/>
        </w:rPr>
        <w:t>Breiman’s</w:t>
      </w:r>
      <w:proofErr w:type="spellEnd"/>
      <w:r w:rsidRPr="008C6227">
        <w:rPr>
          <w:rFonts w:ascii="Times New Roman" w:hAnsi="Times New Roman" w:cs="Times New Roman"/>
          <w:sz w:val="24"/>
          <w:szCs w:val="24"/>
          <w:lang w:val="en-GB"/>
        </w:rPr>
        <w:t xml:space="preserve"> widely used random forest algorithm.</w:t>
      </w:r>
      <w:r w:rsidR="00E25E30">
        <w:rPr>
          <w:rFonts w:ascii="Times New Roman" w:hAnsi="Times New Roman" w:cs="Times New Roman"/>
          <w:sz w:val="24"/>
          <w:szCs w:val="24"/>
          <w:lang w:val="en-GB"/>
        </w:rPr>
        <w:t xml:space="preserve"> </w:t>
      </w:r>
      <w:r w:rsidR="00E25E30" w:rsidRPr="00E25E30">
        <w:rPr>
          <w:rFonts w:ascii="Times New Roman" w:hAnsi="Times New Roman" w:cs="Times New Roman"/>
          <w:sz w:val="24"/>
          <w:szCs w:val="24"/>
          <w:lang w:val="en-GB"/>
        </w:rPr>
        <w:t>In the potential outcomes framework with unconfoundedness, causal forests are pointwise consistent for the true treatment effect, and have an</w:t>
      </w:r>
      <w:r w:rsidR="00E25E30">
        <w:rPr>
          <w:rFonts w:ascii="Times New Roman" w:hAnsi="Times New Roman" w:cs="Times New Roman" w:hint="eastAsia"/>
          <w:sz w:val="24"/>
          <w:szCs w:val="24"/>
          <w:lang w:val="en-GB"/>
        </w:rPr>
        <w:t xml:space="preserve"> </w:t>
      </w:r>
      <w:r w:rsidR="00E25E30" w:rsidRPr="00E25E30">
        <w:rPr>
          <w:rFonts w:ascii="Times New Roman" w:hAnsi="Times New Roman" w:cs="Times New Roman"/>
          <w:sz w:val="24"/>
          <w:szCs w:val="24"/>
          <w:lang w:val="en-GB"/>
        </w:rPr>
        <w:t xml:space="preserve">asymptotically Gaussian and </w:t>
      </w:r>
      <w:r w:rsidR="00E25E30" w:rsidRPr="00E25E30">
        <w:rPr>
          <w:rFonts w:ascii="Times New Roman" w:hAnsi="Times New Roman" w:cs="Times New Roman"/>
          <w:sz w:val="24"/>
          <w:szCs w:val="24"/>
          <w:lang w:val="en-GB"/>
        </w:rPr>
        <w:t>centred</w:t>
      </w:r>
      <w:r w:rsidR="00E25E30" w:rsidRPr="00E25E30">
        <w:rPr>
          <w:rFonts w:ascii="Times New Roman" w:hAnsi="Times New Roman" w:cs="Times New Roman"/>
          <w:sz w:val="24"/>
          <w:szCs w:val="24"/>
          <w:lang w:val="en-GB"/>
        </w:rPr>
        <w:t xml:space="preserve"> sampling distribution.</w:t>
      </w:r>
      <w:r w:rsidR="00E25E30">
        <w:rPr>
          <w:rFonts w:ascii="Times New Roman" w:hAnsi="Times New Roman" w:cs="Times New Roman"/>
          <w:sz w:val="24"/>
          <w:szCs w:val="24"/>
          <w:lang w:val="en-GB"/>
        </w:rPr>
        <w:t xml:space="preserve"> The causal forests give us </w:t>
      </w:r>
      <w:r w:rsidR="00E25E30" w:rsidRPr="00E25E30">
        <w:rPr>
          <w:rFonts w:ascii="Times New Roman" w:hAnsi="Times New Roman" w:cs="Times New Roman"/>
          <w:sz w:val="24"/>
          <w:szCs w:val="24"/>
          <w:lang w:val="en-GB"/>
        </w:rPr>
        <w:t>a</w:t>
      </w:r>
      <w:r w:rsidR="00E25E30">
        <w:rPr>
          <w:rFonts w:ascii="Times New Roman" w:hAnsi="Times New Roman" w:cs="Times New Roman"/>
          <w:sz w:val="24"/>
          <w:szCs w:val="24"/>
          <w:lang w:val="en-GB"/>
        </w:rPr>
        <w:t xml:space="preserve"> better</w:t>
      </w:r>
      <w:r w:rsidR="00E25E30" w:rsidRPr="00E25E30">
        <w:rPr>
          <w:rFonts w:ascii="Times New Roman" w:hAnsi="Times New Roman" w:cs="Times New Roman"/>
          <w:sz w:val="24"/>
          <w:szCs w:val="24"/>
          <w:lang w:val="en-GB"/>
        </w:rPr>
        <w:t xml:space="preserve"> understanding of treatment effect heterogeneity</w:t>
      </w:r>
      <w:r w:rsidR="00E25E30">
        <w:rPr>
          <w:rFonts w:ascii="Times New Roman" w:hAnsi="Times New Roman" w:cs="Times New Roman"/>
          <w:sz w:val="24"/>
          <w:szCs w:val="24"/>
          <w:lang w:val="en-GB"/>
        </w:rPr>
        <w:t xml:space="preserve">, so we apply this method to the original paper, which reveals the treatment effects of </w:t>
      </w:r>
      <w:r w:rsidR="00A47BC3">
        <w:rPr>
          <w:rFonts w:ascii="Times New Roman" w:hAnsi="Times New Roman" w:cs="Times New Roman"/>
          <w:sz w:val="24"/>
          <w:szCs w:val="24"/>
          <w:lang w:val="en-GB"/>
        </w:rPr>
        <w:t>a drought insurance, to analyse the heterogeneity of the effects on individuals with different characteristics.</w:t>
      </w:r>
    </w:p>
    <w:p w14:paraId="4E1CD6C5" w14:textId="354C5872" w:rsidR="005A70CA" w:rsidRDefault="005A70CA" w:rsidP="00E25E30">
      <w:pPr>
        <w:spacing w:beforeLines="100" w:before="312" w:afterLines="100" w:after="312" w:line="360" w:lineRule="auto"/>
        <w:rPr>
          <w:rFonts w:ascii="Times New Roman" w:hAnsi="Times New Roman" w:cs="Times New Roman"/>
          <w:sz w:val="24"/>
          <w:szCs w:val="24"/>
          <w:lang w:val="en-GB"/>
        </w:rPr>
      </w:pPr>
      <w:r>
        <w:rPr>
          <w:rFonts w:ascii="Times New Roman" w:hAnsi="Times New Roman" w:cs="Times New Roman"/>
          <w:sz w:val="24"/>
          <w:szCs w:val="24"/>
          <w:lang w:val="en-GB"/>
        </w:rPr>
        <w:t>The steps of the method can be briefly summarised as follows:</w:t>
      </w:r>
    </w:p>
    <w:p w14:paraId="72637228" w14:textId="4259F59E" w:rsidR="00671605" w:rsidRDefault="005A70CA" w:rsidP="00671605">
      <w:pPr>
        <w:spacing w:beforeLines="100" w:before="312" w:afterLines="100" w:after="312"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Step 1:</w:t>
      </w:r>
      <w:r>
        <w:rPr>
          <w:rFonts w:ascii="Times New Roman" w:hAnsi="Times New Roman" w:cs="Times New Roman" w:hint="eastAsia"/>
          <w:sz w:val="24"/>
          <w:szCs w:val="24"/>
          <w:lang w:val="en-GB"/>
        </w:rPr>
        <w:t xml:space="preserve"> </w:t>
      </w:r>
      <w:r w:rsidR="00C55612">
        <w:rPr>
          <w:rFonts w:ascii="Times New Roman" w:hAnsi="Times New Roman" w:cs="Times New Roman" w:hint="eastAsia"/>
          <w:sz w:val="24"/>
          <w:szCs w:val="24"/>
          <w:lang w:val="en-GB"/>
        </w:rPr>
        <w:t>T</w:t>
      </w:r>
      <w:r w:rsidR="00C55612">
        <w:rPr>
          <w:rFonts w:ascii="Times New Roman" w:hAnsi="Times New Roman" w:cs="Times New Roman"/>
          <w:sz w:val="24"/>
          <w:szCs w:val="24"/>
          <w:lang w:val="en-GB"/>
        </w:rPr>
        <w:t>he</w:t>
      </w:r>
      <w:r w:rsidR="00671605">
        <w:rPr>
          <w:rFonts w:ascii="Times New Roman" w:hAnsi="Times New Roman" w:cs="Times New Roman"/>
          <w:sz w:val="24"/>
          <w:szCs w:val="24"/>
          <w:lang w:val="en-GB"/>
        </w:rPr>
        <w:t xml:space="preserve"> causal forest</w:t>
      </w:r>
      <w:r w:rsidR="00C55612">
        <w:rPr>
          <w:rFonts w:ascii="Times New Roman" w:hAnsi="Times New Roman" w:cs="Times New Roman"/>
          <w:sz w:val="24"/>
          <w:szCs w:val="24"/>
          <w:lang w:val="en-GB"/>
        </w:rPr>
        <w:t xml:space="preserve"> use</w:t>
      </w:r>
      <w:r w:rsidR="00671605">
        <w:rPr>
          <w:rFonts w:ascii="Times New Roman" w:hAnsi="Times New Roman" w:cs="Times New Roman"/>
          <w:sz w:val="24"/>
          <w:szCs w:val="24"/>
          <w:lang w:val="en-GB"/>
        </w:rPr>
        <w:t>s</w:t>
      </w:r>
      <w:r w:rsidR="00C55612">
        <w:rPr>
          <w:rFonts w:ascii="Times New Roman" w:hAnsi="Times New Roman" w:cs="Times New Roman"/>
          <w:sz w:val="24"/>
          <w:szCs w:val="24"/>
          <w:lang w:val="en-GB"/>
        </w:rPr>
        <w:t xml:space="preserve"> d</w:t>
      </w:r>
      <w:r w:rsidR="00C55612" w:rsidRPr="00C55612">
        <w:rPr>
          <w:rFonts w:ascii="Times New Roman" w:hAnsi="Times New Roman" w:cs="Times New Roman"/>
          <w:sz w:val="24"/>
          <w:szCs w:val="24"/>
          <w:lang w:val="en-GB"/>
        </w:rPr>
        <w:t xml:space="preserve">ouble-sample trees </w:t>
      </w:r>
      <w:r w:rsidR="00671605">
        <w:rPr>
          <w:rFonts w:ascii="Times New Roman" w:hAnsi="Times New Roman" w:cs="Times New Roman"/>
          <w:sz w:val="24"/>
          <w:szCs w:val="24"/>
          <w:lang w:val="en-GB"/>
        </w:rPr>
        <w:t xml:space="preserve">to </w:t>
      </w:r>
      <w:r w:rsidR="00C55612" w:rsidRPr="00C55612">
        <w:rPr>
          <w:rFonts w:ascii="Times New Roman" w:hAnsi="Times New Roman" w:cs="Times New Roman"/>
          <w:sz w:val="24"/>
          <w:szCs w:val="24"/>
          <w:lang w:val="en-GB"/>
        </w:rPr>
        <w:t xml:space="preserve">split the available training data into two parts: one half </w:t>
      </w:r>
      <w:r w:rsidR="00671605">
        <w:rPr>
          <w:rFonts w:ascii="Times New Roman" w:hAnsi="Times New Roman" w:cs="Times New Roman"/>
          <w:sz w:val="24"/>
          <w:szCs w:val="24"/>
          <w:lang w:val="en-GB"/>
        </w:rPr>
        <w:t xml:space="preserve">(I) </w:t>
      </w:r>
      <w:r w:rsidR="00C55612" w:rsidRPr="00C55612">
        <w:rPr>
          <w:rFonts w:ascii="Times New Roman" w:hAnsi="Times New Roman" w:cs="Times New Roman"/>
          <w:sz w:val="24"/>
          <w:szCs w:val="24"/>
          <w:lang w:val="en-GB"/>
        </w:rPr>
        <w:t xml:space="preserve">for estimating the desired response inside each leaf, </w:t>
      </w:r>
      <w:r w:rsidR="00671605">
        <w:rPr>
          <w:rFonts w:ascii="Times New Roman" w:hAnsi="Times New Roman" w:cs="Times New Roman"/>
          <w:sz w:val="24"/>
          <w:szCs w:val="24"/>
          <w:lang w:val="en-GB"/>
        </w:rPr>
        <w:t xml:space="preserve">the </w:t>
      </w:r>
      <w:r w:rsidR="00C55612" w:rsidRPr="00C55612">
        <w:rPr>
          <w:rFonts w:ascii="Times New Roman" w:hAnsi="Times New Roman" w:cs="Times New Roman"/>
          <w:sz w:val="24"/>
          <w:szCs w:val="24"/>
          <w:lang w:val="en-GB"/>
        </w:rPr>
        <w:t>other half</w:t>
      </w:r>
      <w:r w:rsidR="00671605">
        <w:rPr>
          <w:rFonts w:ascii="Times New Roman" w:hAnsi="Times New Roman" w:cs="Times New Roman"/>
          <w:sz w:val="24"/>
          <w:szCs w:val="24"/>
          <w:lang w:val="en-GB"/>
        </w:rPr>
        <w:t xml:space="preserve"> (J)</w:t>
      </w:r>
      <w:r w:rsidR="00C55612" w:rsidRPr="00C55612">
        <w:rPr>
          <w:rFonts w:ascii="Times New Roman" w:hAnsi="Times New Roman" w:cs="Times New Roman"/>
          <w:sz w:val="24"/>
          <w:szCs w:val="24"/>
          <w:lang w:val="en-GB"/>
        </w:rPr>
        <w:t xml:space="preserve"> for placing splits.</w:t>
      </w:r>
      <w:r w:rsidR="00671605">
        <w:rPr>
          <w:rFonts w:ascii="Times New Roman" w:hAnsi="Times New Roman" w:cs="Times New Roman"/>
          <w:sz w:val="24"/>
          <w:szCs w:val="24"/>
          <w:lang w:val="en-GB"/>
        </w:rPr>
        <w:t xml:space="preserve"> </w:t>
      </w:r>
      <w:r w:rsidR="00671605" w:rsidRPr="00671605">
        <w:rPr>
          <w:rFonts w:ascii="Times New Roman" w:hAnsi="Times New Roman" w:cs="Times New Roman"/>
          <w:sz w:val="24"/>
          <w:szCs w:val="24"/>
          <w:lang w:val="en-GB"/>
        </w:rPr>
        <w:t>Double-sample regression trees make predictions ˆµ(x) using</w:t>
      </w:r>
    </w:p>
    <w:p w14:paraId="092A86D7" w14:textId="432570A4" w:rsidR="00671605" w:rsidRDefault="00D04FEA" w:rsidP="00D04FEA">
      <w:pPr>
        <w:spacing w:beforeLines="100" w:before="312" w:afterLines="100" w:after="312" w:line="360" w:lineRule="auto"/>
        <w:jc w:val="center"/>
        <w:rPr>
          <w:rFonts w:ascii="Times New Roman" w:hAnsi="Times New Roman" w:cs="Times New Roman"/>
          <w:sz w:val="24"/>
          <w:szCs w:val="24"/>
          <w:lang w:val="en-GB"/>
        </w:rPr>
      </w:pPr>
      <w:r>
        <w:rPr>
          <w:noProof/>
        </w:rPr>
        <w:drawing>
          <wp:inline distT="0" distB="0" distL="0" distR="0" wp14:anchorId="0E5F1614" wp14:editId="1A712292">
            <wp:extent cx="2965450" cy="543720"/>
            <wp:effectExtent l="0" t="0" r="6350" b="8890"/>
            <wp:docPr id="1683033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33715" name=""/>
                    <pic:cNvPicPr/>
                  </pic:nvPicPr>
                  <pic:blipFill>
                    <a:blip r:embed="rId5"/>
                    <a:stretch>
                      <a:fillRect/>
                    </a:stretch>
                  </pic:blipFill>
                  <pic:spPr>
                    <a:xfrm>
                      <a:off x="0" y="0"/>
                      <a:ext cx="3055189" cy="560174"/>
                    </a:xfrm>
                    <a:prstGeom prst="rect">
                      <a:avLst/>
                    </a:prstGeom>
                  </pic:spPr>
                </pic:pic>
              </a:graphicData>
            </a:graphic>
          </wp:inline>
        </w:drawing>
      </w:r>
    </w:p>
    <w:p w14:paraId="34AEDA8B" w14:textId="77777777" w:rsidR="00671605" w:rsidRDefault="00671605" w:rsidP="00671605">
      <w:pPr>
        <w:spacing w:beforeLines="100" w:before="312" w:afterLines="100" w:after="312" w:line="360" w:lineRule="auto"/>
        <w:rPr>
          <w:rFonts w:ascii="Times New Roman" w:hAnsi="Times New Roman" w:cs="Times New Roman"/>
          <w:sz w:val="24"/>
          <w:szCs w:val="24"/>
          <w:lang w:val="en-GB"/>
        </w:rPr>
      </w:pPr>
      <w:r w:rsidRPr="00671605">
        <w:rPr>
          <w:rFonts w:ascii="Times New Roman" w:hAnsi="Times New Roman" w:cs="Times New Roman"/>
          <w:sz w:val="24"/>
          <w:szCs w:val="24"/>
          <w:lang w:val="en-GB"/>
        </w:rPr>
        <w:t>on the leaf containing x, only using the I-sample observations. The splitting criteria is the standard for CART regression trees (minimizing mean-squared error of predictions). Splits are restricted so that each leaf of the tree must contain k or more I-sample observations.</w:t>
      </w:r>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And d</w:t>
      </w:r>
      <w:r w:rsidRPr="00671605">
        <w:rPr>
          <w:rFonts w:ascii="Times New Roman" w:hAnsi="Times New Roman" w:cs="Times New Roman"/>
          <w:sz w:val="24"/>
          <w:szCs w:val="24"/>
          <w:lang w:val="en-GB"/>
        </w:rPr>
        <w:t>ouble-sample causal trees are defined similarly, except that for prediction we estimate</w:t>
      </w:r>
      <w:r>
        <w:rPr>
          <w:rFonts w:ascii="Times New Roman" w:hAnsi="Times New Roman" w:cs="Times New Roman" w:hint="eastAsia"/>
          <w:sz w:val="24"/>
          <w:szCs w:val="24"/>
          <w:lang w:val="en-GB"/>
        </w:rPr>
        <w:t xml:space="preserve"> </w:t>
      </w:r>
      <w:r w:rsidRPr="00671605">
        <w:rPr>
          <w:rFonts w:ascii="Times New Roman" w:hAnsi="Times New Roman" w:cs="Times New Roman" w:hint="eastAsia"/>
          <w:sz w:val="24"/>
          <w:szCs w:val="24"/>
          <w:lang w:val="en-GB"/>
        </w:rPr>
        <w:t>τˆ</w:t>
      </w:r>
      <w:r w:rsidRPr="00671605">
        <w:rPr>
          <w:rFonts w:ascii="Times New Roman" w:hAnsi="Times New Roman" w:cs="Times New Roman"/>
          <w:sz w:val="24"/>
          <w:szCs w:val="24"/>
          <w:lang w:val="en-GB"/>
        </w:rPr>
        <w:t>(x) using</w:t>
      </w:r>
    </w:p>
    <w:p w14:paraId="0E5FAC32" w14:textId="48F8E7B9" w:rsidR="00671605" w:rsidRDefault="00D04FEA" w:rsidP="00D04FEA">
      <w:pPr>
        <w:spacing w:beforeLines="100" w:before="312" w:afterLines="100" w:after="312" w:line="360" w:lineRule="auto"/>
        <w:jc w:val="center"/>
        <w:rPr>
          <w:rFonts w:ascii="Times New Roman" w:hAnsi="Times New Roman" w:cs="Times New Roman"/>
          <w:sz w:val="24"/>
          <w:szCs w:val="24"/>
          <w:lang w:val="en-GB"/>
        </w:rPr>
      </w:pPr>
      <w:r>
        <w:rPr>
          <w:noProof/>
        </w:rPr>
        <w:drawing>
          <wp:inline distT="0" distB="0" distL="0" distR="0" wp14:anchorId="0FDE7A9A" wp14:editId="763B0E24">
            <wp:extent cx="5759450" cy="538480"/>
            <wp:effectExtent l="0" t="0" r="0" b="0"/>
            <wp:docPr id="911516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16903" name=""/>
                    <pic:cNvPicPr/>
                  </pic:nvPicPr>
                  <pic:blipFill>
                    <a:blip r:embed="rId6"/>
                    <a:stretch>
                      <a:fillRect/>
                    </a:stretch>
                  </pic:blipFill>
                  <pic:spPr>
                    <a:xfrm>
                      <a:off x="0" y="0"/>
                      <a:ext cx="5759450" cy="538480"/>
                    </a:xfrm>
                    <a:prstGeom prst="rect">
                      <a:avLst/>
                    </a:prstGeom>
                  </pic:spPr>
                </pic:pic>
              </a:graphicData>
            </a:graphic>
          </wp:inline>
        </w:drawing>
      </w:r>
    </w:p>
    <w:p w14:paraId="25660C11" w14:textId="1521064B" w:rsidR="001B1543" w:rsidRDefault="00671605" w:rsidP="00671605">
      <w:pPr>
        <w:spacing w:beforeLines="100" w:before="312" w:afterLines="100" w:after="312" w:line="360" w:lineRule="auto"/>
        <w:rPr>
          <w:rFonts w:ascii="Times New Roman" w:hAnsi="Times New Roman" w:cs="Times New Roman"/>
          <w:sz w:val="24"/>
          <w:szCs w:val="24"/>
          <w:lang w:val="en-GB"/>
        </w:rPr>
      </w:pPr>
      <w:r w:rsidRPr="00671605">
        <w:rPr>
          <w:rFonts w:ascii="Times New Roman" w:hAnsi="Times New Roman" w:cs="Times New Roman"/>
          <w:sz w:val="24"/>
          <w:szCs w:val="24"/>
          <w:lang w:val="en-GB"/>
        </w:rPr>
        <w:t xml:space="preserve">on the I sample. Following </w:t>
      </w:r>
      <w:proofErr w:type="spellStart"/>
      <w:r w:rsidRPr="00671605">
        <w:rPr>
          <w:rFonts w:ascii="Times New Roman" w:hAnsi="Times New Roman" w:cs="Times New Roman"/>
          <w:sz w:val="24"/>
          <w:szCs w:val="24"/>
          <w:lang w:val="en-GB"/>
        </w:rPr>
        <w:t>Athey</w:t>
      </w:r>
      <w:proofErr w:type="spellEnd"/>
      <w:r w:rsidRPr="00671605">
        <w:rPr>
          <w:rFonts w:ascii="Times New Roman" w:hAnsi="Times New Roman" w:cs="Times New Roman"/>
          <w:sz w:val="24"/>
          <w:szCs w:val="24"/>
          <w:lang w:val="en-GB"/>
        </w:rPr>
        <w:t xml:space="preserve"> and </w:t>
      </w:r>
      <w:proofErr w:type="spellStart"/>
      <w:r w:rsidRPr="00671605">
        <w:rPr>
          <w:rFonts w:ascii="Times New Roman" w:hAnsi="Times New Roman" w:cs="Times New Roman"/>
          <w:sz w:val="24"/>
          <w:szCs w:val="24"/>
          <w:lang w:val="en-GB"/>
        </w:rPr>
        <w:t>Imbens</w:t>
      </w:r>
      <w:proofErr w:type="spellEnd"/>
      <w:r w:rsidRPr="00671605">
        <w:rPr>
          <w:rFonts w:ascii="Times New Roman" w:hAnsi="Times New Roman" w:cs="Times New Roman"/>
          <w:sz w:val="24"/>
          <w:szCs w:val="24"/>
          <w:lang w:val="en-GB"/>
        </w:rPr>
        <w:t xml:space="preserve"> [2016], the splits of the</w:t>
      </w:r>
      <w:r>
        <w:rPr>
          <w:rFonts w:ascii="Times New Roman" w:hAnsi="Times New Roman" w:cs="Times New Roman" w:hint="eastAsia"/>
          <w:sz w:val="24"/>
          <w:szCs w:val="24"/>
          <w:lang w:val="en-GB"/>
        </w:rPr>
        <w:t xml:space="preserve"> </w:t>
      </w:r>
      <w:r w:rsidRPr="00671605">
        <w:rPr>
          <w:rFonts w:ascii="Times New Roman" w:hAnsi="Times New Roman" w:cs="Times New Roman"/>
          <w:sz w:val="24"/>
          <w:szCs w:val="24"/>
          <w:lang w:val="en-GB"/>
        </w:rPr>
        <w:t xml:space="preserve">tree are chosen by maximizing the variance of ˆτ(Xi) for </w:t>
      </w:r>
      <w:proofErr w:type="spellStart"/>
      <w:r w:rsidRPr="00671605">
        <w:rPr>
          <w:rFonts w:ascii="Times New Roman" w:hAnsi="Times New Roman" w:cs="Times New Roman"/>
          <w:sz w:val="24"/>
          <w:szCs w:val="24"/>
          <w:lang w:val="en-GB"/>
        </w:rPr>
        <w:t>i</w:t>
      </w:r>
      <w:proofErr w:type="spellEnd"/>
      <w:r w:rsidRPr="00671605">
        <w:rPr>
          <w:rFonts w:ascii="Times New Roman" w:hAnsi="Times New Roman" w:cs="Times New Roman"/>
          <w:sz w:val="24"/>
          <w:szCs w:val="24"/>
          <w:lang w:val="en-GB"/>
        </w:rPr>
        <w:t xml:space="preserve"> </w:t>
      </w:r>
      <w:r w:rsidRPr="00671605">
        <w:rPr>
          <w:rFonts w:ascii="宋体" w:eastAsia="宋体" w:hAnsi="宋体" w:cs="宋体" w:hint="eastAsia"/>
          <w:sz w:val="24"/>
          <w:szCs w:val="24"/>
          <w:lang w:val="en-GB"/>
        </w:rPr>
        <w:t>∈</w:t>
      </w:r>
      <w:r w:rsidRPr="00671605">
        <w:rPr>
          <w:rFonts w:ascii="Times New Roman" w:hAnsi="Times New Roman" w:cs="Times New Roman"/>
          <w:sz w:val="24"/>
          <w:szCs w:val="24"/>
          <w:lang w:val="en-GB"/>
        </w:rPr>
        <w:t xml:space="preserve"> J</w:t>
      </w:r>
      <w:r>
        <w:rPr>
          <w:rFonts w:ascii="Times New Roman" w:hAnsi="Times New Roman" w:cs="Times New Roman"/>
          <w:sz w:val="24"/>
          <w:szCs w:val="24"/>
          <w:lang w:val="en-GB"/>
        </w:rPr>
        <w:t>.</w:t>
      </w:r>
    </w:p>
    <w:p w14:paraId="2BE8B05C" w14:textId="72A8703B" w:rsidR="00A47BC3" w:rsidRDefault="005A70CA" w:rsidP="00E25E30">
      <w:pPr>
        <w:spacing w:beforeLines="100" w:before="312" w:afterLines="100" w:after="312"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S</w:t>
      </w:r>
      <w:r>
        <w:rPr>
          <w:rFonts w:ascii="Times New Roman" w:hAnsi="Times New Roman" w:cs="Times New Roman"/>
          <w:sz w:val="24"/>
          <w:szCs w:val="24"/>
          <w:lang w:val="en-GB"/>
        </w:rPr>
        <w:t>tep 2:</w:t>
      </w:r>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P</w:t>
      </w:r>
      <w:r w:rsidR="00D04FEA" w:rsidRPr="00D04FEA">
        <w:rPr>
          <w:rFonts w:ascii="Times New Roman" w:hAnsi="Times New Roman" w:cs="Times New Roman"/>
          <w:sz w:val="24"/>
          <w:szCs w:val="24"/>
          <w:lang w:val="en-GB"/>
        </w:rPr>
        <w:t>ropensity trees use only the treatment assignment indicator Wi to place splits, and save the responses Yi for estimating τ.</w:t>
      </w:r>
      <w:r w:rsidR="00D04FEA">
        <w:rPr>
          <w:rFonts w:ascii="Times New Roman" w:hAnsi="Times New Roman" w:cs="Times New Roman"/>
          <w:sz w:val="24"/>
          <w:szCs w:val="24"/>
          <w:lang w:val="en-GB"/>
        </w:rPr>
        <w:t xml:space="preserve"> T</w:t>
      </w:r>
      <w:r w:rsidR="00D04FEA" w:rsidRPr="00D04FEA">
        <w:rPr>
          <w:rFonts w:ascii="Times New Roman" w:hAnsi="Times New Roman" w:cs="Times New Roman"/>
          <w:sz w:val="24"/>
          <w:szCs w:val="24"/>
          <w:lang w:val="en-GB"/>
        </w:rPr>
        <w:t>he splits are chosen by optimizing, e.g., the Gini criterion used by CART for classification</w:t>
      </w:r>
      <w:r w:rsidR="00D04FEA">
        <w:rPr>
          <w:rFonts w:ascii="Times New Roman" w:hAnsi="Times New Roman" w:cs="Times New Roman"/>
          <w:sz w:val="24"/>
          <w:szCs w:val="24"/>
          <w:lang w:val="en-GB"/>
        </w:rPr>
        <w:t>.</w:t>
      </w:r>
    </w:p>
    <w:p w14:paraId="42E687C9" w14:textId="14728825" w:rsidR="005A70CA" w:rsidRDefault="005A70CA" w:rsidP="00E25E30">
      <w:pPr>
        <w:spacing w:beforeLines="100" w:before="312" w:afterLines="100" w:after="312"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S</w:t>
      </w:r>
      <w:r>
        <w:rPr>
          <w:rFonts w:ascii="Times New Roman" w:hAnsi="Times New Roman" w:cs="Times New Roman"/>
          <w:sz w:val="24"/>
          <w:szCs w:val="24"/>
          <w:lang w:val="en-GB"/>
        </w:rPr>
        <w:t>tep 3: C</w:t>
      </w:r>
      <w:r w:rsidRPr="005A70CA">
        <w:rPr>
          <w:rFonts w:ascii="Times New Roman" w:hAnsi="Times New Roman" w:cs="Times New Roman"/>
          <w:sz w:val="24"/>
          <w:szCs w:val="24"/>
          <w:lang w:val="en-GB"/>
        </w:rPr>
        <w:t>ompute a random forest by Monte Carlo averaging</w:t>
      </w:r>
      <w:r>
        <w:rPr>
          <w:rFonts w:ascii="Times New Roman" w:hAnsi="Times New Roman" w:cs="Times New Roman"/>
          <w:sz w:val="24"/>
          <w:szCs w:val="24"/>
          <w:lang w:val="en-GB"/>
        </w:rPr>
        <w:t>.</w:t>
      </w:r>
    </w:p>
    <w:p w14:paraId="3F33BCEF" w14:textId="581479A9" w:rsidR="007B4F51" w:rsidRDefault="0041324E" w:rsidP="007B4F51">
      <w:pPr>
        <w:spacing w:beforeLines="100" w:before="312" w:afterLines="100" w:after="312" w:line="360" w:lineRule="auto"/>
        <w:rPr>
          <w:rFonts w:ascii="Times New Roman" w:hAnsi="Times New Roman" w:cs="Times New Roman"/>
          <w:sz w:val="24"/>
          <w:szCs w:val="24"/>
          <w:lang w:val="en-GB"/>
        </w:rPr>
      </w:pPr>
      <w:r>
        <w:rPr>
          <w:rFonts w:ascii="Times New Roman" w:hAnsi="Times New Roman" w:cs="Times New Roman"/>
          <w:sz w:val="24"/>
          <w:szCs w:val="24"/>
          <w:lang w:val="en-GB"/>
        </w:rPr>
        <w:t>U</w:t>
      </w:r>
      <w:r w:rsidR="007B4F51" w:rsidRPr="007B4F51">
        <w:rPr>
          <w:rFonts w:ascii="Times New Roman" w:hAnsi="Times New Roman" w:cs="Times New Roman"/>
          <w:sz w:val="24"/>
          <w:szCs w:val="24"/>
          <w:lang w:val="en-GB"/>
        </w:rPr>
        <w:t xml:space="preserve">nder regularity assumptions, causal forests can </w:t>
      </w:r>
      <w:r>
        <w:rPr>
          <w:rFonts w:ascii="Times New Roman" w:hAnsi="Times New Roman" w:cs="Times New Roman"/>
          <w:sz w:val="24"/>
          <w:szCs w:val="24"/>
          <w:lang w:val="en-GB"/>
        </w:rPr>
        <w:t>realise</w:t>
      </w:r>
      <w:r w:rsidR="007B4F51" w:rsidRPr="007B4F51">
        <w:rPr>
          <w:rFonts w:ascii="Times New Roman" w:hAnsi="Times New Roman" w:cs="Times New Roman"/>
          <w:sz w:val="24"/>
          <w:szCs w:val="24"/>
          <w:lang w:val="en-GB"/>
        </w:rPr>
        <w:t xml:space="preserve"> unconfoundedness </w:t>
      </w:r>
      <w:r>
        <w:rPr>
          <w:rFonts w:ascii="Times New Roman" w:hAnsi="Times New Roman" w:cs="Times New Roman"/>
          <w:sz w:val="24"/>
          <w:szCs w:val="24"/>
          <w:lang w:val="en-GB"/>
        </w:rPr>
        <w:t xml:space="preserve">and therefore </w:t>
      </w:r>
      <w:r w:rsidR="007B4F51" w:rsidRPr="007B4F51">
        <w:rPr>
          <w:rFonts w:ascii="Times New Roman" w:hAnsi="Times New Roman" w:cs="Times New Roman"/>
          <w:sz w:val="24"/>
          <w:szCs w:val="24"/>
          <w:lang w:val="en-GB"/>
        </w:rPr>
        <w:t>achieve consistency without needing to explicitly</w:t>
      </w:r>
      <w:r w:rsidR="007B4F51">
        <w:rPr>
          <w:rFonts w:ascii="Times New Roman" w:hAnsi="Times New Roman" w:cs="Times New Roman" w:hint="eastAsia"/>
          <w:sz w:val="24"/>
          <w:szCs w:val="24"/>
          <w:lang w:val="en-GB"/>
        </w:rPr>
        <w:t xml:space="preserve"> </w:t>
      </w:r>
      <w:r w:rsidR="007B4F51" w:rsidRPr="007B4F51">
        <w:rPr>
          <w:rFonts w:ascii="Times New Roman" w:hAnsi="Times New Roman" w:cs="Times New Roman"/>
          <w:sz w:val="24"/>
          <w:szCs w:val="24"/>
          <w:lang w:val="en-GB"/>
        </w:rPr>
        <w:t>estimate the propensity</w:t>
      </w:r>
      <w:r w:rsidR="005A70CA">
        <w:rPr>
          <w:rFonts w:ascii="Times New Roman" w:hAnsi="Times New Roman" w:cs="Times New Roman"/>
          <w:sz w:val="24"/>
          <w:szCs w:val="24"/>
          <w:lang w:val="en-GB"/>
        </w:rPr>
        <w:t>.</w:t>
      </w:r>
      <w:r w:rsidR="0012133D">
        <w:rPr>
          <w:rFonts w:ascii="Times New Roman" w:hAnsi="Times New Roman" w:cs="Times New Roman"/>
          <w:sz w:val="24"/>
          <w:szCs w:val="24"/>
          <w:lang w:val="en-GB"/>
        </w:rPr>
        <w:t xml:space="preserve"> And g</w:t>
      </w:r>
      <w:r w:rsidR="0012133D" w:rsidRPr="0012133D">
        <w:rPr>
          <w:rFonts w:ascii="Times New Roman" w:hAnsi="Times New Roman" w:cs="Times New Roman"/>
          <w:sz w:val="24"/>
          <w:szCs w:val="24"/>
          <w:lang w:val="en-GB"/>
        </w:rPr>
        <w:t xml:space="preserve">iven </w:t>
      </w:r>
      <w:r w:rsidR="0012133D">
        <w:rPr>
          <w:rFonts w:ascii="Times New Roman" w:hAnsi="Times New Roman" w:cs="Times New Roman"/>
          <w:sz w:val="24"/>
          <w:szCs w:val="24"/>
          <w:lang w:val="en-GB"/>
        </w:rPr>
        <w:t>all the</w:t>
      </w:r>
      <w:r w:rsidR="0012133D" w:rsidRPr="0012133D">
        <w:rPr>
          <w:rFonts w:ascii="Times New Roman" w:hAnsi="Times New Roman" w:cs="Times New Roman"/>
          <w:sz w:val="24"/>
          <w:szCs w:val="24"/>
          <w:lang w:val="en-GB"/>
        </w:rPr>
        <w:t xml:space="preserve"> preliminaries</w:t>
      </w:r>
      <w:r w:rsidR="0012133D">
        <w:rPr>
          <w:rFonts w:ascii="Times New Roman" w:hAnsi="Times New Roman" w:cs="Times New Roman"/>
          <w:sz w:val="24"/>
          <w:szCs w:val="24"/>
          <w:lang w:val="en-GB"/>
        </w:rPr>
        <w:t xml:space="preserve"> needed</w:t>
      </w:r>
      <w:r w:rsidR="0012133D" w:rsidRPr="0012133D">
        <w:rPr>
          <w:rFonts w:ascii="Times New Roman" w:hAnsi="Times New Roman" w:cs="Times New Roman"/>
          <w:sz w:val="24"/>
          <w:szCs w:val="24"/>
          <w:lang w:val="en-GB"/>
        </w:rPr>
        <w:t>, we can state</w:t>
      </w:r>
      <w:r w:rsidR="00500C6E">
        <w:rPr>
          <w:rFonts w:ascii="Times New Roman" w:hAnsi="Times New Roman" w:cs="Times New Roman"/>
          <w:sz w:val="24"/>
          <w:szCs w:val="24"/>
          <w:lang w:val="en-GB"/>
        </w:rPr>
        <w:t xml:space="preserve"> reliable</w:t>
      </w:r>
      <w:r w:rsidR="0012133D" w:rsidRPr="0012133D">
        <w:rPr>
          <w:rFonts w:ascii="Times New Roman" w:hAnsi="Times New Roman" w:cs="Times New Roman"/>
          <w:sz w:val="24"/>
          <w:szCs w:val="24"/>
          <w:lang w:val="en-GB"/>
        </w:rPr>
        <w:t xml:space="preserve"> result</w:t>
      </w:r>
      <w:r w:rsidR="0012133D">
        <w:rPr>
          <w:rFonts w:ascii="Times New Roman" w:hAnsi="Times New Roman" w:cs="Times New Roman"/>
          <w:sz w:val="24"/>
          <w:szCs w:val="24"/>
          <w:lang w:val="en-GB"/>
        </w:rPr>
        <w:t>s</w:t>
      </w:r>
      <w:r w:rsidR="0012133D" w:rsidRPr="0012133D">
        <w:rPr>
          <w:rFonts w:ascii="Times New Roman" w:hAnsi="Times New Roman" w:cs="Times New Roman"/>
          <w:sz w:val="24"/>
          <w:szCs w:val="24"/>
          <w:lang w:val="en-GB"/>
        </w:rPr>
        <w:t xml:space="preserve"> on the asymptotic normality of random forests.</w:t>
      </w:r>
    </w:p>
    <w:p w14:paraId="248C27DB" w14:textId="53CDCA31" w:rsidR="008F2C15" w:rsidRDefault="008F2C15" w:rsidP="008F2C15">
      <w:pPr>
        <w:pStyle w:val="2"/>
        <w:spacing w:beforeLines="100" w:before="312" w:afterLines="100" w:after="312"/>
        <w:ind w:left="357" w:hanging="357"/>
        <w:rPr>
          <w:lang w:val="en-GB"/>
        </w:rPr>
      </w:pPr>
      <w:r>
        <w:rPr>
          <w:lang w:val="en-GB"/>
        </w:rPr>
        <w:t>Application and Results</w:t>
      </w:r>
    </w:p>
    <w:p w14:paraId="7844C095" w14:textId="4189CCE3" w:rsidR="008F2C15" w:rsidRPr="008F2C15" w:rsidRDefault="008F2C15" w:rsidP="008F2C15">
      <w:pPr>
        <w:pStyle w:val="1"/>
        <w:spacing w:beforeLines="100" w:before="312" w:afterLines="100" w:after="312"/>
        <w:ind w:left="0" w:firstLine="0"/>
        <w:rPr>
          <w:rFonts w:hint="eastAsia"/>
          <w:lang w:val="en-GB"/>
        </w:rPr>
      </w:pPr>
      <w:r w:rsidRPr="008F2C15">
        <w:rPr>
          <w:rFonts w:hint="eastAsia"/>
          <w:lang w:val="en-GB"/>
        </w:rPr>
        <w:lastRenderedPageBreak/>
        <w:t>C</w:t>
      </w:r>
      <w:r w:rsidRPr="008F2C15">
        <w:rPr>
          <w:lang w:val="en-GB"/>
        </w:rPr>
        <w:t>onclusion</w:t>
      </w:r>
    </w:p>
    <w:sectPr w:rsidR="008F2C15" w:rsidRPr="008F2C15" w:rsidSect="004E3B38">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65707"/>
    <w:multiLevelType w:val="multilevel"/>
    <w:tmpl w:val="C0483C74"/>
    <w:lvl w:ilvl="0">
      <w:start w:val="1"/>
      <w:numFmt w:val="decimal"/>
      <w:pStyle w:val="1"/>
      <w:lvlText w:val="%1."/>
      <w:lvlJc w:val="left"/>
      <w:pPr>
        <w:ind w:left="360" w:hanging="360"/>
      </w:pPr>
      <w:rPr>
        <w:rFonts w:hint="default"/>
      </w:rPr>
    </w:lvl>
    <w:lvl w:ilvl="1">
      <w:start w:val="1"/>
      <w:numFmt w:val="decimal"/>
      <w:pStyle w:val="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34457990">
    <w:abstractNumId w:val="0"/>
  </w:num>
  <w:num w:numId="2" w16cid:durableId="1127309865">
    <w:abstractNumId w:val="0"/>
  </w:num>
  <w:num w:numId="3" w16cid:durableId="969363447">
    <w:abstractNumId w:val="0"/>
  </w:num>
  <w:num w:numId="4" w16cid:durableId="1389647998">
    <w:abstractNumId w:val="0"/>
  </w:num>
  <w:num w:numId="5" w16cid:durableId="1890804520">
    <w:abstractNumId w:val="0"/>
  </w:num>
  <w:num w:numId="6" w16cid:durableId="1076628865">
    <w:abstractNumId w:val="0"/>
  </w:num>
  <w:num w:numId="7" w16cid:durableId="1397439621">
    <w:abstractNumId w:val="0"/>
  </w:num>
  <w:num w:numId="8" w16cid:durableId="481506631">
    <w:abstractNumId w:val="0"/>
  </w:num>
  <w:num w:numId="9" w16cid:durableId="1873032313">
    <w:abstractNumId w:val="0"/>
  </w:num>
  <w:num w:numId="10" w16cid:durableId="319770129">
    <w:abstractNumId w:val="0"/>
  </w:num>
  <w:num w:numId="11" w16cid:durableId="1930769129">
    <w:abstractNumId w:val="0"/>
  </w:num>
  <w:num w:numId="12" w16cid:durableId="1707872415">
    <w:abstractNumId w:val="0"/>
  </w:num>
  <w:num w:numId="13" w16cid:durableId="546140057">
    <w:abstractNumId w:val="0"/>
  </w:num>
  <w:num w:numId="14" w16cid:durableId="1915695936">
    <w:abstractNumId w:val="0"/>
  </w:num>
  <w:num w:numId="15" w16cid:durableId="73748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96"/>
    <w:rsid w:val="00084886"/>
    <w:rsid w:val="000A6338"/>
    <w:rsid w:val="0012133D"/>
    <w:rsid w:val="00181841"/>
    <w:rsid w:val="001A1C9D"/>
    <w:rsid w:val="001B1543"/>
    <w:rsid w:val="001B66FC"/>
    <w:rsid w:val="001D60BA"/>
    <w:rsid w:val="002762D3"/>
    <w:rsid w:val="0037426A"/>
    <w:rsid w:val="003B392F"/>
    <w:rsid w:val="003E37AC"/>
    <w:rsid w:val="00410A30"/>
    <w:rsid w:val="0041324E"/>
    <w:rsid w:val="004E3B38"/>
    <w:rsid w:val="004E4044"/>
    <w:rsid w:val="00500C6E"/>
    <w:rsid w:val="00565CAB"/>
    <w:rsid w:val="00592C8A"/>
    <w:rsid w:val="005A70CA"/>
    <w:rsid w:val="00671605"/>
    <w:rsid w:val="0072611F"/>
    <w:rsid w:val="0077456F"/>
    <w:rsid w:val="007B4F51"/>
    <w:rsid w:val="007E6E11"/>
    <w:rsid w:val="008344BC"/>
    <w:rsid w:val="008C6227"/>
    <w:rsid w:val="008C7B69"/>
    <w:rsid w:val="008F2C15"/>
    <w:rsid w:val="00963DC4"/>
    <w:rsid w:val="00982253"/>
    <w:rsid w:val="009B3A96"/>
    <w:rsid w:val="00A47BC3"/>
    <w:rsid w:val="00B904BA"/>
    <w:rsid w:val="00B9316F"/>
    <w:rsid w:val="00C54301"/>
    <w:rsid w:val="00C55612"/>
    <w:rsid w:val="00C764BC"/>
    <w:rsid w:val="00D04FEA"/>
    <w:rsid w:val="00DC0928"/>
    <w:rsid w:val="00DE09E2"/>
    <w:rsid w:val="00DE48FE"/>
    <w:rsid w:val="00E25E30"/>
    <w:rsid w:val="00E51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6564"/>
  <w15:chartTrackingRefBased/>
  <w15:docId w15:val="{A1F4F2E1-8BAC-4203-87E9-2F8FB5CD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181841"/>
    <w:pPr>
      <w:ind w:firstLineChars="200" w:firstLine="420"/>
    </w:pPr>
  </w:style>
  <w:style w:type="paragraph" w:customStyle="1" w:styleId="1">
    <w:name w:val="标题1"/>
    <w:basedOn w:val="a3"/>
    <w:link w:val="10"/>
    <w:qFormat/>
    <w:rsid w:val="00181841"/>
    <w:pPr>
      <w:numPr>
        <w:numId w:val="1"/>
      </w:numPr>
      <w:spacing w:line="360" w:lineRule="auto"/>
      <w:ind w:firstLineChars="0"/>
    </w:pPr>
    <w:rPr>
      <w:rFonts w:ascii="Times New Roman" w:hAnsi="Times New Roman" w:cs="Times New Roman"/>
      <w:b/>
      <w:bCs/>
      <w:sz w:val="28"/>
      <w:szCs w:val="28"/>
    </w:rPr>
  </w:style>
  <w:style w:type="paragraph" w:customStyle="1" w:styleId="2">
    <w:name w:val="标题2"/>
    <w:basedOn w:val="a3"/>
    <w:link w:val="20"/>
    <w:qFormat/>
    <w:rsid w:val="00E5184D"/>
    <w:pPr>
      <w:numPr>
        <w:ilvl w:val="1"/>
        <w:numId w:val="1"/>
      </w:numPr>
      <w:spacing w:line="360" w:lineRule="auto"/>
      <w:ind w:firstLineChars="0"/>
    </w:pPr>
    <w:rPr>
      <w:rFonts w:ascii="Times New Roman" w:hAnsi="Times New Roman" w:cs="Times New Roman"/>
      <w:sz w:val="24"/>
      <w:szCs w:val="24"/>
    </w:rPr>
  </w:style>
  <w:style w:type="character" w:customStyle="1" w:styleId="a4">
    <w:name w:val="列表段落 字符"/>
    <w:basedOn w:val="a0"/>
    <w:link w:val="a3"/>
    <w:uiPriority w:val="34"/>
    <w:rsid w:val="00181841"/>
  </w:style>
  <w:style w:type="character" w:customStyle="1" w:styleId="10">
    <w:name w:val="标题1 字符"/>
    <w:basedOn w:val="a4"/>
    <w:link w:val="1"/>
    <w:rsid w:val="00181841"/>
    <w:rPr>
      <w:rFonts w:ascii="Times New Roman" w:hAnsi="Times New Roman" w:cs="Times New Roman"/>
      <w:b/>
      <w:bCs/>
      <w:sz w:val="28"/>
      <w:szCs w:val="28"/>
    </w:rPr>
  </w:style>
  <w:style w:type="character" w:customStyle="1" w:styleId="20">
    <w:name w:val="标题2 字符"/>
    <w:basedOn w:val="a4"/>
    <w:link w:val="2"/>
    <w:rsid w:val="00E518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6</Pages>
  <Words>1390</Words>
  <Characters>7929</Characters>
  <Application>Microsoft Office Word</Application>
  <DocSecurity>0</DocSecurity>
  <Lines>66</Lines>
  <Paragraphs>18</Paragraphs>
  <ScaleCrop>false</ScaleCrop>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浩驰 陈</dc:creator>
  <cp:keywords/>
  <dc:description/>
  <cp:lastModifiedBy>浩驰 陈</cp:lastModifiedBy>
  <cp:revision>20</cp:revision>
  <dcterms:created xsi:type="dcterms:W3CDTF">2023-03-21T14:40:00Z</dcterms:created>
  <dcterms:modified xsi:type="dcterms:W3CDTF">2023-04-01T22:04:00Z</dcterms:modified>
</cp:coreProperties>
</file>