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200"/>
        <w:jc w:val="center"/>
      </w:pPr>
      <w:r>
        <w:rPr>
          <w:rFonts w:ascii="Calibri" w:cs="Calibri" w:eastAsia="Calibri" w:hAnsi="Calibri"/>
          <w:b/>
          <w:bCs/>
          <w:color w:val="1B5E20"/>
          <w:sz w:val="80"/>
          <w:szCs w:val="80"/>
        </w:rPr>
        <w:t xml:space="preserve">CESIZEN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color w:val="2E7D32"/>
          <w:sz w:val="32"/>
          <w:szCs w:val="32"/>
        </w:rPr>
        <w:t xml:space="preserve">L'Application de Votre Santé Mentale</w:t>
      </w:r>
    </w:p>
    <w:p>
      <w:pPr>
        <w:shd w:fill="2E7D32" w:val="clear"/>
        <w:spacing w:after="200" w:before="600"/>
        <w:jc w:val="center"/>
      </w:pPr>
      <w:r>
        <w:rPr>
          <w:rFonts w:ascii="Calibri" w:cs="Calibri" w:eastAsia="Calibri" w:hAnsi="Calibri"/>
          <w:b/>
          <w:bCs/>
          <w:color w:val="FFFFFF"/>
          <w:sz w:val="40"/>
          <w:szCs w:val="40"/>
        </w:rPr>
        <w:t xml:space="preserve">PROCÉDURE DE VALIDATION</w:t>
      </w:r>
    </w:p>
    <w:p>
      <w:pPr>
        <w:shd w:fill="F57F17" w:val="clear"/>
        <w:spacing w:after="0" w:before="0"/>
        <w:jc w:val="center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et Modèle de PV de Recette</w:t>
      </w:r>
    </w:p>
    <w:p>
      <w:r>
        <w:rPr>
          <w:sz w:val="20"/>
          <w:szCs w:val="20"/>
        </w:rPr>
        <w:t xml:space="preserve"> </w:t>
      </w:r>
    </w:p>
    <w:p>
      <w:r>
        <w:rPr>
          <w:sz w:val="20"/>
          <w:szCs w:val="20"/>
        </w:rPr>
        <w:t xml:space="preserve"> </w:t>
      </w:r>
    </w:p>
    <w:p>
      <w:r>
        <w:rPr>
          <w:sz w:val="20"/>
          <w:szCs w:val="20"/>
        </w:rPr>
        <w:t xml:space="preserve"> 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Projet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CESIZen — Application de santé mentale</w:t>
            </w:r>
          </w:p>
        </w:tc>
      </w:tr>
      <w:tr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Auteur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Sam DEPARDIEU</w:t>
            </w:r>
          </w:p>
        </w:tc>
      </w:tr>
      <w:tr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Formation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Titre CDA — Concepteur Développeur d'Applications</w:t>
            </w:r>
          </w:p>
        </w:tc>
      </w:tr>
      <w:tr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20 mai 2026</w:t>
            </w:r>
          </w:p>
        </w:tc>
      </w:tr>
      <w:tr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Version document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1.1 (corrigée)</w:t>
            </w:r>
          </w:p>
        </w:tc>
      </w:tr>
      <w:tr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Référence cahier de tests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Cahier_de_Tests_CESIZen.docx  v1.1  (38 scénarios)</w:t>
            </w:r>
          </w:p>
        </w:tc>
      </w:tr>
    </w:tbl>
    <w:p>
      <w:r>
        <w:br w:type="page"/>
      </w:r>
    </w:p>
    <w:p>
      <w:pPr>
        <w:shd w:fill="2E7D32" w:val="clear"/>
        <w:spacing w:after="160" w:before="300"/>
        <w:ind w:lef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PARTIE 1 — PROCÉDURE DE VALIDATION</w:t>
      </w:r>
    </w:p>
    <w:p>
      <w:r>
        <w:rPr>
          <w:sz w:val="20"/>
          <w:szCs w:val="20"/>
        </w:rPr>
        <w:t xml:space="preserve"> </w:t>
      </w:r>
    </w:p>
    <w:p>
      <w:pPr>
        <w:pStyle w:val="Heading1"/>
      </w:pPr>
      <w:r>
        <w:rPr>
          <w:b/>
          <w:bCs/>
        </w:rPr>
        <w:t xml:space="preserve">1. Objectifs de la Procédure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La procédure de validation a pour objectif de garantir la conformité de l'application CESIZen livrée avec les spécifications fonctionnelles et techniques définies dans le cahier des charges. Elle structure les étapes à suivre pour organiser, conduire et conclure une séance de recette.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La procédure s'applique à chaque livraison majeure ou mineure de l'application et doit être exécutée avant toute mise en production.</w:t>
      </w:r>
    </w:p>
    <w:p>
      <w:pPr>
        <w:pStyle w:val="Heading1"/>
      </w:pPr>
      <w:r>
        <w:rPr>
          <w:b/>
          <w:bCs/>
        </w:rPr>
        <w:t xml:space="preserve">2. Périmètre et Acteurs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26"/>
      </w:tblGrid>
      <w:tr>
        <w:trPr>
          <w:tblHeader/>
        </w:trPr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388E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Acteur</w:t>
            </w:r>
          </w:p>
        </w:tc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388E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  <w:tc>
          <w:tcPr>
            <w:tcW w:type="dxa" w:w="4626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388E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Responsabilités</w:t>
            </w:r>
          </w:p>
        </w:tc>
      </w:tr>
      <w:tr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Chef de projet / Prestataire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Coordinateur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Planifie la recette, prépare les jeux de données, anime la séance, rédige le PV.</w:t>
            </w:r>
          </w:p>
        </w:tc>
      </w:tr>
      <w:tr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Équipe technique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Testeur technique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Exécute les tests unitaires et fonctionnels, corrige les anomalies identifiées.</w:t>
            </w:r>
          </w:p>
        </w:tc>
      </w:tr>
      <w:tr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Représentant Ministère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Recetteur / Décideur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Valide les résultats, signe le PV, prononce la décision finale d'acceptation.</w:t>
            </w:r>
          </w:p>
        </w:tc>
      </w:tr>
      <w:tr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Utilisateur final (panel)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Testeur fonctionnel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Réalise les parcours utilisateurs lors de la phase UAT (User Acceptance Testing).</w:t>
            </w:r>
          </w:p>
        </w:tc>
      </w:tr>
    </w:tbl>
    <w:p>
      <w:pPr>
        <w:pStyle w:val="Heading1"/>
      </w:pPr>
      <w:r>
        <w:rPr>
          <w:b/>
          <w:bCs/>
        </w:rPr>
        <w:t xml:space="preserve">3. Phases de Validation</w:t>
      </w:r>
    </w:p>
    <w:p>
      <w:r>
        <w:rPr>
          <w:sz w:val="20"/>
          <w:szCs w:val="20"/>
        </w:rPr>
        <w:t xml:space="preserve"> </w:t>
      </w:r>
    </w:p>
    <w:p>
      <w:pPr>
        <w:pStyle w:val="Heading2"/>
      </w:pPr>
      <w:r>
        <w:rPr>
          <w:b/>
          <w:bCs/>
        </w:rPr>
        <w:t xml:space="preserve">Phase A — Tests Unitaires &amp; Intégration (Développement)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Responsable : Équipe de développement.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Déclencheur : Avant tout merge de branche et avant chaque livraison.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Outil : PHPUnit / Pest — commande : php artisan test --coverage</w:t>
      </w:r>
    </w:p>
    <w:p>
      <w:r>
        <w:rPr>
          <w:sz w:val="20"/>
          <w:szCs w:val="20"/>
        </w:rPr>
        <w:t xml:space="preserve"> </w:t>
      </w:r>
    </w:p>
    <w:p>
      <w:pPr>
        <w:pBdr>
          <w:left w:val="single" w:color="F57F17" w:sz="12"/>
        </w:pBdr>
        <w:shd w:fill="FFF8E1" w:val="clear"/>
        <w:spacing w:after="120" w:before="120"/>
        <w:ind w:left="200" w:right="20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Critère de sortie : 100 % des 12 tests unitaires (TU-*) doivent être au statut PASSED. Aucune suite ne doit contenir de test FAILED ou ERROR.</w:t>
      </w:r>
    </w:p>
    <w:p>
      <w:r>
        <w:rPr>
          <w:sz w:val="20"/>
          <w:szCs w:val="20"/>
        </w:rPr>
        <w:t xml:space="preserve"> 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Étapes :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1. Mettre à jour les dépendances : composer install --no-dev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2. Configurer le fichier .env.testing (base SQLite ou MySQL de test).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3. Exécuter les migrations : php artisan migrate:fresh --seed --env=testing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4. Lancer la suite : php artisan test --env=testing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5. Vérifier que tous les cas TU-* du Cahier de Tests sont au statut PASSED.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6. Générer et archiver le rapport de couverture de code.</w:t>
      </w:r>
    </w:p>
    <w:p>
      <w:pPr>
        <w:pStyle w:val="Heading2"/>
      </w:pPr>
      <w:r>
        <w:rPr>
          <w:b/>
          <w:bCs/>
        </w:rPr>
        <w:t xml:space="preserve">Phase B — Recette Interne / Alpha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Responsable : Équipe technique + chef de projet.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Déclencheur : Après validation de la Phase A. Environnement de pré-production.</w:t>
      </w:r>
    </w:p>
    <w:p>
      <w:r>
        <w:rPr>
          <w:sz w:val="20"/>
          <w:szCs w:val="20"/>
        </w:rPr>
        <w:t xml:space="preserve"> </w:t>
      </w:r>
    </w:p>
    <w:p>
      <w:pPr>
        <w:pBdr>
          <w:left w:val="single" w:color="F57F17" w:sz="12"/>
        </w:pBdr>
        <w:shd w:fill="FFF8E1" w:val="clear"/>
        <w:spacing w:after="120" w:before="120"/>
        <w:ind w:left="200" w:right="20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Critère de sortie : Les 20 tests fonctionnels critiques (TF-*) sont validés. Aucune anomalie Bloquante ouverte.</w:t>
      </w:r>
    </w:p>
    <w:p>
      <w:r>
        <w:rPr>
          <w:sz w:val="20"/>
          <w:szCs w:val="20"/>
        </w:rPr>
        <w:t xml:space="preserve"> 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Parcours critiques à valider :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- Inscription et connexion d'un nouvel utilisateur (TF-CU-01, TF-CU-03).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- Navigation sur les pages d'information — vue 'welcome' (TF-INF-01, TF-INF-03).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- Exécution complète du questionnaire de stress et affichage du résultat (TF-DIAG-02).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- Enregistrement du diagnostic en base pour un utilisateur connecté (TF-DIAG-03).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- Consultation de l'historique des diagnostics (TF-DIAG-05).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- Modification du profil et du mot de passe (TF-CU-07, TF-CU-08).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- Suppression de compte avec confirmation par mot de passe (TF-CU-09).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- Déconnexion et vérification de la protection des routes (TF-CU-05, TF-CU-06).</w:t>
      </w:r>
    </w:p>
    <w:p>
      <w:pPr>
        <w:pStyle w:val="Heading2"/>
      </w:pPr>
      <w:r>
        <w:rPr>
          <w:b/>
          <w:bCs/>
        </w:rPr>
        <w:t xml:space="preserve">Phase C — Recette Utilisateur / UAT (Bêta)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Responsable : Représentant du Ministère + panel d'utilisateurs finaux.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Déclencheur : Après validation de la Phase B et signature du PV intermédiaire.</w:t>
      </w:r>
    </w:p>
    <w:p>
      <w:r>
        <w:rPr>
          <w:sz w:val="20"/>
          <w:szCs w:val="20"/>
        </w:rPr>
        <w:t xml:space="preserve"> </w:t>
      </w:r>
    </w:p>
    <w:p>
      <w:pPr>
        <w:pBdr>
          <w:left w:val="single" w:color="F57F17" w:sz="12"/>
        </w:pBdr>
        <w:shd w:fill="FFF8E1" w:val="clear"/>
        <w:spacing w:after="120" w:before="120"/>
        <w:ind w:left="200" w:right="20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Critère de sortie : Le représentant du Ministère signe le PV de recette. La décision d'acceptation est prononcée (avec ou sans réserves).</w:t>
      </w:r>
    </w:p>
    <w:p>
      <w:r>
        <w:rPr>
          <w:sz w:val="20"/>
          <w:szCs w:val="20"/>
        </w:rPr>
        <w:t xml:space="preserve"> 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Déroulement de la séance UAT :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1. Présentation de l'application et des objectifs de la recette (10 min).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2. Démonstration des fonctionnalités par le prestataire (15 min).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3. Exécution libre des parcours par les utilisateurs, guidés par les 38 scénarios du Cahier de Tests (30 min).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4. Collecte et qualification des anomalies identifiées.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5. Restitution et décision de validation (15 min).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6. Signature du PV de recette.</w:t>
      </w:r>
    </w:p>
    <w:p>
      <w:pPr>
        <w:pStyle w:val="Heading1"/>
      </w:pPr>
      <w:r>
        <w:rPr>
          <w:b/>
          <w:bCs/>
        </w:rPr>
        <w:t xml:space="preserve">4. Gestion des Anomalies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1500"/>
        <w:gridCol w:w="3026"/>
      </w:tblGrid>
      <w:tr>
        <w:trPr>
          <w:tblHeader/>
        </w:trPr>
        <w:tc>
          <w:tcPr>
            <w:tcW w:type="dxa" w:w="1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388E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Sévérité</w:t>
            </w:r>
          </w:p>
        </w:tc>
        <w:tc>
          <w:tcPr>
            <w:tcW w:type="dxa" w:w="3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388E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Définition</w:t>
            </w:r>
          </w:p>
        </w:tc>
        <w:tc>
          <w:tcPr>
            <w:tcW w:type="dxa" w:w="1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388E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Délai correction</w:t>
            </w:r>
          </w:p>
        </w:tc>
        <w:tc>
          <w:tcPr>
            <w:tcW w:type="dxa" w:w="3026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388E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Condition d'acceptation</w:t>
            </w:r>
          </w:p>
        </w:tc>
      </w:tr>
      <w:tr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Bloquante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Fonctionnalité clé inutilisable. Aucun contournement possible.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 h ouvrées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Refus de livraison. Correction obligatoire avant toute validation.</w:t>
            </w:r>
          </w:p>
        </w:tc>
      </w:tr>
      <w:tr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Majeure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Fonctionnement dégradé. Contournement possible mais usage pénalisé.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16 h ouvrées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Validation avec réserve. Correction planifiée avec délai contractuel.</w:t>
            </w:r>
          </w:p>
        </w:tc>
      </w:tr>
      <w:tr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Mineure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Problème cosmétique ou ergonomique. Usage non impacté.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40 h ouvrées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Validation sans réserve. Correction lors de la prochaine itération.</w:t>
            </w:r>
          </w:p>
        </w:tc>
      </w:tr>
    </w:tbl>
    <w:p>
      <w:pPr>
        <w:pStyle w:val="Heading1"/>
      </w:pPr>
      <w:r>
        <w:rPr>
          <w:b/>
          <w:bCs/>
        </w:rPr>
        <w:t xml:space="preserve">5. Critères d'Acceptation Globaux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Le projet CESIZen est considéré comme validé et accepté si toutes les conditions suivantes sont réunies :</w:t>
      </w:r>
    </w:p>
    <w:p>
      <w:r>
        <w:rPr>
          <w:sz w:val="20"/>
          <w:szCs w:val="20"/>
        </w:rPr>
        <w:t xml:space="preserve"> 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[  ]  100 % des 12 cas de tests unitaires (TU-*) sont au statut PASSED.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[  ]  100 % des 20 cas de tests fonctionnels critiques (TF-*) sont au statut PASSED.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[  ]  100 % des 6 tests de non-régression (TNR-*) sont au statut PASSED.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[  ]  0 anomalie de sévérité Bloquante ouverte à la clôture de la recette.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[  ]  0 anomalie de sévérité Majeure non planifiée ouverte.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[  ]  Le PV de recette est signé par le représentant du Ministère.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[  ]  La documentation technique (MLD, comparatif, guide d'installation) est fournie et conforme.</w:t>
      </w:r>
    </w:p>
    <w:p>
      <w:r>
        <w:br w:type="page"/>
      </w:r>
    </w:p>
    <w:p>
      <w:pPr>
        <w:shd w:fill="2E7D32" w:val="clear"/>
        <w:spacing w:after="160" w:before="300"/>
        <w:ind w:lef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PARTIE 2 — MODÈLE DE PROCÈS-VERBAL DE RECETTE</w:t>
      </w:r>
    </w:p>
    <w:p>
      <w:r>
        <w:rPr>
          <w:sz w:val="20"/>
          <w:szCs w:val="20"/>
        </w:rPr>
        <w:t xml:space="preserve"> </w:t>
      </w:r>
    </w:p>
    <w:p>
      <w:pPr>
        <w:pBdr>
          <w:left w:val="single" w:color="F57F17" w:sz="12"/>
        </w:pBdr>
        <w:shd w:fill="FFF8E1" w:val="clear"/>
        <w:spacing w:after="120" w:before="120"/>
        <w:ind w:left="200" w:right="20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Ce document est un modèle à compléter lors de chaque séance de recette officielle. Les champs entre crochets [  ] sont à renseigner par les acteurs concernés.</w:t>
      </w:r>
    </w:p>
    <w:p>
      <w:r>
        <w:rPr>
          <w:sz w:val="20"/>
          <w:szCs w:val="20"/>
        </w:rPr>
        <w:t xml:space="preserve"> </w:t>
      </w:r>
    </w:p>
    <w:p>
      <w:r>
        <w:rPr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Projet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CESIZen — Application de santé mentale</w:t>
            </w:r>
          </w:p>
        </w:tc>
      </w:tr>
      <w:tr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Version livrée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757575"/>
                <w:sz w:val="20"/>
                <w:szCs w:val="20"/>
              </w:rPr>
              <w:t xml:space="preserve">[Numéro de version — ex. 1.0.0]</w:t>
            </w:r>
          </w:p>
        </w:tc>
      </w:tr>
      <w:tr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Date de la séance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757575"/>
                <w:sz w:val="20"/>
                <w:szCs w:val="20"/>
              </w:rPr>
              <w:t xml:space="preserve">[JJ/MM/AAAA]</w:t>
            </w:r>
          </w:p>
        </w:tc>
      </w:tr>
      <w:tr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Lieu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757575"/>
                <w:sz w:val="20"/>
                <w:szCs w:val="20"/>
              </w:rPr>
              <w:t xml:space="preserve">[Lieu ou lien visioconférence]</w:t>
            </w:r>
          </w:p>
        </w:tc>
      </w:tr>
      <w:tr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Référence du PV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PV-RECETTE-CESIZEN-[NUM]</w:t>
            </w:r>
          </w:p>
        </w:tc>
      </w:tr>
    </w:tbl>
    <w:p>
      <w:r>
        <w:rPr>
          <w:sz w:val="20"/>
          <w:szCs w:val="20"/>
        </w:rPr>
        <w:t xml:space="preserve"> </w:t>
      </w:r>
    </w:p>
    <w:p>
      <w:pPr>
        <w:pStyle w:val="Heading1"/>
      </w:pPr>
      <w:r>
        <w:rPr>
          <w:b/>
          <w:bCs/>
        </w:rPr>
        <w:t xml:space="preserve">1. Participants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426"/>
      </w:tblGrid>
      <w:tr>
        <w:trPr>
          <w:tblHeader/>
        </w:trPr>
        <w:tc>
          <w:tcPr>
            <w:tcW w:type="dxa" w:w="2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388E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Nom</w:t>
            </w:r>
          </w:p>
        </w:tc>
        <w:tc>
          <w:tcPr>
            <w:tcW w:type="dxa" w:w="2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388E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Qualité / Rôle</w:t>
            </w:r>
          </w:p>
        </w:tc>
        <w:tc>
          <w:tcPr>
            <w:tcW w:type="dxa" w:w="3426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388E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</w:tr>
      <w:tr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757575"/>
                <w:sz w:val="20"/>
                <w:szCs w:val="20"/>
              </w:rPr>
              <w:t xml:space="preserve">[Nom Prénom]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Responsable technique (Prestataire)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757575"/>
                <w:sz w:val="20"/>
                <w:szCs w:val="20"/>
              </w:rPr>
              <w:t xml:space="preserve">[Nom Prénom]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Représentant client (Ministère)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757575"/>
                <w:sz w:val="20"/>
                <w:szCs w:val="20"/>
              </w:rPr>
              <w:t xml:space="preserve">[Nom Prénom]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Testeur(s) interne(s)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757575"/>
                <w:sz w:val="20"/>
                <w:szCs w:val="20"/>
              </w:rPr>
              <w:t xml:space="preserve">[Nom Prénom]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Observateurs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pStyle w:val="Heading1"/>
      </w:pPr>
      <w:r>
        <w:rPr>
          <w:b/>
          <w:bCs/>
        </w:rPr>
        <w:t xml:space="preserve">2. Synthèse des Tests Exécutés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6"/>
        <w:gridCol w:w="1506"/>
        <w:gridCol w:w="2514"/>
      </w:tblGrid>
      <w:tr>
        <w:trPr>
          <w:tblHeader/>
        </w:trPr>
        <w:tc>
          <w:tcPr>
            <w:tcW w:type="dxa" w:w="3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388E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Critère</w:t>
            </w:r>
          </w:p>
        </w:tc>
        <w:tc>
          <w:tcPr>
            <w:tcW w:type="dxa" w:w="1506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388E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Prévu</w:t>
            </w:r>
          </w:p>
        </w:tc>
        <w:tc>
          <w:tcPr>
            <w:tcW w:type="dxa" w:w="1506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388E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Exécuté</w:t>
            </w:r>
          </w:p>
        </w:tc>
        <w:tc>
          <w:tcPr>
            <w:tcW w:type="dxa" w:w="2514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388E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Commentaire</w:t>
            </w:r>
          </w:p>
        </w:tc>
      </w:tr>
      <w:tr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Cas de tests prévus (total)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38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757575"/>
                <w:sz w:val="20"/>
                <w:szCs w:val="20"/>
              </w:rPr>
              <w:t xml:space="preserve">[X]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Tests Unitaires (TU-*)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757575"/>
                <w:sz w:val="20"/>
                <w:szCs w:val="20"/>
              </w:rPr>
              <w:t xml:space="preserve">[X]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Tests Fonctionnels (TF-*)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757575"/>
                <w:sz w:val="20"/>
                <w:szCs w:val="20"/>
              </w:rPr>
              <w:t xml:space="preserve">[X]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Tests de Non-Régression (TNR-*)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757575"/>
                <w:sz w:val="20"/>
                <w:szCs w:val="20"/>
              </w:rPr>
              <w:t xml:space="preserve">[X]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Tests validés — statut PASSED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757575"/>
                <w:sz w:val="20"/>
                <w:szCs w:val="20"/>
              </w:rPr>
              <w:t xml:space="preserve">[X]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Tests en échec — statut FAILED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757575"/>
                <w:sz w:val="20"/>
                <w:szCs w:val="20"/>
              </w:rPr>
              <w:t xml:space="preserve">[X]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Tests non exécutés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757575"/>
                <w:sz w:val="20"/>
                <w:szCs w:val="20"/>
              </w:rPr>
              <w:t xml:space="preserve">[X]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</w:pPr>
      <w:r>
        <w:rPr>
          <w:b/>
          <w:bCs/>
        </w:rPr>
        <w:t xml:space="preserve">3. Résultats par Module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1800"/>
        <w:gridCol w:w="2926"/>
      </w:tblGrid>
      <w:tr>
        <w:trPr>
          <w:tblHeader/>
        </w:trPr>
        <w:tc>
          <w:tcPr>
            <w:tcW w:type="dxa" w:w="2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388E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1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388E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Nb tests</w:t>
            </w:r>
          </w:p>
        </w:tc>
        <w:tc>
          <w:tcPr>
            <w:tcW w:type="dxa" w:w="1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388E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Validés</w:t>
            </w:r>
          </w:p>
        </w:tc>
        <w:tc>
          <w:tcPr>
            <w:tcW w:type="dxa" w:w="2926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388E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Statut global</w:t>
            </w:r>
          </w:p>
        </w:tc>
      </w:tr>
      <w:tr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Comptes utilisateurs (Obligatoire)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757575"/>
                <w:sz w:val="20"/>
                <w:szCs w:val="20"/>
              </w:rPr>
              <w:t xml:space="preserve">[X]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757575"/>
                <w:sz w:val="20"/>
                <w:szCs w:val="20"/>
              </w:rPr>
              <w:t xml:space="preserve">[  ] PASSÉ   [  ] ÉCHEC</w:t>
            </w:r>
          </w:p>
        </w:tc>
      </w:tr>
      <w:tr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Informations (Obligatoire)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757575"/>
                <w:sz w:val="20"/>
                <w:szCs w:val="20"/>
              </w:rPr>
              <w:t xml:space="preserve">[X]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757575"/>
                <w:sz w:val="20"/>
                <w:szCs w:val="20"/>
              </w:rPr>
              <w:t xml:space="preserve">[  ] PASSÉ   [  ] ÉCHEC</w:t>
            </w:r>
          </w:p>
        </w:tc>
      </w:tr>
      <w:tr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Diagnostics (Facultatif)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757575"/>
                <w:sz w:val="20"/>
                <w:szCs w:val="20"/>
              </w:rPr>
              <w:t xml:space="preserve">[X]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757575"/>
                <w:sz w:val="20"/>
                <w:szCs w:val="20"/>
              </w:rPr>
              <w:t xml:space="preserve">[  ] PASSÉ   [  ] ÉCHEC</w:t>
            </w:r>
          </w:p>
        </w:tc>
      </w:tr>
    </w:tbl>
    <w:p>
      <w:pPr>
        <w:pStyle w:val="Heading1"/>
      </w:pPr>
      <w:r>
        <w:rPr>
          <w:b/>
          <w:bCs/>
        </w:rPr>
        <w:t xml:space="preserve">4. Liste des Anomalies Identifiées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1300"/>
        <w:gridCol w:w="1300"/>
        <w:gridCol w:w="3226"/>
      </w:tblGrid>
      <w:tr>
        <w:trPr>
          <w:tblHeader/>
        </w:trPr>
        <w:tc>
          <w:tcPr>
            <w:tcW w:type="dxa" w:w="7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388E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388E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Titre / Description</w:t>
            </w:r>
          </w:p>
        </w:tc>
        <w:tc>
          <w:tcPr>
            <w:tcW w:type="dxa" w:w="13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388E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Sévérité</w:t>
            </w:r>
          </w:p>
        </w:tc>
        <w:tc>
          <w:tcPr>
            <w:tcW w:type="dxa" w:w="13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388E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  <w:tc>
          <w:tcPr>
            <w:tcW w:type="dxa" w:w="3226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388E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 corrective</w:t>
            </w:r>
          </w:p>
        </w:tc>
      </w:tr>
      <w:tr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757575"/>
                <w:sz w:val="20"/>
                <w:szCs w:val="20"/>
              </w:rPr>
              <w:t xml:space="preserve">001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757575"/>
                <w:sz w:val="20"/>
                <w:szCs w:val="20"/>
              </w:rPr>
              <w:t xml:space="preserve">[Description de l'anomalie]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757575"/>
                <w:sz w:val="20"/>
                <w:szCs w:val="20"/>
              </w:rPr>
              <w:t xml:space="preserve">[Bloquante / Majeure / Mineure]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757575"/>
                <w:sz w:val="20"/>
                <w:szCs w:val="20"/>
              </w:rPr>
              <w:t xml:space="preserve">[Ouvert / Résolu / Différé]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757575"/>
                <w:sz w:val="20"/>
                <w:szCs w:val="20"/>
              </w:rPr>
              <w:t xml:space="preserve">[Action, responsable, délai]</w:t>
            </w:r>
          </w:p>
        </w:tc>
      </w:tr>
      <w:tr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757575"/>
                <w:sz w:val="20"/>
                <w:szCs w:val="20"/>
              </w:rPr>
              <w:t xml:space="preserve">002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757575"/>
                <w:sz w:val="20"/>
                <w:szCs w:val="20"/>
              </w:rPr>
              <w:t xml:space="preserve">[Description de l'anomalie]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757575"/>
                <w:sz w:val="20"/>
                <w:szCs w:val="20"/>
              </w:rPr>
              <w:t xml:space="preserve">[Bloquante / Majeure / Mineure]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757575"/>
                <w:sz w:val="20"/>
                <w:szCs w:val="20"/>
              </w:rPr>
              <w:t xml:space="preserve">[Ouvert / Résolu / Différé]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757575"/>
                <w:sz w:val="20"/>
                <w:szCs w:val="20"/>
              </w:rPr>
              <w:t xml:space="preserve">[Action, responsable, délai]</w:t>
            </w:r>
          </w:p>
        </w:tc>
      </w:tr>
      <w:tr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757575"/>
                <w:sz w:val="20"/>
                <w:szCs w:val="20"/>
              </w:rPr>
              <w:t xml:space="preserve">003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757575"/>
                <w:sz w:val="20"/>
                <w:szCs w:val="20"/>
              </w:rPr>
              <w:t xml:space="preserve">[Description de l'anomalie]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757575"/>
                <w:sz w:val="20"/>
                <w:szCs w:val="20"/>
              </w:rPr>
              <w:t xml:space="preserve">[Bloquante / Majeure / Mineure]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757575"/>
                <w:sz w:val="20"/>
                <w:szCs w:val="20"/>
              </w:rPr>
              <w:t xml:space="preserve">[Ouvert / Résolu / Différé]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757575"/>
                <w:sz w:val="20"/>
                <w:szCs w:val="20"/>
              </w:rPr>
              <w:t xml:space="preserve">[Action, responsable, délai]</w:t>
            </w:r>
          </w:p>
        </w:tc>
      </w:tr>
    </w:tbl>
    <w:p>
      <w:r>
        <w:rPr>
          <w:sz w:val="20"/>
          <w:szCs w:val="20"/>
        </w:rPr>
        <w:t xml:space="preserve"> </w:t>
      </w:r>
    </w:p>
    <w:p>
      <w:pPr>
        <w:pBdr>
          <w:left w:val="single" w:color="F57F17" w:sz="12"/>
        </w:pBdr>
        <w:shd w:fill="FFF8E1" w:val="clear"/>
        <w:spacing w:after="120" w:before="120"/>
        <w:ind w:left="200" w:right="20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Ajouter autant de lignes que nécessaire. Numérotation séquentielle (001, 002, ...).</w:t>
      </w:r>
    </w:p>
    <w:p>
      <w:pPr>
        <w:pStyle w:val="Heading1"/>
      </w:pPr>
      <w:r>
        <w:rPr>
          <w:b/>
          <w:bCs/>
        </w:rPr>
        <w:t xml:space="preserve">5. Vérification des Critères d'Acceptation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26"/>
        <w:gridCol w:w="1500"/>
        <w:gridCol w:w="2000"/>
      </w:tblGrid>
      <w:tr>
        <w:trPr>
          <w:tblHeader/>
        </w:trPr>
        <w:tc>
          <w:tcPr>
            <w:tcW w:type="dxa" w:w="5526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388E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Critère d'acceptation</w:t>
            </w:r>
          </w:p>
        </w:tc>
        <w:tc>
          <w:tcPr>
            <w:tcW w:type="dxa" w:w="1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388E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  <w:tc>
          <w:tcPr>
            <w:tcW w:type="dxa" w:w="2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388E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Commentaire</w:t>
            </w:r>
          </w:p>
        </w:tc>
      </w:tr>
      <w:tr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100 % des 12 tests unitaires (TU-*) au statut PASSED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757575"/>
                <w:sz w:val="20"/>
                <w:szCs w:val="20"/>
              </w:rPr>
              <w:t xml:space="preserve">[  ] OUI   [  ] NON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100 % des 20 tests fonctionnels critiques (TF-*) au statut PASSED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757575"/>
                <w:sz w:val="20"/>
                <w:szCs w:val="20"/>
              </w:rPr>
              <w:t xml:space="preserve">[  ] OUI   [  ] NON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100 % des 6 tests de non-régression (TNR-*) au statut PASSED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757575"/>
                <w:sz w:val="20"/>
                <w:szCs w:val="20"/>
              </w:rPr>
              <w:t xml:space="preserve">[  ] OUI   [  ] NON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 anomalie Bloquante ouverte en fin de séance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757575"/>
                <w:sz w:val="20"/>
                <w:szCs w:val="20"/>
              </w:rPr>
              <w:t xml:space="preserve">[  ] OUI   [  ] NON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 anomalie Majeure non planifiée ouverte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757575"/>
                <w:sz w:val="20"/>
                <w:szCs w:val="20"/>
              </w:rPr>
              <w:t xml:space="preserve">[  ] OUI   [  ] NON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Documentation technique complète et livrée (MLD, comparatif, guide)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757575"/>
                <w:sz w:val="20"/>
                <w:szCs w:val="20"/>
              </w:rPr>
              <w:t xml:space="preserve">[  ] OUI   [  ] NON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Guide d'installation vérifié et fonctionnel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757575"/>
                <w:sz w:val="20"/>
                <w:szCs w:val="20"/>
              </w:rPr>
              <w:t xml:space="preserve">[  ] OUI   [  ] NON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pStyle w:val="Heading1"/>
      </w:pPr>
      <w:r>
        <w:rPr>
          <w:b/>
          <w:bCs/>
        </w:rPr>
        <w:t xml:space="preserve">6. Décision Finale</w:t>
      </w:r>
    </w:p>
    <w:p>
      <w:r>
        <w:rPr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C8E6C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[  ]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C8E6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VALIDÉE SANS RÉSERVE — Le produit est conforme aux spécifications. La mise en production est autorisée immédiatement.</w:t>
            </w:r>
          </w:p>
        </w:tc>
      </w:tr>
      <w:tr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8E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[  ]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8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VALIDÉE AVEC RÉSERVES — Le produit est accepté sous condition de correction des anomalies listées dans le délai imparti. Les anomalies majeures font l'objet d'un suivi contractuel.</w:t>
            </w:r>
          </w:p>
        </w:tc>
      </w:tr>
      <w:tr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EB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[  ]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EB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REFUSÉE — Le produit présente des anomalies bloquantes empêchant son exploitation. Une nouvelle séance de recette sera planifiée après correction.</w:t>
            </w:r>
          </w:p>
        </w:tc>
      </w:tr>
    </w:tbl>
    <w:p>
      <w:r>
        <w:rPr>
          <w:sz w:val="20"/>
          <w:szCs w:val="20"/>
        </w:rPr>
        <w:t xml:space="preserve"> 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Commentaires libres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80"/>
              <w:left w:type="dxa" w:w="120"/>
              <w:bottom w:type="dxa" w:w="2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r>
        <w:rPr>
          <w:sz w:val="20"/>
          <w:szCs w:val="20"/>
        </w:rPr>
        <w:t xml:space="preserve"> </w:t>
      </w:r>
    </w:p>
    <w:p>
      <w:pPr>
        <w:pStyle w:val="Heading1"/>
      </w:pPr>
      <w:r>
        <w:rPr>
          <w:b/>
          <w:bCs/>
        </w:rPr>
        <w:t xml:space="preserve">7. Signatures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Pour l'Équipe Projet (Prestataire)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Pour le Client (Ministère de la Santé)</w:t>
            </w:r>
          </w:p>
        </w:tc>
      </w:tr>
      <w:tr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Nom :  ___________________________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Nom :  ___________________________</w:t>
            </w:r>
          </w:p>
        </w:tc>
      </w:tr>
      <w:tr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Fonction :  ___________________________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Fonction :  ___________________________</w:t>
            </w:r>
          </w:p>
        </w:tc>
      </w:tr>
      <w:tr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Date :  ___________________________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Date :  ___________________________</w:t>
            </w:r>
          </w:p>
        </w:tc>
      </w:tr>
      <w:tr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Signature :  ___________________________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Signature :  ___________________________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D32" w:sz="6"/>
      </w:pBdr>
      <w:spacing w:before="100"/>
      <w:jc w:val="center"/>
    </w:pPr>
    <w:r>
      <w:rPr>
        <w:rFonts w:ascii="Calibri" w:cs="Calibri" w:eastAsia="Calibri" w:hAnsi="Calibri"/>
        <w:color w:val="757575"/>
        <w:sz w:val="18"/>
        <w:szCs w:val="18"/>
      </w:rPr>
      <w:t xml:space="preserve">Page </w:t>
    </w:r>
    <w:r>
      <w:rPr>
        <w:rFonts w:ascii="Calibri" w:cs="Calibri" w:eastAsia="Calibri" w:hAnsi="Calibri"/>
        <w:color w:val="75757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757575"/>
        <w:sz w:val="18"/>
        <w:szCs w:val="18"/>
      </w:rPr>
      <w:t xml:space="preserve"> / </w:t>
    </w:r>
    <w:r>
      <w:rPr>
        <w:rFonts w:ascii="Calibri" w:cs="Calibri" w:eastAsia="Calibri" w:hAnsi="Calibri"/>
        <w:color w:val="757575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Calibri" w:cs="Calibri" w:eastAsia="Calibri" w:hAnsi="Calibri"/>
        <w:color w:val="757575"/>
        <w:sz w:val="18"/>
        <w:szCs w:val="18"/>
      </w:rPr>
      <w:t xml:space="preserve">     —     Sam DEPARDIEU — CDA 2024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D32" w:sz="6"/>
      </w:pBdr>
      <w:spacing w:after="100"/>
    </w:pPr>
    <w:r>
      <w:rPr>
        <w:rFonts w:ascii="Calibri" w:cs="Calibri" w:eastAsia="Calibri" w:hAnsi="Calibri"/>
        <w:b/>
        <w:bCs/>
        <w:color w:val="1B5E20"/>
        <w:sz w:val="20"/>
        <w:szCs w:val="20"/>
      </w:rPr>
      <w:t xml:space="preserve">CESIZen — Procédure de Validation &amp; PV de Recette  v1.1</w:t>
    </w:r>
    <w:r>
      <w:rPr>
        <w:rFonts w:ascii="Calibri" w:cs="Calibri" w:eastAsia="Calibri" w:hAnsi="Calibri"/>
        <w:color w:val="757575"/>
        <w:sz w:val="18"/>
        <w:szCs w:val="18"/>
      </w:rPr>
      <w:t xml:space="preserve">     |     Bloc 2 — Activité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Calibri" w:cs="Calibri" w:eastAsia="Calibri" w:hAnsi="Calibri"/>
      <w:b/>
      <w:bCs/>
      <w:color w:val="1B5E2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Calibri" w:cs="Calibri" w:eastAsia="Calibri" w:hAnsi="Calibri"/>
      <w:b/>
      <w:bCs/>
      <w:color w:val="2E7D3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2026-05-20T12:15:43.980Z</dcterms:created>
  <dcterms:modified xsi:type="dcterms:W3CDTF">2026-05-20T12:15:43.984Z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