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Evaluating Retrieval Strategies for Codebase Question Answering</w:t>
      </w:r>
    </w:p>
    <w:p>
      <w:pPr>
        <w:spacing w:after="40"/>
      </w:pPr>
      <w:r>
        <w:rPr>
          <w:i/>
          <w:iCs/>
          <w:color w:val="595959"/>
          <w:sz w:val="24"/>
          <w:szCs w:val="24"/>
        </w:rPr>
        <w:t xml:space="preserve">A RAG system built around a measurement harness, not the other way round</w:t>
      </w:r>
    </w:p>
    <w:p>
      <w:pPr>
        <w:pBdr>
          <w:bottom w:val="single" w:color="CCCCCC" w:sz="6" w:space="1"/>
        </w:pBdr>
        <w:spacing w:after="180" w:before="60"/>
      </w:pPr>
      <w:r>
        <w:rPr>
          <w:sz w:val="2"/>
          <w:szCs w:val="2"/>
        </w:rPr>
        <w:t xml:space="preserve"/>
      </w:r>
    </w:p>
    <w:p>
      <w:pPr>
        <w:spacing w:after="160" w:line="276"/>
      </w:pPr>
      <w:r>
        <w:rPr>
          <w:sz w:val="22"/>
          <w:szCs w:val="22"/>
        </w:rPr>
        <w:t xml:space="preserve">Most retrieval-augmented generation projects stop at "it answers questions." This one starts there and asks the harder question: how would you know if it were any good? The system answers questions about a real production codebase, the Python requests library, and every design decision in it was made against a hand-built evaluation set rather than by inspection of a few cherry-picked outputs.</w:t>
      </w:r>
    </w:p>
    <w:p>
      <w:pPr>
        <w:spacing w:after="200" w:line="276"/>
      </w:pPr>
      <w:r>
        <w:rPr>
          <w:sz w:val="22"/>
          <w:szCs w:val="22"/>
        </w:rPr>
        <w:t xml:space="preserve">Eight retrieval and generation configurations were built and measured against the same evaluation set, now 36 questions. Several of them made things worse before they made things better. Those are documented here alongside the ones that worked, because the failures turned out to be the more instructive half of the project. In one case, a conclusion reached earlier in this project was later found to be wrong and is corrected below rather than quietly dropped.</w:t>
      </w:r>
    </w:p>
    <w:p>
      <w:pPr>
        <w:pStyle w:val="Heading1"/>
        <w:spacing w:after="160" w:before="360"/>
      </w:pPr>
      <w:r>
        <w:rPr>
          <w:b/>
          <w:bCs/>
          <w:color w:val="1A1A1A"/>
          <w:sz w:val="30"/>
          <w:szCs w:val="30"/>
        </w:rPr>
        <w:t xml:space="preserve">Headline results</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680"/>
        <w:gridCol w:w="2340"/>
        <w:gridCol w:w="2340"/>
      </w:tblGrid>
      <w:tr>
        <w:trPr>
          <w:tblHeader/>
        </w:trPr>
        <w:tc>
          <w:tcPr>
            <w:tcW w:type="dxa" w:w="4680"/>
            <w:shd w:fill="F2F2F2" w:color="auto" w:val="clear"/>
            <w:tcMar>
              <w:top w:type="dxa" w:w="80"/>
              <w:left w:type="dxa" w:w="120"/>
              <w:bottom w:type="dxa" w:w="80"/>
              <w:right w:type="dxa" w:w="120"/>
            </w:tcMar>
          </w:tcPr>
          <w:p>
            <w:pPr>
              <w:spacing w:after="0"/>
            </w:pPr>
            <w:r>
              <w:rPr>
                <w:b/>
                <w:bCs/>
                <w:sz w:val="21"/>
                <w:szCs w:val="21"/>
              </w:rPr>
              <w:t xml:space="preserve">Metric</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Result</w:t>
            </w:r>
          </w:p>
        </w:tc>
        <w:tc>
          <w:tcPr>
            <w:tcW w:type="dxa" w:w="2340"/>
            <w:shd w:fill="F2F2F2" w:color="auto" w:val="clear"/>
            <w:tcMar>
              <w:top w:type="dxa" w:w="80"/>
              <w:left w:type="dxa" w:w="120"/>
              <w:bottom w:type="dxa" w:w="80"/>
              <w:right w:type="dxa" w:w="120"/>
            </w:tcMar>
          </w:tcPr>
          <w:p>
            <w:pPr>
              <w:spacing w:after="0"/>
              <w:jc w:val="center"/>
            </w:pPr>
            <w:r>
              <w:rPr>
                <w:b/>
                <w:bCs/>
                <w:sz w:val="21"/>
                <w:szCs w:val="21"/>
              </w:rPr>
              <w:t xml:space="preserve">Baseline</w:t>
            </w:r>
          </w:p>
        </w:tc>
      </w:tr>
      <w:tr>
        <w:tc>
          <w:tcPr>
            <w:tcW w:type="dxa" w:w="4680"/>
            <w:tcMar>
              <w:top w:type="dxa" w:w="80"/>
              <w:left w:type="dxa" w:w="120"/>
              <w:bottom w:type="dxa" w:w="80"/>
              <w:right w:type="dxa" w:w="120"/>
            </w:tcMar>
          </w:tcPr>
          <w:p>
            <w:pPr>
              <w:spacing w:after="0"/>
            </w:pPr>
            <w:r>
              <w:rPr>
                <w:sz w:val="21"/>
                <w:szCs w:val="21"/>
              </w:rPr>
              <w:t xml:space="preserve">Retrieval accuracy, function-aware chunking (36 questions)</w:t>
            </w:r>
          </w:p>
        </w:tc>
        <w:tc>
          <w:tcPr>
            <w:tcW w:type="dxa" w:w="2340"/>
            <w:tcMar>
              <w:top w:type="dxa" w:w="80"/>
              <w:left w:type="dxa" w:w="120"/>
              <w:bottom w:type="dxa" w:w="80"/>
              <w:right w:type="dxa" w:w="120"/>
            </w:tcMar>
          </w:tcPr>
          <w:p>
            <w:pPr>
              <w:spacing w:after="0"/>
              <w:jc w:val="center"/>
            </w:pPr>
            <w:r>
              <w:rPr>
                <w:b/>
                <w:bCs/>
                <w:sz w:val="21"/>
                <w:szCs w:val="21"/>
              </w:rPr>
              <w:t xml:space="preserve">90.00%</w:t>
            </w:r>
          </w:p>
        </w:tc>
        <w:tc>
          <w:tcPr>
            <w:tcW w:type="dxa" w:w="2340"/>
            <w:tcMar>
              <w:top w:type="dxa" w:w="80"/>
              <w:left w:type="dxa" w:w="120"/>
              <w:bottom w:type="dxa" w:w="80"/>
              <w:right w:type="dxa" w:w="120"/>
            </w:tcMar>
          </w:tcPr>
          <w:p>
            <w:pPr>
              <w:spacing w:after="0"/>
              <w:jc w:val="center"/>
            </w:pPr>
            <w:r>
              <w:rPr>
                <w:color w:val="808080"/>
                <w:sz w:val="21"/>
                <w:szCs w:val="21"/>
              </w:rPr>
              <w:t xml:space="preserve">75.00%*</w:t>
            </w:r>
          </w:p>
        </w:tc>
      </w:tr>
      <w:tr>
        <w:tc>
          <w:tcPr>
            <w:tcW w:type="dxa" w:w="4680"/>
            <w:tcMar>
              <w:top w:type="dxa" w:w="80"/>
              <w:left w:type="dxa" w:w="120"/>
              <w:bottom w:type="dxa" w:w="80"/>
              <w:right w:type="dxa" w:w="120"/>
            </w:tcMar>
          </w:tcPr>
          <w:p>
            <w:pPr>
              <w:spacing w:after="0"/>
            </w:pPr>
            <w:r>
              <w:rPr>
                <w:sz w:val="21"/>
                <w:szCs w:val="21"/>
              </w:rPr>
              <w:t xml:space="preserve">Retrieval accuracy, hybrid search at best alpha (0.8)</w:t>
            </w:r>
          </w:p>
        </w:tc>
        <w:tc>
          <w:tcPr>
            <w:tcW w:type="dxa" w:w="2340"/>
            <w:tcMar>
              <w:top w:type="dxa" w:w="80"/>
              <w:left w:type="dxa" w:w="120"/>
              <w:bottom w:type="dxa" w:w="80"/>
              <w:right w:type="dxa" w:w="120"/>
            </w:tcMar>
          </w:tcPr>
          <w:p>
            <w:pPr>
              <w:spacing w:after="0"/>
              <w:jc w:val="center"/>
            </w:pPr>
            <w:r>
              <w:rPr>
                <w:b/>
                <w:bCs/>
                <w:sz w:val="21"/>
                <w:szCs w:val="21"/>
              </w:rPr>
              <w:t xml:space="preserve">93.33%</w:t>
            </w:r>
          </w:p>
        </w:tc>
        <w:tc>
          <w:tcPr>
            <w:tcW w:type="dxa" w:w="2340"/>
            <w:tcMar>
              <w:top w:type="dxa" w:w="80"/>
              <w:left w:type="dxa" w:w="120"/>
              <w:bottom w:type="dxa" w:w="80"/>
              <w:right w:type="dxa" w:w="120"/>
            </w:tcMar>
          </w:tcPr>
          <w:p>
            <w:pPr>
              <w:spacing w:after="0"/>
              <w:jc w:val="center"/>
            </w:pPr>
            <w:r>
              <w:rPr>
                <w:color w:val="808080"/>
                <w:sz w:val="21"/>
                <w:szCs w:val="21"/>
              </w:rPr>
              <w:t xml:space="preserve">90.00%</w:t>
            </w:r>
          </w:p>
        </w:tc>
      </w:tr>
      <w:tr>
        <w:tc>
          <w:tcPr>
            <w:tcW w:type="dxa" w:w="4680"/>
            <w:tcMar>
              <w:top w:type="dxa" w:w="80"/>
              <w:left w:type="dxa" w:w="120"/>
              <w:bottom w:type="dxa" w:w="80"/>
              <w:right w:type="dxa" w:w="120"/>
            </w:tcMar>
          </w:tcPr>
          <w:p>
            <w:pPr>
              <w:spacing w:after="0"/>
            </w:pPr>
            <w:r>
              <w:rPr>
                <w:sz w:val="21"/>
                <w:szCs w:val="21"/>
              </w:rPr>
              <w:t xml:space="preserve">Retrieval accuracy, query decomposition</w:t>
            </w:r>
          </w:p>
        </w:tc>
        <w:tc>
          <w:tcPr>
            <w:tcW w:type="dxa" w:w="2340"/>
            <w:tcMar>
              <w:top w:type="dxa" w:w="80"/>
              <w:left w:type="dxa" w:w="120"/>
              <w:bottom w:type="dxa" w:w="80"/>
              <w:right w:type="dxa" w:w="120"/>
            </w:tcMar>
          </w:tcPr>
          <w:p>
            <w:pPr>
              <w:spacing w:after="0"/>
              <w:jc w:val="center"/>
            </w:pPr>
            <w:r>
              <w:rPr>
                <w:b/>
                <w:bCs/>
                <w:sz w:val="21"/>
                <w:szCs w:val="21"/>
              </w:rPr>
              <w:t xml:space="preserve">93.33%</w:t>
            </w:r>
          </w:p>
        </w:tc>
        <w:tc>
          <w:tcPr>
            <w:tcW w:type="dxa" w:w="2340"/>
            <w:tcMar>
              <w:top w:type="dxa" w:w="80"/>
              <w:left w:type="dxa" w:w="120"/>
              <w:bottom w:type="dxa" w:w="80"/>
              <w:right w:type="dxa" w:w="120"/>
            </w:tcMar>
          </w:tcPr>
          <w:p>
            <w:pPr>
              <w:spacing w:after="0"/>
              <w:jc w:val="center"/>
            </w:pPr>
            <w:r>
              <w:rPr>
                <w:color w:val="808080"/>
                <w:sz w:val="21"/>
                <w:szCs w:val="21"/>
              </w:rPr>
              <w:t xml:space="preserve">90.00%</w:t>
            </w:r>
          </w:p>
        </w:tc>
      </w:tr>
      <w:tr>
        <w:tc>
          <w:tcPr>
            <w:tcW w:type="dxa" w:w="4680"/>
            <w:tcMar>
              <w:top w:type="dxa" w:w="80"/>
              <w:left w:type="dxa" w:w="120"/>
              <w:bottom w:type="dxa" w:w="80"/>
              <w:right w:type="dxa" w:w="120"/>
            </w:tcMar>
          </w:tcPr>
          <w:p>
            <w:pPr>
              <w:spacing w:after="0"/>
            </w:pPr>
            <w:r>
              <w:rPr>
                <w:sz w:val="21"/>
                <w:szCs w:val="21"/>
              </w:rPr>
              <w:t xml:space="preserve">End-to-end answer accuracy (single-run, earlier eval size)</w:t>
            </w:r>
          </w:p>
        </w:tc>
        <w:tc>
          <w:tcPr>
            <w:tcW w:type="dxa" w:w="2340"/>
            <w:tcMar>
              <w:top w:type="dxa" w:w="80"/>
              <w:left w:type="dxa" w:w="120"/>
              <w:bottom w:type="dxa" w:w="80"/>
              <w:right w:type="dxa" w:w="120"/>
            </w:tcMar>
          </w:tcPr>
          <w:p>
            <w:pPr>
              <w:spacing w:after="0"/>
              <w:jc w:val="center"/>
            </w:pPr>
            <w:r>
              <w:rPr>
                <w:b/>
                <w:bCs/>
                <w:sz w:val="21"/>
                <w:szCs w:val="21"/>
              </w:rPr>
              <w:t xml:space="preserve">75.00%</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Answer-quality range across three independent judges, repeated 3x</w:t>
            </w:r>
          </w:p>
        </w:tc>
        <w:tc>
          <w:tcPr>
            <w:tcW w:type="dxa" w:w="2340"/>
            <w:tcMar>
              <w:top w:type="dxa" w:w="80"/>
              <w:left w:type="dxa" w:w="120"/>
              <w:bottom w:type="dxa" w:w="80"/>
              <w:right w:type="dxa" w:w="120"/>
            </w:tcMar>
          </w:tcPr>
          <w:p>
            <w:pPr>
              <w:spacing w:after="0"/>
              <w:jc w:val="center"/>
            </w:pPr>
            <w:r>
              <w:rPr>
                <w:b/>
                <w:bCs/>
                <w:sz w:val="21"/>
                <w:szCs w:val="21"/>
              </w:rPr>
              <w:t xml:space="preserve">58–87%</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Hallucination rate on unanswerable questions</w:t>
            </w:r>
          </w:p>
        </w:tc>
        <w:tc>
          <w:tcPr>
            <w:tcW w:type="dxa" w:w="2340"/>
            <w:tcMar>
              <w:top w:type="dxa" w:w="80"/>
              <w:left w:type="dxa" w:w="120"/>
              <w:bottom w:type="dxa" w:w="80"/>
              <w:right w:type="dxa" w:w="120"/>
            </w:tcMar>
          </w:tcPr>
          <w:p>
            <w:pPr>
              <w:spacing w:after="0"/>
              <w:jc w:val="center"/>
            </w:pPr>
            <w:r>
              <w:rPr>
                <w:b/>
                <w:bCs/>
                <w:sz w:val="21"/>
                <w:szCs w:val="21"/>
              </w:rPr>
              <w:t xml:space="preserve">0.00%</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Mean latency per question, end to end</w:t>
            </w:r>
          </w:p>
        </w:tc>
        <w:tc>
          <w:tcPr>
            <w:tcW w:type="dxa" w:w="2340"/>
            <w:tcMar>
              <w:top w:type="dxa" w:w="80"/>
              <w:left w:type="dxa" w:w="120"/>
              <w:bottom w:type="dxa" w:w="80"/>
              <w:right w:type="dxa" w:w="120"/>
            </w:tcMar>
          </w:tcPr>
          <w:p>
            <w:pPr>
              <w:spacing w:after="0"/>
              <w:jc w:val="center"/>
            </w:pPr>
            <w:r>
              <w:rPr>
                <w:b/>
                <w:bCs/>
                <w:sz w:val="21"/>
                <w:szCs w:val="21"/>
              </w:rPr>
              <w:t xml:space="preserve">2.37s</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r>
        <w:tc>
          <w:tcPr>
            <w:tcW w:type="dxa" w:w="4680"/>
            <w:tcMar>
              <w:top w:type="dxa" w:w="80"/>
              <w:left w:type="dxa" w:w="120"/>
              <w:bottom w:type="dxa" w:w="80"/>
              <w:right w:type="dxa" w:w="120"/>
            </w:tcMar>
          </w:tcPr>
          <w:p>
            <w:pPr>
              <w:spacing w:after="0"/>
            </w:pPr>
            <w:r>
              <w:rPr>
                <w:sz w:val="21"/>
                <w:szCs w:val="21"/>
              </w:rPr>
              <w:t xml:space="preserve">Cost per question, baseline vs. decomposition</w:t>
            </w:r>
          </w:p>
        </w:tc>
        <w:tc>
          <w:tcPr>
            <w:tcW w:type="dxa" w:w="2340"/>
            <w:tcMar>
              <w:top w:type="dxa" w:w="80"/>
              <w:left w:type="dxa" w:w="120"/>
              <w:bottom w:type="dxa" w:w="80"/>
              <w:right w:type="dxa" w:w="120"/>
            </w:tcMar>
          </w:tcPr>
          <w:p>
            <w:pPr>
              <w:spacing w:after="0"/>
              <w:jc w:val="center"/>
            </w:pPr>
            <w:r>
              <w:rPr>
                <w:b/>
                <w:bCs/>
                <w:sz w:val="21"/>
                <w:szCs w:val="21"/>
              </w:rPr>
              <w:t xml:space="preserve">₹0.00002 vs ₹0.002–0.006</w:t>
            </w:r>
          </w:p>
        </w:tc>
        <w:tc>
          <w:tcPr>
            <w:tcW w:type="dxa" w:w="2340"/>
            <w:tcMar>
              <w:top w:type="dxa" w:w="80"/>
              <w:left w:type="dxa" w:w="120"/>
              <w:bottom w:type="dxa" w:w="80"/>
              <w:right w:type="dxa" w:w="120"/>
            </w:tcMar>
          </w:tcPr>
          <w:p>
            <w:pPr>
              <w:spacing w:after="0"/>
              <w:jc w:val="center"/>
            </w:pPr>
            <w:r>
              <w:rPr>
                <w:color w:val="808080"/>
                <w:sz w:val="21"/>
                <w:szCs w:val="21"/>
              </w:rPr>
              <w:t xml:space="preserve">n/a</w:t>
            </w:r>
          </w:p>
        </w:tc>
      </w:tr>
    </w:tbl>
    <w:p>
      <w:pPr>
        <w:spacing w:after="20" w:line="276"/>
      </w:pPr>
      <w:r>
        <w:rPr>
          <w:i/>
          <w:iCs/>
          <w:sz w:val="18"/>
          <w:szCs w:val="18"/>
        </w:rPr>
        <w:t xml:space="preserve">*Baseline measured on the original 30-question set before it was expanded to 36; the fixed-line-chunking baseline was not re-run against the larger set, since function-aware chunking had already superseded it as the comparison point.</w:t>
      </w:r>
    </w:p>
    <w:p>
      <w:pPr>
        <w:spacing w:after="100" w:line="276"/>
      </w:pPr>
      <w:r>
        <w:rPr>
          <w:sz w:val="22"/>
          <w:szCs w:val="22"/>
        </w:rPr>
        <w:t xml:space="preserve"/>
      </w:r>
    </w:p>
    <w:p>
      <w:pPr>
        <w:pStyle w:val="Heading1"/>
        <w:spacing w:after="160" w:before="360"/>
      </w:pPr>
      <w:r>
        <w:rPr>
          <w:b/>
          <w:bCs/>
          <w:color w:val="1A1A1A"/>
          <w:sz w:val="30"/>
          <w:szCs w:val="30"/>
        </w:rPr>
        <w:t xml:space="preserve">What the system does</w:t>
      </w:r>
    </w:p>
    <w:p>
      <w:pPr>
        <w:spacing w:after="140" w:line="276"/>
      </w:pPr>
      <w:r>
        <w:rPr>
          <w:sz w:val="22"/>
          <w:szCs w:val="22"/>
        </w:rPr>
        <w:t xml:space="preserve">Given a natural-language question about the requests library, for example "What does raise_for_status do when a request returns a 404?", the system retrieves the relevant source code from a 20-file corpus and generates a cited answer from it. If the retrieved code does not contain the answer, it says so rather than guessing.</w:t>
      </w:r>
    </w:p>
    <w:p>
      <w:pPr>
        <w:pStyle w:val="Heading2"/>
        <w:spacing w:after="120" w:before="260"/>
      </w:pPr>
      <w:r>
        <w:rPr>
          <w:b/>
          <w:bCs/>
          <w:color w:val="2A2A2A"/>
          <w:sz w:val="25"/>
          <w:szCs w:val="25"/>
        </w:rPr>
        <w:t xml:space="preserve">Pipeline</w:t>
      </w:r>
    </w:p>
    <w:p>
      <w:pPr>
        <w:pStyle w:val="ListParagraph"/>
        <w:numPr>
          <w:ilvl w:val="0"/>
          <w:numId w:val="2"/>
        </w:numPr>
        <w:spacing w:after="80" w:line="276"/>
      </w:pPr>
      <w:r>
        <w:rPr>
          <w:b/>
          <w:bCs/>
          <w:sz w:val="22"/>
          <w:szCs w:val="22"/>
        </w:rPr>
        <w:t xml:space="preserve">Ingestion. </w:t>
      </w:r>
      <w:r>
        <w:rPr>
          <w:sz w:val="22"/>
          <w:szCs w:val="22"/>
        </w:rPr>
        <w:t xml:space="preserve">20 </w:t>
      </w:r>
      <w:r>
        <w:rPr>
          <w:rFonts w:ascii="Consolas" w:cs="Consolas" w:eastAsia="Consolas" w:hAnsi="Consolas"/>
          <w:sz w:val="22"/>
          <w:szCs w:val="22"/>
        </w:rPr>
        <w:t xml:space="preserve">.py</w:t>
      </w:r>
      <w:r>
        <w:rPr>
          <w:sz w:val="22"/>
          <w:szCs w:val="22"/>
        </w:rPr>
        <w:t xml:space="preserve"> source files from </w:t>
      </w:r>
      <w:r>
        <w:rPr>
          <w:rFonts w:ascii="Consolas" w:cs="Consolas" w:eastAsia="Consolas" w:hAnsi="Consolas"/>
          <w:sz w:val="22"/>
          <w:szCs w:val="22"/>
        </w:rPr>
        <w:t xml:space="preserve">psf/requests</w:t>
      </w:r>
      <w:r>
        <w:rPr>
          <w:sz w:val="22"/>
          <w:szCs w:val="22"/>
        </w:rPr>
        <w:t xml:space="preserve"> are parsed and split into chunks.</w:t>
      </w:r>
    </w:p>
    <w:p>
      <w:pPr>
        <w:pStyle w:val="ListParagraph"/>
        <w:numPr>
          <w:ilvl w:val="0"/>
          <w:numId w:val="2"/>
        </w:numPr>
        <w:spacing w:after="80" w:line="276"/>
      </w:pPr>
      <w:r>
        <w:rPr>
          <w:b/>
          <w:bCs/>
          <w:sz w:val="22"/>
          <w:szCs w:val="22"/>
        </w:rPr>
        <w:t xml:space="preserve">Indexing. </w:t>
      </w:r>
      <w:r>
        <w:rPr>
          <w:sz w:val="22"/>
          <w:szCs w:val="22"/>
        </w:rPr>
        <w:t xml:space="preserve">Each chunk is embedded with </w:t>
      </w:r>
      <w:r>
        <w:rPr>
          <w:rFonts w:ascii="Consolas" w:cs="Consolas" w:eastAsia="Consolas" w:hAnsi="Consolas"/>
          <w:sz w:val="22"/>
          <w:szCs w:val="22"/>
        </w:rPr>
        <w:t xml:space="preserve">text-embedding-3-small</w:t>
      </w:r>
      <w:r>
        <w:rPr>
          <w:sz w:val="22"/>
          <w:szCs w:val="22"/>
        </w:rPr>
        <w:t xml:space="preserve"> (1536 dimensions) and persisted to disk, so the embedding pass runs once per chunking strategy rather than once per query.</w:t>
      </w:r>
    </w:p>
    <w:p>
      <w:pPr>
        <w:pStyle w:val="ListParagraph"/>
        <w:numPr>
          <w:ilvl w:val="0"/>
          <w:numId w:val="2"/>
        </w:numPr>
        <w:spacing w:after="80" w:line="276"/>
      </w:pPr>
      <w:r>
        <w:rPr>
          <w:b/>
          <w:bCs/>
          <w:sz w:val="22"/>
          <w:szCs w:val="22"/>
        </w:rPr>
        <w:t xml:space="preserve">Retrieval. </w:t>
      </w:r>
      <w:r>
        <w:rPr>
          <w:sz w:val="22"/>
          <w:szCs w:val="22"/>
        </w:rPr>
        <w:t xml:space="preserve">The question is embedded and scored against every chunk by cosine similarity, optionally blended with BM25 keyword scores; the top-k chunks are returned.</w:t>
      </w:r>
    </w:p>
    <w:p>
      <w:pPr>
        <w:pStyle w:val="ListParagraph"/>
        <w:numPr>
          <w:ilvl w:val="0"/>
          <w:numId w:val="2"/>
        </w:numPr>
        <w:spacing w:after="80" w:line="276"/>
      </w:pPr>
      <w:r>
        <w:rPr>
          <w:b/>
          <w:bCs/>
          <w:sz w:val="22"/>
          <w:szCs w:val="22"/>
        </w:rPr>
        <w:t xml:space="preserve">Generation. </w:t>
      </w:r>
      <w:r>
        <w:rPr>
          <w:sz w:val="22"/>
          <w:szCs w:val="22"/>
        </w:rPr>
        <w:t xml:space="preserve">Retrieved chunks are assembled into a labelled context block and passed to </w:t>
      </w:r>
      <w:r>
        <w:rPr>
          <w:rFonts w:ascii="Consolas" w:cs="Consolas" w:eastAsia="Consolas" w:hAnsi="Consolas"/>
          <w:sz w:val="22"/>
          <w:szCs w:val="22"/>
        </w:rPr>
        <w:t xml:space="preserve">gpt-4o-mini</w:t>
      </w:r>
      <w:r>
        <w:rPr>
          <w:sz w:val="22"/>
          <w:szCs w:val="22"/>
        </w:rPr>
        <w:t xml:space="preserve"> with an explicit instruction to abstain when the context is insufficient.</w:t>
      </w:r>
    </w:p>
    <w:p>
      <w:pPr>
        <w:pStyle w:val="Heading2"/>
        <w:spacing w:after="120" w:before="260"/>
      </w:pPr>
      <w:r>
        <w:rPr>
          <w:b/>
          <w:bCs/>
          <w:color w:val="2A2A2A"/>
          <w:sz w:val="25"/>
          <w:szCs w:val="25"/>
        </w:rPr>
        <w:t xml:space="preserve">Evaluation set</w:t>
      </w:r>
    </w:p>
    <w:p>
      <w:pPr>
        <w:spacing w:after="100" w:line="276"/>
      </w:pPr>
      <w:r>
        <w:rPr>
          <w:sz w:val="22"/>
          <w:szCs w:val="22"/>
        </w:rPr>
        <w:t xml:space="preserve">Thirty-six questions, written by hand and individually verified against the source before being accepted, in three categories:</w:t>
      </w:r>
    </w:p>
    <w:p>
      <w:pPr>
        <w:pStyle w:val="ListParagraph"/>
        <w:numPr>
          <w:ilvl w:val="0"/>
          <w:numId w:val="2"/>
        </w:numPr>
        <w:spacing w:after="80" w:line="276"/>
      </w:pPr>
      <w:r>
        <w:rPr>
          <w:b/>
          <w:bCs/>
          <w:sz w:val="22"/>
          <w:szCs w:val="22"/>
        </w:rPr>
        <w:t xml:space="preserve">Factual</w:t>
      </w:r>
      <w:r>
        <w:rPr>
          <w:sz w:val="22"/>
          <w:szCs w:val="22"/>
        </w:rPr>
        <w:t xml:space="preserve">: answerable from a single function or module.</w:t>
      </w:r>
    </w:p>
    <w:p>
      <w:pPr>
        <w:pStyle w:val="ListParagraph"/>
        <w:numPr>
          <w:ilvl w:val="0"/>
          <w:numId w:val="2"/>
        </w:numPr>
        <w:spacing w:after="80" w:line="276"/>
      </w:pPr>
      <w:r>
        <w:rPr>
          <w:b/>
          <w:bCs/>
          <w:sz w:val="22"/>
          <w:szCs w:val="22"/>
        </w:rPr>
        <w:t xml:space="preserve">Multi-hop</w:t>
      </w:r>
      <w:r>
        <w:rPr>
          <w:sz w:val="22"/>
          <w:szCs w:val="22"/>
        </w:rPr>
        <w:t xml:space="preserve">: require two or three files at once. "How does </w:t>
      </w:r>
      <w:r>
        <w:rPr>
          <w:rFonts w:ascii="Consolas" w:cs="Consolas" w:eastAsia="Consolas" w:hAnsi="Consolas"/>
          <w:sz w:val="22"/>
          <w:szCs w:val="22"/>
        </w:rPr>
        <w:t xml:space="preserve">Session.send()</w:t>
      </w:r>
      <w:r>
        <w:rPr>
          <w:sz w:val="22"/>
          <w:szCs w:val="22"/>
        </w:rPr>
        <w:t xml:space="preserve"> delegate the actual network request?" needs both </w:t>
      </w:r>
      <w:r>
        <w:rPr>
          <w:rFonts w:ascii="Consolas" w:cs="Consolas" w:eastAsia="Consolas" w:hAnsi="Consolas"/>
          <w:sz w:val="22"/>
          <w:szCs w:val="22"/>
        </w:rPr>
        <w:t xml:space="preserve">sessions.py</w:t>
      </w:r>
      <w:r>
        <w:rPr>
          <w:sz w:val="22"/>
          <w:szCs w:val="22"/>
        </w:rPr>
        <w:t xml:space="preserve"> and </w:t>
      </w:r>
      <w:r>
        <w:rPr>
          <w:rFonts w:ascii="Consolas" w:cs="Consolas" w:eastAsia="Consolas" w:hAnsi="Consolas"/>
          <w:sz w:val="22"/>
          <w:szCs w:val="22"/>
        </w:rPr>
        <w:t xml:space="preserve">adapters.py</w:t>
      </w:r>
      <w:r>
        <w:rPr>
          <w:sz w:val="22"/>
          <w:szCs w:val="22"/>
        </w:rPr>
        <w:t xml:space="preserve">; retrieving either alone is scored as a miss.</w:t>
      </w:r>
    </w:p>
    <w:p>
      <w:pPr>
        <w:pStyle w:val="ListParagraph"/>
        <w:numPr>
          <w:ilvl w:val="0"/>
          <w:numId w:val="2"/>
        </w:numPr>
        <w:spacing w:after="80" w:line="276"/>
      </w:pPr>
      <w:r>
        <w:rPr>
          <w:b/>
          <w:bCs/>
          <w:sz w:val="22"/>
          <w:szCs w:val="22"/>
        </w:rPr>
        <w:t xml:space="preserve">Unanswerable</w:t>
      </w:r>
      <w:r>
        <w:rPr>
          <w:sz w:val="22"/>
          <w:szCs w:val="22"/>
        </w:rPr>
        <w:t xml:space="preserve">: plausible-sounding questions with no answer in the corpus (</w:t>
      </w:r>
      <w:r>
        <w:rPr>
          <w:rFonts w:ascii="Consolas" w:cs="Consolas" w:eastAsia="Consolas" w:hAnsi="Consolas"/>
          <w:sz w:val="22"/>
          <w:szCs w:val="22"/>
        </w:rPr>
        <w:t xml:space="preserve">Session.retry_with_backoff()</w:t>
      </w:r>
      <w:r>
        <w:rPr>
          <w:sz w:val="22"/>
          <w:szCs w:val="22"/>
        </w:rPr>
        <w:t xml:space="preserve">, WebSocket support, GraphQL batching). These exist solely to measure hallucination.</w:t>
      </w:r>
    </w:p>
    <w:p>
      <w:pPr>
        <w:spacing w:after="140" w:line="276"/>
      </w:pPr>
      <w:r>
        <w:rPr>
          <w:sz w:val="22"/>
          <w:szCs w:val="22"/>
        </w:rPr>
        <w:t xml:space="preserve">The set was expanded from an initial 30 to 36 by targeting files with zero or thin coverage: auth.py had none, and gained five verified questions covering its digest-authentication logic and thread-local state handling; structures.py and status_codes.py each gained a question closing gaps in their coverage. Every added question follows the same verification discipline as the original set: the specific method or line referenced was located and read before the answer was written, not generated from general knowledge of the library and assumed correct.</w:t>
      </w:r>
    </w:p>
    <w:p>
      <w:pPr>
        <w:pStyle w:val="Heading1"/>
        <w:spacing w:after="160" w:before="360"/>
      </w:pPr>
      <w:r>
        <w:rPr>
          <w:b/>
          <w:bCs/>
          <w:color w:val="1A1A1A"/>
          <w:sz w:val="30"/>
          <w:szCs w:val="30"/>
        </w:rPr>
        <w:t xml:space="preserve">Strategy comparison</w:t>
      </w:r>
    </w:p>
    <w:p>
      <w:pPr>
        <w:spacing w:after="140" w:line="276"/>
      </w:pPr>
      <w:r>
        <w:rPr>
          <w:sz w:val="22"/>
          <w:szCs w:val="22"/>
        </w:rPr>
        <w:t xml:space="preserve">Every configuration below was run against the identical evaluation set. The scoring rule is strict: a multi-hop question counts as correct only if all required source files appear in the retrieved set.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1800"/>
        <w:gridCol w:w="3160"/>
      </w:tblGrid>
      <w:tr>
        <w:trPr>
          <w:tblHeader/>
        </w:trPr>
        <w:tc>
          <w:tcPr>
            <w:tcW w:type="dxa" w:w="4400"/>
            <w:shd w:fill="F2F2F2" w:color="auto" w:val="clear"/>
            <w:tcMar>
              <w:top w:type="dxa" w:w="80"/>
              <w:left w:type="dxa" w:w="120"/>
              <w:bottom w:type="dxa" w:w="80"/>
              <w:right w:type="dxa" w:w="120"/>
            </w:tcMar>
          </w:tcPr>
          <w:p>
            <w:pPr>
              <w:spacing w:after="0"/>
            </w:pPr>
            <w:r>
              <w:rPr>
                <w:b/>
                <w:bCs/>
                <w:sz w:val="21"/>
                <w:szCs w:val="21"/>
              </w:rPr>
              <w:t xml:space="preserve">Configuration</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Accuracy</w:t>
            </w:r>
          </w:p>
        </w:tc>
        <w:tc>
          <w:tcPr>
            <w:tcW w:type="dxa" w:w="3160"/>
            <w:shd w:fill="F2F2F2" w:color="auto" w:val="clear"/>
            <w:tcMar>
              <w:top w:type="dxa" w:w="80"/>
              <w:left w:type="dxa" w:w="120"/>
              <w:bottom w:type="dxa" w:w="80"/>
              <w:right w:type="dxa" w:w="120"/>
            </w:tcMar>
          </w:tcPr>
          <w:p>
            <w:pPr>
              <w:spacing w:after="0"/>
              <w:jc w:val="center"/>
            </w:pPr>
            <w:r>
              <w:rPr>
                <w:b/>
                <w:bCs/>
                <w:sz w:val="21"/>
                <w:szCs w:val="21"/>
              </w:rPr>
              <w:t xml:space="preserve">Notes</w:t>
            </w:r>
          </w:p>
        </w:tc>
      </w:tr>
      <w:tr>
        <w:tc>
          <w:tcPr>
            <w:tcW w:type="dxa" w:w="4400"/>
            <w:tcMar>
              <w:top w:type="dxa" w:w="80"/>
              <w:left w:type="dxa" w:w="120"/>
              <w:bottom w:type="dxa" w:w="80"/>
              <w:right w:type="dxa" w:w="120"/>
            </w:tcMar>
          </w:tcPr>
          <w:p>
            <w:pPr>
              <w:spacing w:after="0"/>
            </w:pPr>
            <w:r>
              <w:rPr>
                <w:sz w:val="21"/>
                <w:szCs w:val="21"/>
              </w:rPr>
              <w:t xml:space="preserve">Fixed 20-line chunks (original baseline)</w:t>
            </w:r>
          </w:p>
        </w:tc>
        <w:tc>
          <w:tcPr>
            <w:tcW w:type="dxa" w:w="1800"/>
            <w:tcMar>
              <w:top w:type="dxa" w:w="80"/>
              <w:left w:type="dxa" w:w="120"/>
              <w:bottom w:type="dxa" w:w="80"/>
              <w:right w:type="dxa" w:w="120"/>
            </w:tcMar>
          </w:tcPr>
          <w:p>
            <w:pPr>
              <w:spacing w:after="0"/>
              <w:jc w:val="center"/>
            </w:pPr>
            <w:r>
              <w:rPr>
                <w:sz w:val="21"/>
                <w:szCs w:val="21"/>
              </w:rPr>
              <w:t xml:space="preserve">75.00%</w:t>
            </w:r>
          </w:p>
        </w:tc>
        <w:tc>
          <w:tcPr>
            <w:tcW w:type="dxa" w:w="3160"/>
            <w:tcMar>
              <w:top w:type="dxa" w:w="80"/>
              <w:left w:type="dxa" w:w="120"/>
              <w:bottom w:type="dxa" w:w="80"/>
              <w:right w:type="dxa" w:w="120"/>
            </w:tcMar>
          </w:tcPr>
          <w:p>
            <w:pPr>
              <w:spacing w:after="0"/>
              <w:jc w:val="center"/>
            </w:pPr>
            <w:r>
              <w:rPr>
                <w:color w:val="808080"/>
                <w:sz w:val="21"/>
                <w:szCs w:val="21"/>
              </w:rPr>
              <w:t xml:space="preserve">30-question set</w:t>
            </w:r>
          </w:p>
        </w:tc>
      </w:tr>
      <w:tr>
        <w:tc>
          <w:tcPr>
            <w:tcW w:type="dxa" w:w="4400"/>
            <w:tcMar>
              <w:top w:type="dxa" w:w="80"/>
              <w:left w:type="dxa" w:w="120"/>
              <w:bottom w:type="dxa" w:w="80"/>
              <w:right w:type="dxa" w:w="120"/>
            </w:tcMar>
          </w:tcPr>
          <w:p>
            <w:pPr>
              <w:spacing w:after="0"/>
            </w:pPr>
            <w:r>
              <w:rPr>
                <w:sz w:val="21"/>
                <w:szCs w:val="21"/>
              </w:rPr>
              <w:t xml:space="preserve">Function-aware chunking, first attempt</w:t>
            </w:r>
          </w:p>
        </w:tc>
        <w:tc>
          <w:tcPr>
            <w:tcW w:type="dxa" w:w="1800"/>
            <w:tcMar>
              <w:top w:type="dxa" w:w="80"/>
              <w:left w:type="dxa" w:w="120"/>
              <w:bottom w:type="dxa" w:w="80"/>
              <w:right w:type="dxa" w:w="120"/>
            </w:tcMar>
          </w:tcPr>
          <w:p>
            <w:pPr>
              <w:spacing w:after="0"/>
              <w:jc w:val="center"/>
            </w:pPr>
            <w:r>
              <w:rPr>
                <w:color w:val="B03A2E"/>
                <w:sz w:val="21"/>
                <w:szCs w:val="21"/>
              </w:rPr>
              <w:t xml:space="preserve">66.67%</w:t>
            </w:r>
          </w:p>
        </w:tc>
        <w:tc>
          <w:tcPr>
            <w:tcW w:type="dxa" w:w="3160"/>
            <w:tcMar>
              <w:top w:type="dxa" w:w="80"/>
              <w:left w:type="dxa" w:w="120"/>
              <w:bottom w:type="dxa" w:w="80"/>
              <w:right w:type="dxa" w:w="120"/>
            </w:tcMar>
          </w:tcPr>
          <w:p>
            <w:pPr>
              <w:spacing w:after="0"/>
              <w:jc w:val="center"/>
            </w:pPr>
            <w:r>
              <w:rPr>
                <w:color w:val="B03A2E"/>
                <w:sz w:val="21"/>
                <w:szCs w:val="21"/>
              </w:rPr>
              <w:t xml:space="preserve">Regression (see Finding 1)</w:t>
            </w:r>
          </w:p>
        </w:tc>
      </w:tr>
      <w:tr>
        <w:tc>
          <w:tcPr>
            <w:tcW w:type="dxa" w:w="4400"/>
            <w:tcMar>
              <w:top w:type="dxa" w:w="80"/>
              <w:left w:type="dxa" w:w="120"/>
              <w:bottom w:type="dxa" w:w="80"/>
              <w:right w:type="dxa" w:w="120"/>
            </w:tcMar>
          </w:tcPr>
          <w:p>
            <w:pPr>
              <w:spacing w:after="0"/>
            </w:pPr>
            <w:r>
              <w:rPr>
                <w:sz w:val="21"/>
                <w:szCs w:val="21"/>
              </w:rPr>
              <w:t xml:space="preserve">Function-aware chunking, module content restored</w:t>
            </w:r>
          </w:p>
        </w:tc>
        <w:tc>
          <w:tcPr>
            <w:tcW w:type="dxa" w:w="1800"/>
            <w:tcMar>
              <w:top w:type="dxa" w:w="80"/>
              <w:left w:type="dxa" w:w="120"/>
              <w:bottom w:type="dxa" w:w="80"/>
              <w:right w:type="dxa" w:w="120"/>
            </w:tcMar>
          </w:tcPr>
          <w:p>
            <w:pPr>
              <w:spacing w:after="0"/>
              <w:jc w:val="center"/>
            </w:pPr>
            <w:r>
              <w:rPr>
                <w:sz w:val="21"/>
                <w:szCs w:val="21"/>
              </w:rPr>
              <w:t xml:space="preserve">83.33%</w:t>
            </w:r>
          </w:p>
        </w:tc>
        <w:tc>
          <w:tcPr>
            <w:tcW w:type="dxa" w:w="3160"/>
            <w:tcMar>
              <w:top w:type="dxa" w:w="80"/>
              <w:left w:type="dxa" w:w="120"/>
              <w:bottom w:type="dxa" w:w="80"/>
              <w:right w:type="dxa" w:w="120"/>
            </w:tcMar>
          </w:tcPr>
          <w:p>
            <w:pPr>
              <w:spacing w:after="0"/>
              <w:jc w:val="center"/>
            </w:pPr>
            <w:r>
              <w:rPr>
                <w:color w:val="808080"/>
                <w:sz w:val="21"/>
                <w:szCs w:val="21"/>
              </w:rPr>
              <w:t xml:space="preserve">30-question set</w:t>
            </w:r>
          </w:p>
        </w:tc>
      </w:tr>
      <w:tr>
        <w:tc>
          <w:tcPr>
            <w:tcW w:type="dxa" w:w="4400"/>
            <w:tcMar>
              <w:top w:type="dxa" w:w="80"/>
              <w:left w:type="dxa" w:w="120"/>
              <w:bottom w:type="dxa" w:w="80"/>
              <w:right w:type="dxa" w:w="120"/>
            </w:tcMar>
          </w:tcPr>
          <w:p>
            <w:pPr>
              <w:spacing w:after="0"/>
            </w:pPr>
            <w:r>
              <w:rPr>
                <w:sz w:val="21"/>
                <w:szCs w:val="21"/>
              </w:rPr>
              <w:t xml:space="preserve">+ top-k raised 3 → 6</w:t>
            </w:r>
          </w:p>
        </w:tc>
        <w:tc>
          <w:tcPr>
            <w:tcW w:type="dxa" w:w="1800"/>
            <w:tcMar>
              <w:top w:type="dxa" w:w="80"/>
              <w:left w:type="dxa" w:w="120"/>
              <w:bottom w:type="dxa" w:w="80"/>
              <w:right w:type="dxa" w:w="120"/>
            </w:tcMar>
          </w:tcPr>
          <w:p>
            <w:pPr>
              <w:spacing w:after="0"/>
              <w:jc w:val="center"/>
            </w:pPr>
            <w:r>
              <w:rPr>
                <w:sz w:val="21"/>
                <w:szCs w:val="21"/>
              </w:rPr>
              <w:t xml:space="preserve">87.50% → 90.00%</w:t>
            </w:r>
          </w:p>
        </w:tc>
        <w:tc>
          <w:tcPr>
            <w:tcW w:type="dxa" w:w="3160"/>
            <w:tcMar>
              <w:top w:type="dxa" w:w="80"/>
              <w:left w:type="dxa" w:w="120"/>
              <w:bottom w:type="dxa" w:w="80"/>
              <w:right w:type="dxa" w:w="120"/>
            </w:tcMar>
          </w:tcPr>
          <w:p>
            <w:pPr>
              <w:spacing w:after="0"/>
              <w:jc w:val="center"/>
            </w:pPr>
            <w:r>
              <w:rPr>
                <w:color w:val="808080"/>
                <w:sz w:val="21"/>
                <w:szCs w:val="21"/>
              </w:rPr>
              <w:t xml:space="preserve">87.5 on 30q, 90.0 after set expanded to 36q</w:t>
            </w:r>
          </w:p>
        </w:tc>
      </w:tr>
      <w:tr>
        <w:tc>
          <w:tcPr>
            <w:tcW w:type="dxa" w:w="4400"/>
            <w:tcMar>
              <w:top w:type="dxa" w:w="80"/>
              <w:left w:type="dxa" w:w="120"/>
              <w:bottom w:type="dxa" w:w="80"/>
              <w:right w:type="dxa" w:w="120"/>
            </w:tcMar>
          </w:tcPr>
          <w:p>
            <w:pPr>
              <w:spacing w:after="0"/>
            </w:pPr>
            <w:r>
              <w:rPr>
                <w:sz w:val="21"/>
                <w:szCs w:val="21"/>
              </w:rPr>
              <w:t xml:space="preserve">Hybrid, α=0.5 (first attempt)</w:t>
            </w:r>
          </w:p>
        </w:tc>
        <w:tc>
          <w:tcPr>
            <w:tcW w:type="dxa" w:w="1800"/>
            <w:tcMar>
              <w:top w:type="dxa" w:w="80"/>
              <w:left w:type="dxa" w:w="120"/>
              <w:bottom w:type="dxa" w:w="80"/>
              <w:right w:type="dxa" w:w="120"/>
            </w:tcMar>
          </w:tcPr>
          <w:p>
            <w:pPr>
              <w:spacing w:after="0"/>
              <w:jc w:val="center"/>
            </w:pPr>
            <w:r>
              <w:rPr>
                <w:color w:val="B03A2E"/>
                <w:sz w:val="21"/>
                <w:szCs w:val="21"/>
              </w:rPr>
              <w:t xml:space="preserve">83.33%</w:t>
            </w:r>
          </w:p>
        </w:tc>
        <w:tc>
          <w:tcPr>
            <w:tcW w:type="dxa" w:w="3160"/>
            <w:tcMar>
              <w:top w:type="dxa" w:w="80"/>
              <w:left w:type="dxa" w:w="120"/>
              <w:bottom w:type="dxa" w:w="80"/>
              <w:right w:type="dxa" w:w="120"/>
            </w:tcMar>
          </w:tcPr>
          <w:p>
            <w:pPr>
              <w:spacing w:after="0"/>
              <w:jc w:val="center"/>
            </w:pPr>
            <w:r>
              <w:rPr>
                <w:color w:val="B03A2E"/>
                <w:sz w:val="21"/>
                <w:szCs w:val="21"/>
              </w:rPr>
              <w:t xml:space="preserve">Worse than semantic alone</w:t>
            </w:r>
          </w:p>
        </w:tc>
      </w:tr>
      <w:tr>
        <w:tc>
          <w:tcPr>
            <w:tcW w:type="dxa" w:w="4400"/>
            <w:tcMar>
              <w:top w:type="dxa" w:w="80"/>
              <w:left w:type="dxa" w:w="120"/>
              <w:bottom w:type="dxa" w:w="80"/>
              <w:right w:type="dxa" w:w="120"/>
            </w:tcMar>
          </w:tcPr>
          <w:p>
            <w:pPr>
              <w:spacing w:after="0"/>
            </w:pPr>
            <w:r>
              <w:rPr>
                <w:sz w:val="21"/>
                <w:szCs w:val="21"/>
              </w:rPr>
              <w:t xml:space="preserve">Hybrid, α=0.7 (second attempt)</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3160"/>
            <w:tcMar>
              <w:top w:type="dxa" w:w="80"/>
              <w:left w:type="dxa" w:w="120"/>
              <w:bottom w:type="dxa" w:w="80"/>
              <w:right w:type="dxa" w:w="120"/>
            </w:tcMar>
          </w:tcPr>
          <w:p>
            <w:pPr>
              <w:spacing w:after="0"/>
              <w:jc w:val="center"/>
            </w:pPr>
            <w:r>
              <w:rPr>
                <w:color w:val="808080"/>
                <w:sz w:val="21"/>
                <w:szCs w:val="21"/>
              </w:rPr>
              <w:t xml:space="preserve">Parity with semantic alone, believed to be the ceiling</w:t>
            </w:r>
          </w:p>
        </w:tc>
      </w:tr>
      <w:tr>
        <w:tc>
          <w:tcPr>
            <w:tcW w:type="dxa" w:w="4400"/>
            <w:tcMar>
              <w:top w:type="dxa" w:w="80"/>
              <w:left w:type="dxa" w:w="120"/>
              <w:bottom w:type="dxa" w:w="80"/>
              <w:right w:type="dxa" w:w="120"/>
            </w:tcMar>
          </w:tcPr>
          <w:p>
            <w:pPr>
              <w:spacing w:after="0"/>
            </w:pPr>
            <w:r>
              <w:rPr>
                <w:sz w:val="21"/>
                <w:szCs w:val="21"/>
              </w:rPr>
              <w:t xml:space="preserve">Hybrid, α=0.8 (full sweep, corrected)</w:t>
            </w:r>
          </w:p>
        </w:tc>
        <w:tc>
          <w:tcPr>
            <w:tcW w:type="dxa" w:w="1800"/>
            <w:tcMar>
              <w:top w:type="dxa" w:w="80"/>
              <w:left w:type="dxa" w:w="120"/>
              <w:bottom w:type="dxa" w:w="80"/>
              <w:right w:type="dxa" w:w="120"/>
            </w:tcMar>
          </w:tcPr>
          <w:p>
            <w:pPr>
              <w:spacing w:after="0"/>
              <w:jc w:val="center"/>
            </w:pPr>
            <w:r>
              <w:rPr>
                <w:b/>
                <w:bCs/>
                <w:sz w:val="21"/>
                <w:szCs w:val="21"/>
              </w:rPr>
              <w:t xml:space="preserve">93.33%</w:t>
            </w:r>
          </w:p>
        </w:tc>
        <w:tc>
          <w:tcPr>
            <w:tcW w:type="dxa" w:w="3160"/>
            <w:tcMar>
              <w:top w:type="dxa" w:w="80"/>
              <w:left w:type="dxa" w:w="120"/>
              <w:bottom w:type="dxa" w:w="80"/>
              <w:right w:type="dxa" w:w="120"/>
            </w:tcMar>
          </w:tcPr>
          <w:p>
            <w:pPr>
              <w:spacing w:after="0"/>
              <w:jc w:val="center"/>
            </w:pPr>
            <w:r>
              <w:rPr>
                <w:sz w:val="21"/>
                <w:szCs w:val="21"/>
              </w:rPr>
              <w:t xml:space="preserve">Actual peak (see Finding 5)</w:t>
            </w:r>
          </w:p>
        </w:tc>
      </w:tr>
      <w:tr>
        <w:tc>
          <w:tcPr>
            <w:tcW w:type="dxa" w:w="4400"/>
            <w:tcMar>
              <w:top w:type="dxa" w:w="80"/>
              <w:left w:type="dxa" w:w="120"/>
              <w:bottom w:type="dxa" w:w="80"/>
              <w:right w:type="dxa" w:w="120"/>
            </w:tcMar>
          </w:tcPr>
          <w:p>
            <w:pPr>
              <w:spacing w:after="0"/>
            </w:pPr>
            <w:r>
              <w:rPr>
                <w:sz w:val="21"/>
                <w:szCs w:val="21"/>
              </w:rPr>
              <w:t xml:space="preserve">Query decomposition (range across runs)</w:t>
            </w:r>
          </w:p>
        </w:tc>
        <w:tc>
          <w:tcPr>
            <w:tcW w:type="dxa" w:w="1800"/>
            <w:tcMar>
              <w:top w:type="dxa" w:w="80"/>
              <w:left w:type="dxa" w:w="120"/>
              <w:bottom w:type="dxa" w:w="80"/>
              <w:right w:type="dxa" w:w="120"/>
            </w:tcMar>
          </w:tcPr>
          <w:p>
            <w:pPr>
              <w:spacing w:after="0"/>
              <w:jc w:val="center"/>
            </w:pPr>
            <w:r>
              <w:rPr>
                <w:b/>
                <w:bCs/>
                <w:sz w:val="21"/>
                <w:szCs w:val="21"/>
              </w:rPr>
              <w:t xml:space="preserve">83.33–95.83%</w:t>
            </w:r>
          </w:p>
        </w:tc>
        <w:tc>
          <w:tcPr>
            <w:tcW w:type="dxa" w:w="3160"/>
            <w:tcMar>
              <w:top w:type="dxa" w:w="80"/>
              <w:left w:type="dxa" w:w="120"/>
              <w:bottom w:type="dxa" w:w="80"/>
              <w:right w:type="dxa" w:w="120"/>
            </w:tcMar>
          </w:tcPr>
          <w:p>
            <w:pPr>
              <w:spacing w:after="0"/>
              <w:jc w:val="center"/>
            </w:pPr>
            <w:r>
              <w:rPr>
                <w:sz w:val="21"/>
                <w:szCs w:val="21"/>
              </w:rPr>
              <w:t xml:space="preserve">Non-deterministic (see Finding 3)</w:t>
            </w:r>
          </w:p>
        </w:tc>
      </w:tr>
    </w:tbl>
    <w:p>
      <w:pPr>
        <w:spacing w:after="140" w:line="276"/>
      </w:pPr>
      <w:r>
        <w:rPr>
          <w:sz w:val="22"/>
          <w:szCs w:val="22"/>
        </w:rPr>
        <w:t xml:space="preserve"/>
      </w:r>
    </w:p>
    <w:p>
      <w:pPr>
        <w:pStyle w:val="Heading1"/>
        <w:spacing w:after="160" w:before="360"/>
      </w:pPr>
      <w:r>
        <w:rPr>
          <w:b/>
          <w:bCs/>
          <w:color w:val="1A1A1A"/>
          <w:sz w:val="30"/>
          <w:szCs w:val="30"/>
        </w:rPr>
        <w:t xml:space="preserve">What the numbers taught us</w:t>
      </w:r>
    </w:p>
    <w:p>
      <w:pPr>
        <w:pStyle w:val="Heading2"/>
        <w:spacing w:after="120" w:before="260"/>
      </w:pPr>
      <w:r>
        <w:rPr>
          <w:b/>
          <w:bCs/>
          <w:color w:val="2A2A2A"/>
          <w:sz w:val="25"/>
          <w:szCs w:val="25"/>
        </w:rPr>
        <w:t xml:space="preserve">1. A "smarter" chunker silently deleted a third of the corpus's meaning</w:t>
      </w:r>
    </w:p>
    <w:p>
      <w:pPr>
        <w:spacing w:after="120" w:line="276"/>
      </w:pPr>
      <w:r>
        <w:rPr>
          <w:sz w:val="22"/>
          <w:szCs w:val="22"/>
        </w:rPr>
        <w:t xml:space="preserve">Fixed-line chunking cuts functions in half. Replacing it with AST-based chunking, using Python's </w:t>
      </w:r>
      <w:r>
        <w:rPr>
          <w:rFonts w:ascii="Consolas" w:cs="Consolas" w:eastAsia="Consolas" w:hAnsi="Consolas"/>
          <w:sz w:val="22"/>
          <w:szCs w:val="22"/>
        </w:rPr>
        <w:t xml:space="preserve">ast</w:t>
      </w:r>
      <w:r>
        <w:rPr>
          <w:sz w:val="22"/>
          <w:szCs w:val="22"/>
        </w:rPr>
        <w:t xml:space="preserve"> module to emit one chunk per function and class, should have been a clear improvement. It dropped accuracy to 66.67%.</w:t>
      </w:r>
    </w:p>
    <w:p>
      <w:pPr>
        <w:spacing w:after="120" w:line="276"/>
      </w:pPr>
      <w:r>
        <w:rPr>
          <w:sz w:val="22"/>
          <w:szCs w:val="22"/>
        </w:rPr>
        <w:t xml:space="preserve">The newly-failing questions were all module-level: "What does </w:t>
      </w:r>
      <w:r>
        <w:rPr>
          <w:rFonts w:ascii="Consolas" w:cs="Consolas" w:eastAsia="Consolas" w:hAnsi="Consolas"/>
          <w:sz w:val="22"/>
          <w:szCs w:val="22"/>
        </w:rPr>
        <w:t xml:space="preserve">certs.py</w:t>
      </w:r>
      <w:r>
        <w:rPr>
          <w:sz w:val="22"/>
          <w:szCs w:val="22"/>
        </w:rPr>
        <w:t xml:space="preserve"> do?", "What does </w:t>
      </w:r>
      <w:r>
        <w:rPr>
          <w:rFonts w:ascii="Consolas" w:cs="Consolas" w:eastAsia="Consolas" w:hAnsi="Consolas"/>
          <w:sz w:val="22"/>
          <w:szCs w:val="22"/>
        </w:rPr>
        <w:t xml:space="preserve">packages.py</w:t>
      </w:r>
      <w:r>
        <w:rPr>
          <w:sz w:val="22"/>
          <w:szCs w:val="22"/>
        </w:rPr>
        <w:t xml:space="preserve"> do?" The chunker walked the syntax tree for </w:t>
      </w:r>
      <w:r>
        <w:rPr>
          <w:rFonts w:ascii="Consolas" w:cs="Consolas" w:eastAsia="Consolas" w:hAnsi="Consolas"/>
          <w:sz w:val="22"/>
          <w:szCs w:val="22"/>
        </w:rPr>
        <w:t xml:space="preserve">FunctionDef</w:t>
      </w:r>
      <w:r>
        <w:rPr>
          <w:sz w:val="22"/>
          <w:szCs w:val="22"/>
        </w:rPr>
        <w:t xml:space="preserve"> and </w:t>
      </w:r>
      <w:r>
        <w:rPr>
          <w:rFonts w:ascii="Consolas" w:cs="Consolas" w:eastAsia="Consolas" w:hAnsi="Consolas"/>
          <w:sz w:val="22"/>
          <w:szCs w:val="22"/>
        </w:rPr>
        <w:t xml:space="preserve">ClassDef</w:t>
      </w:r>
      <w:r>
        <w:rPr>
          <w:sz w:val="22"/>
          <w:szCs w:val="22"/>
        </w:rPr>
        <w:t xml:space="preserve"> nodes and nothing else, so module docstrings, imports and top-level constants were never indexed at all. For small files that are mostly docstring, the entire file effectively vanished from the index.</w:t>
      </w:r>
    </w:p>
    <w:p>
      <w:pPr>
        <w:spacing w:after="120" w:line="276"/>
      </w:pPr>
      <w:r>
        <w:rPr>
          <w:sz w:val="22"/>
          <w:szCs w:val="22"/>
        </w:rPr>
        <w:t xml:space="preserve">Fix: track which line numbers are claimed by a function or class, then emit everything left over as a module-level chunk. Accuracy went to 83.33%, above the original baseline.</w:t>
      </w:r>
    </w:p>
    <w:p>
      <w:pPr>
        <w:pStyle w:val="Heading2"/>
        <w:spacing w:after="120" w:before="260"/>
      </w:pPr>
      <w:r>
        <w:rPr>
          <w:b/>
          <w:bCs/>
          <w:color w:val="2A2A2A"/>
          <w:sz w:val="25"/>
          <w:szCs w:val="25"/>
        </w:rPr>
        <w:t xml:space="preserve">2. Retrieving more results papered over the multi-hop problem without solving it</w:t>
      </w:r>
    </w:p>
    <w:p>
      <w:pPr>
        <w:spacing w:after="120" w:line="276"/>
      </w:pPr>
      <w:r>
        <w:rPr>
          <w:sz w:val="22"/>
          <w:szCs w:val="22"/>
        </w:rPr>
        <w:t xml:space="preserve">Raising top-k from 3 to 6 lifted accuracy substantially. But inspecting the surviving failures showed this was partial luck rather than a full fix: for a question needing two specific files together, one would sometimes appear multiple times in the results while the other never appeared at all.</w:t>
      </w:r>
    </w:p>
    <w:p>
      <w:pPr>
        <w:spacing w:after="120" w:line="276"/>
      </w:pPr>
      <w:r>
        <w:rPr>
          <w:sz w:val="22"/>
          <w:szCs w:val="22"/>
        </w:rPr>
        <w:t xml:space="preserve">Single-vector similarity search scores each chunk in isolation. Two files that are causally linked (one calls the other) are not necessarily semantically similar to the same query, so no amount of extra slots reliably surfaces both. The problem needed a different technique, not a bigger k.</w:t>
      </w:r>
    </w:p>
    <w:p>
      <w:pPr>
        <w:pStyle w:val="Heading2"/>
        <w:spacing w:after="120" w:before="260"/>
      </w:pPr>
      <w:r>
        <w:rPr>
          <w:b/>
          <w:bCs/>
          <w:color w:val="2A2A2A"/>
          <w:sz w:val="25"/>
          <w:szCs w:val="25"/>
        </w:rPr>
        <w:t xml:space="preserve">3. Query decomposition helps, is non-deterministic, and initially traded one failure for another</w:t>
      </w:r>
    </w:p>
    <w:p>
      <w:pPr>
        <w:spacing w:after="120" w:line="276"/>
      </w:pPr>
      <w:r>
        <w:rPr>
          <w:sz w:val="22"/>
          <w:szCs w:val="22"/>
        </w:rPr>
        <w:t xml:space="preserve">Asking the LLM to split each question into focused sub-queries, searching each independently and merging the deduplicated results, reached as high as 95.83% on some runs, the strongest single result measured for retrieval. It also does not return the same number twice: across repeated runs on the identical question set it has scored anywhere from 83.33% to 95.83%, because the decomposition step is itself an LLM generation and varies run to run.</w:t>
      </w:r>
    </w:p>
    <w:p>
      <w:pPr>
        <w:spacing w:after="120" w:line="276"/>
      </w:pPr>
      <w:r>
        <w:rPr>
          <w:sz w:val="22"/>
          <w:szCs w:val="22"/>
        </w:rPr>
        <w:t xml:space="preserve">Inspecting the actual sub-queries generated for the hardest three-file question showed why early attempts underperformed: the model produced near-synonyms of the original question (“requests.get internals”, “requests library source code”, “Python requests get method flow”) rather than splitting by component. Rewriting the prompt to explicitly request one sub-query per distinct function, method, or file fixed that question for the first time, but broke a different one: a question asking what a small metadata file contains started failing, because the model tried to invent decomposable components for a question that has none, producing generic packaging-concept sub-queries instead of just searching for the file directly.</w:t>
      </w:r>
    </w:p>
    <w:p>
      <w:pPr>
        <w:spacing w:after="120" w:line="276"/>
      </w:pPr>
      <w:r>
        <w:rPr>
          <w:sz w:val="22"/>
          <w:szCs w:val="22"/>
        </w:rPr>
        <w:t xml:space="preserve">The final fix adds an explicit branch to the prompt: if the question asks about a single flat piece of information rather than a multi-step mechanism, output the question unchanged as the only sub-query. Tested against both the three-file question and the single-file question that had regressed, both now pass, and the fix reduced total API calls (and therefore cost) rather than increasing them, since single-line pass-through skips the extra search calls a forced three-way split would have made.</w:t>
      </w:r>
    </w:p>
    <w:p>
      <w:pPr>
        <w:spacing w:after="120" w:line="276"/>
      </w:pPr>
      <w:r>
        <w:rPr>
          <w:b/>
          <w:bCs/>
          <w:sz w:val="22"/>
          <w:szCs w:val="22"/>
        </w:rPr>
        <w:t xml:space="preserve">Reporting a single decomposition accuracy number would be misleading; the honest claim is a mean of roughly 92% over an 83–96% range, with the understanding that the technique's reliability depends on whether a given question actually has decomposable structure.</w:t>
      </w:r>
    </w:p>
    <w:p>
      <w:pPr>
        <w:pStyle w:val="Heading2"/>
        <w:spacing w:after="120" w:before="260"/>
      </w:pPr>
      <w:r>
        <w:rPr>
          <w:b/>
          <w:bCs/>
          <w:color w:val="2A2A2A"/>
          <w:sz w:val="25"/>
          <w:szCs w:val="25"/>
        </w:rPr>
        <w:t xml:space="preserve">4. Hybrid keyword search's first two data points understated it</w:t>
      </w:r>
    </w:p>
    <w:p>
      <w:pPr>
        <w:spacing w:after="120" w:line="276"/>
      </w:pPr>
      <w:r>
        <w:rPr>
          <w:sz w:val="22"/>
          <w:szCs w:val="22"/>
        </w:rPr>
        <w:t xml:space="preserve">BM25 keyword scoring combined with semantic search was tried at two weightings early in the project: α=0.5 scored 83.33% (worse than semantic alone), and α=0.7 scored 90.00% (parity, no gain). Based on those two points, hybrid search was reported as not helping.</w:t>
      </w:r>
    </w:p>
    <w:p>
      <w:pPr>
        <w:spacing w:after="120" w:line="276"/>
      </w:pPr>
      <w:r>
        <w:rPr>
          <w:sz w:val="22"/>
          <w:szCs w:val="22"/>
        </w:rPr>
        <w:t xml:space="preserve">A full sweep across eight alpha values later corrected this. Accuracy rises steadily from α=0.3 through α=0.8, peaks at </w:t>
      </w:r>
      <w:r>
        <w:rPr>
          <w:b/>
          <w:bCs/>
          <w:sz w:val="22"/>
          <w:szCs w:val="22"/>
        </w:rPr>
        <w:t xml:space="preserve">93.33% at α=0.8</w:t>
      </w:r>
      <w:r>
        <w:rPr>
          <w:sz w:val="22"/>
          <w:szCs w:val="22"/>
        </w:rPr>
        <w:t xml:space="preserve">, 3.33 points above pure semantic search, then falls back to the semantic-only baseline at α=0.9 and 1.0. The two originally-tried values happened to sit on the rising part of the curve, well short of its actual peak. This result was confirmed stable by re-running α=0.8 twice more against the same precomputed embeddings; being pure cosine-similarity and BM25 arithmetic with no generation step involved, it returned the identical count both times.</w:t>
      </w:r>
    </w:p>
    <w:p>
      <w:pPr>
        <w:spacing w:after="120" w:line="276"/>
      </w:pPr>
      <w:r>
        <w:rPr>
          <w:b/>
          <w:bCs/>
          <w:sz w:val="22"/>
          <w:szCs w:val="22"/>
        </w:rPr>
        <w:t xml:space="preserve">The corrected finding: hybrid search does outperform pure semantic search on this corpus, but only within a fairly narrow band of keyword weighting, and the earlier conclusion, reached honestly from real data but from too few points, was wrong. It is reported here as originally published and then corrected, rather than silently replaced, because the correction is itself evidence the evaluation methodology can catch its own mistakes when pushed further.</w:t>
      </w:r>
    </w:p>
    <w:p>
      <w:pPr>
        <w:pStyle w:val="Heading2"/>
        <w:spacing w:after="120" w:before="260"/>
      </w:pPr>
      <w:r>
        <w:rPr>
          <w:b/>
          <w:bCs/>
          <w:color w:val="2A2A2A"/>
          <w:sz w:val="25"/>
          <w:szCs w:val="25"/>
        </w:rPr>
        <w:t xml:space="preserve">5. Evaluation methodology moved the headline number by 37 points</w:t>
      </w:r>
    </w:p>
    <w:p>
      <w:pPr>
        <w:spacing w:after="120" w:line="276"/>
      </w:pPr>
      <w:r>
        <w:rPr>
          <w:sz w:val="22"/>
          <w:szCs w:val="22"/>
        </w:rPr>
        <w:t xml:space="preserve">Retrieval accuracy only measures whether the right code was found. To measure whether the final answer was correct, generated answers were graded against reference answers by a second LLM call. The first judge prompt returned 37.50% accuracy on a run that closer reading showed was not actually broken. Recalibrating the same prompt to tolerate differently-worded but factually correct answers moved the identical pipeline to 75.00%.</w:t>
      </w:r>
    </w:p>
    <w:p>
      <w:pPr>
        <w:spacing w:after="120" w:line="276"/>
      </w:pPr>
      <w:r>
        <w:rPr>
          <w:b/>
          <w:bCs/>
          <w:sz w:val="22"/>
          <w:szCs w:val="22"/>
        </w:rPr>
        <w:t xml:space="preserve">Judge calibration is a design parameter, not a neutral instrument. A miscalibrated one made a working system look like it failed two questions in three. This was investigated in far more depth in a later pass; see the section below.</w:t>
      </w:r>
    </w:p>
    <w:p>
      <w:pPr>
        <w:pStyle w:val="Heading2"/>
        <w:spacing w:after="120" w:before="260"/>
      </w:pPr>
      <w:r>
        <w:rPr>
          <w:b/>
          <w:bCs/>
          <w:color w:val="2A2A2A"/>
          <w:sz w:val="25"/>
          <w:szCs w:val="25"/>
        </w:rPr>
        <w:t xml:space="preserve">6. Retrieval accuracy overstates system accuracy</w:t>
      </w:r>
    </w:p>
    <w:p>
      <w:pPr>
        <w:spacing w:after="140" w:line="276"/>
      </w:pPr>
      <w:r>
        <w:rPr>
          <w:sz w:val="22"/>
          <w:szCs w:val="22"/>
        </w:rPr>
        <w:t xml:space="preserve">Retrieval accuracy and end-to-end answer accuracy are not the same number, and the gap between them is generation loss: cases where the correct code was in context and the final answer still did not land. Retrieval quality is necessary but not sufficient, and reporting only the retrieval number would flatter the system.</w:t>
      </w:r>
    </w:p>
    <w:p>
      <w:pPr>
        <w:pStyle w:val="Heading1"/>
        <w:spacing w:after="160" w:before="360"/>
      </w:pPr>
      <w:r>
        <w:rPr>
          <w:b/>
          <w:bCs/>
          <w:color w:val="1A1A1A"/>
          <w:sz w:val="30"/>
          <w:szCs w:val="30"/>
        </w:rPr>
        <w:t xml:space="preserve">Cost: the third axis</w:t>
      </w:r>
    </w:p>
    <w:p>
      <w:pPr>
        <w:spacing w:after="140" w:line="276"/>
      </w:pPr>
      <w:r>
        <w:rPr>
          <w:sz w:val="22"/>
          <w:szCs w:val="22"/>
        </w:rPr>
        <w:t xml:space="preserve">Latency and accuracy say nothing about what a strategy costs to run in production. Every embedding and generation call was instrumented to report tokens and cost per call.</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4000"/>
        <w:gridCol w:w="1800"/>
        <w:gridCol w:w="1800"/>
        <w:gridCol w:w="1760"/>
      </w:tblGrid>
      <w:tr>
        <w:trPr>
          <w:tblHeader/>
        </w:trPr>
        <w:tc>
          <w:tcPr>
            <w:tcW w:type="dxa" w:w="4000"/>
            <w:shd w:fill="F2F2F2" w:color="auto" w:val="clear"/>
            <w:tcMar>
              <w:top w:type="dxa" w:w="80"/>
              <w:left w:type="dxa" w:w="120"/>
              <w:bottom w:type="dxa" w:w="80"/>
              <w:right w:type="dxa" w:w="120"/>
            </w:tcMar>
          </w:tcPr>
          <w:p>
            <w:pPr>
              <w:spacing w:after="0"/>
            </w:pPr>
            <w:r>
              <w:rPr>
                <w:b/>
                <w:bCs/>
                <w:sz w:val="21"/>
                <w:szCs w:val="21"/>
              </w:rPr>
              <w:t xml:space="preserve">Strategy</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Accuracy</w:t>
            </w:r>
          </w:p>
        </w:tc>
        <w:tc>
          <w:tcPr>
            <w:tcW w:type="dxa" w:w="1800"/>
            <w:shd w:fill="F2F2F2" w:color="auto" w:val="clear"/>
            <w:tcMar>
              <w:top w:type="dxa" w:w="80"/>
              <w:left w:type="dxa" w:w="120"/>
              <w:bottom w:type="dxa" w:w="80"/>
              <w:right w:type="dxa" w:w="120"/>
            </w:tcMar>
          </w:tcPr>
          <w:p>
            <w:pPr>
              <w:spacing w:after="0"/>
              <w:jc w:val="center"/>
            </w:pPr>
            <w:r>
              <w:rPr>
                <w:b/>
                <w:bCs/>
                <w:sz w:val="21"/>
                <w:szCs w:val="21"/>
              </w:rPr>
              <w:t xml:space="preserve">API calls</w:t>
            </w:r>
          </w:p>
        </w:tc>
        <w:tc>
          <w:tcPr>
            <w:tcW w:type="dxa" w:w="1760"/>
            <w:shd w:fill="F2F2F2" w:color="auto" w:val="clear"/>
            <w:tcMar>
              <w:top w:type="dxa" w:w="80"/>
              <w:left w:type="dxa" w:w="120"/>
              <w:bottom w:type="dxa" w:w="80"/>
              <w:right w:type="dxa" w:w="120"/>
            </w:tcMar>
          </w:tcPr>
          <w:p>
            <w:pPr>
              <w:spacing w:after="0"/>
              <w:jc w:val="center"/>
            </w:pPr>
            <w:r>
              <w:rPr>
                <w:b/>
                <w:bCs/>
                <w:sz w:val="21"/>
                <w:szCs w:val="21"/>
              </w:rPr>
              <w:t xml:space="preserve">Cost (₹)</w:t>
            </w:r>
          </w:p>
        </w:tc>
      </w:tr>
      <w:tr>
        <w:tc>
          <w:tcPr>
            <w:tcW w:type="dxa" w:w="4000"/>
            <w:tcMar>
              <w:top w:type="dxa" w:w="80"/>
              <w:left w:type="dxa" w:w="120"/>
              <w:bottom w:type="dxa" w:w="80"/>
              <w:right w:type="dxa" w:w="120"/>
            </w:tcMar>
          </w:tcPr>
          <w:p>
            <w:pPr>
              <w:spacing w:after="0"/>
            </w:pPr>
            <w:r>
              <w:rPr>
                <w:sz w:val="21"/>
                <w:szCs w:val="21"/>
              </w:rPr>
              <w:t xml:space="preserve">Baseline (function-aware, top-k=6)</w:t>
            </w:r>
          </w:p>
        </w:tc>
        <w:tc>
          <w:tcPr>
            <w:tcW w:type="dxa" w:w="1800"/>
            <w:tcMar>
              <w:top w:type="dxa" w:w="80"/>
              <w:left w:type="dxa" w:w="120"/>
              <w:bottom w:type="dxa" w:w="80"/>
              <w:right w:type="dxa" w:w="120"/>
            </w:tcMar>
          </w:tcPr>
          <w:p>
            <w:pPr>
              <w:spacing w:after="0"/>
              <w:jc w:val="center"/>
            </w:pPr>
            <w:r>
              <w:rPr>
                <w:sz w:val="21"/>
                <w:szCs w:val="21"/>
              </w:rPr>
              <w:t xml:space="preserve">90.00%</w:t>
            </w:r>
          </w:p>
        </w:tc>
        <w:tc>
          <w:tcPr>
            <w:tcW w:type="dxa" w:w="1800"/>
            <w:tcMar>
              <w:top w:type="dxa" w:w="80"/>
              <w:left w:type="dxa" w:w="120"/>
              <w:bottom w:type="dxa" w:w="80"/>
              <w:right w:type="dxa" w:w="120"/>
            </w:tcMar>
          </w:tcPr>
          <w:p>
            <w:pPr>
              <w:spacing w:after="0"/>
              <w:jc w:val="center"/>
            </w:pPr>
            <w:r>
              <w:rPr>
                <w:sz w:val="21"/>
                <w:szCs w:val="21"/>
              </w:rPr>
              <w:t xml:space="preserve">36</w:t>
            </w:r>
          </w:p>
        </w:tc>
        <w:tc>
          <w:tcPr>
            <w:tcW w:type="dxa" w:w="1760"/>
            <w:tcMar>
              <w:top w:type="dxa" w:w="80"/>
              <w:left w:type="dxa" w:w="120"/>
              <w:bottom w:type="dxa" w:w="80"/>
              <w:right w:type="dxa" w:w="120"/>
            </w:tcMar>
          </w:tcPr>
          <w:p>
            <w:pPr>
              <w:spacing w:after="0"/>
              <w:jc w:val="center"/>
            </w:pPr>
            <w:r>
              <w:rPr>
                <w:sz w:val="21"/>
                <w:szCs w:val="21"/>
              </w:rPr>
              <w:t xml:space="preserve">0.0009</w:t>
            </w:r>
          </w:p>
        </w:tc>
      </w:tr>
      <w:tr>
        <w:tc>
          <w:tcPr>
            <w:tcW w:type="dxa" w:w="4000"/>
            <w:tcMar>
              <w:top w:type="dxa" w:w="80"/>
              <w:left w:type="dxa" w:w="120"/>
              <w:bottom w:type="dxa" w:w="80"/>
              <w:right w:type="dxa" w:w="120"/>
            </w:tcMar>
          </w:tcPr>
          <w:p>
            <w:pPr>
              <w:spacing w:after="0"/>
            </w:pPr>
            <w:r>
              <w:rPr>
                <w:sz w:val="21"/>
                <w:szCs w:val="21"/>
              </w:rPr>
              <w:t xml:space="preserve">Hybrid (BM25 + semantic, α=0.8)</w:t>
            </w:r>
          </w:p>
        </w:tc>
        <w:tc>
          <w:tcPr>
            <w:tcW w:type="dxa" w:w="1800"/>
            <w:tcMar>
              <w:top w:type="dxa" w:w="80"/>
              <w:left w:type="dxa" w:w="120"/>
              <w:bottom w:type="dxa" w:w="80"/>
              <w:right w:type="dxa" w:w="120"/>
            </w:tcMar>
          </w:tcPr>
          <w:p>
            <w:pPr>
              <w:spacing w:after="0"/>
              <w:jc w:val="center"/>
            </w:pPr>
            <w:r>
              <w:rPr>
                <w:b/>
                <w:bCs/>
                <w:sz w:val="21"/>
                <w:szCs w:val="21"/>
              </w:rPr>
              <w:t xml:space="preserve">93.33%</w:t>
            </w:r>
          </w:p>
        </w:tc>
        <w:tc>
          <w:tcPr>
            <w:tcW w:type="dxa" w:w="1800"/>
            <w:tcMar>
              <w:top w:type="dxa" w:w="80"/>
              <w:left w:type="dxa" w:w="120"/>
              <w:bottom w:type="dxa" w:w="80"/>
              <w:right w:type="dxa" w:w="120"/>
            </w:tcMar>
          </w:tcPr>
          <w:p>
            <w:pPr>
              <w:spacing w:after="0"/>
              <w:jc w:val="center"/>
            </w:pPr>
            <w:r>
              <w:rPr>
                <w:sz w:val="21"/>
                <w:szCs w:val="21"/>
              </w:rPr>
              <w:t xml:space="preserve">36</w:t>
            </w:r>
          </w:p>
        </w:tc>
        <w:tc>
          <w:tcPr>
            <w:tcW w:type="dxa" w:w="1760"/>
            <w:tcMar>
              <w:top w:type="dxa" w:w="80"/>
              <w:left w:type="dxa" w:w="120"/>
              <w:bottom w:type="dxa" w:w="80"/>
              <w:right w:type="dxa" w:w="120"/>
            </w:tcMar>
          </w:tcPr>
          <w:p>
            <w:pPr>
              <w:spacing w:after="0"/>
              <w:jc w:val="center"/>
            </w:pPr>
            <w:r>
              <w:rPr>
                <w:sz w:val="21"/>
                <w:szCs w:val="21"/>
              </w:rPr>
              <w:t xml:space="preserve">0.0009</w:t>
            </w:r>
          </w:p>
        </w:tc>
      </w:tr>
      <w:tr>
        <w:tc>
          <w:tcPr>
            <w:tcW w:type="dxa" w:w="4000"/>
            <w:tcMar>
              <w:top w:type="dxa" w:w="80"/>
              <w:left w:type="dxa" w:w="120"/>
              <w:bottom w:type="dxa" w:w="80"/>
              <w:right w:type="dxa" w:w="120"/>
            </w:tcMar>
          </w:tcPr>
          <w:p>
            <w:pPr>
              <w:spacing w:after="0"/>
            </w:pPr>
            <w:r>
              <w:rPr>
                <w:sz w:val="21"/>
                <w:szCs w:val="21"/>
              </w:rPr>
              <w:t xml:space="preserve">Query decomposition</w:t>
            </w:r>
          </w:p>
        </w:tc>
        <w:tc>
          <w:tcPr>
            <w:tcW w:type="dxa" w:w="1800"/>
            <w:tcMar>
              <w:top w:type="dxa" w:w="80"/>
              <w:left w:type="dxa" w:w="120"/>
              <w:bottom w:type="dxa" w:w="80"/>
              <w:right w:type="dxa" w:w="120"/>
            </w:tcMar>
          </w:tcPr>
          <w:p>
            <w:pPr>
              <w:spacing w:after="0"/>
              <w:jc w:val="center"/>
            </w:pPr>
            <w:r>
              <w:rPr>
                <w:sz w:val="21"/>
                <w:szCs w:val="21"/>
              </w:rPr>
              <w:t xml:space="preserve">93.33%</w:t>
            </w:r>
          </w:p>
        </w:tc>
        <w:tc>
          <w:tcPr>
            <w:tcW w:type="dxa" w:w="1800"/>
            <w:tcMar>
              <w:top w:type="dxa" w:w="80"/>
              <w:left w:type="dxa" w:w="120"/>
              <w:bottom w:type="dxa" w:w="80"/>
              <w:right w:type="dxa" w:w="120"/>
            </w:tcMar>
          </w:tcPr>
          <w:p>
            <w:pPr>
              <w:spacing w:after="0"/>
              <w:jc w:val="center"/>
            </w:pPr>
            <w:r>
              <w:rPr>
                <w:sz w:val="21"/>
                <w:szCs w:val="21"/>
              </w:rPr>
              <w:t xml:space="preserve">104–144</w:t>
            </w:r>
          </w:p>
        </w:tc>
        <w:tc>
          <w:tcPr>
            <w:tcW w:type="dxa" w:w="1760"/>
            <w:tcMar>
              <w:top w:type="dxa" w:w="80"/>
              <w:left w:type="dxa" w:w="120"/>
              <w:bottom w:type="dxa" w:w="80"/>
              <w:right w:type="dxa" w:w="120"/>
            </w:tcMar>
          </w:tcPr>
          <w:p>
            <w:pPr>
              <w:spacing w:after="0"/>
              <w:jc w:val="center"/>
            </w:pPr>
            <w:r>
              <w:rPr>
                <w:sz w:val="21"/>
                <w:szCs w:val="21"/>
              </w:rPr>
              <w:t xml:space="preserve">0.21–0.23</w:t>
            </w:r>
          </w:p>
        </w:tc>
      </w:tr>
    </w:tbl>
    <w:p>
      <w:pPr>
        <w:spacing w:after="120" w:line="276"/>
      </w:pPr>
      <w:r>
        <w:rPr>
          <w:sz w:val="22"/>
          <w:szCs w:val="22"/>
        </w:rPr>
        <w:t xml:space="preserve"/>
      </w:r>
    </w:p>
    <w:p>
      <w:pPr>
        <w:pStyle w:val="Heading2"/>
        <w:spacing w:after="120" w:before="260"/>
      </w:pPr>
      <w:r>
        <w:rPr>
          <w:b/>
          <w:bCs/>
          <w:color w:val="2A2A2A"/>
          <w:sz w:val="25"/>
          <w:szCs w:val="25"/>
        </w:rPr>
        <w:t xml:space="preserve">Hybrid search's extra signal is free</w:t>
      </w:r>
    </w:p>
    <w:p>
      <w:pPr>
        <w:spacing w:after="140" w:line="276"/>
      </w:pPr>
      <w:r>
        <w:rPr>
          <w:sz w:val="22"/>
          <w:szCs w:val="22"/>
        </w:rPr>
        <w:t xml:space="preserve">Baseline and hybrid report identical cost, because BM25 keyword scoring is computed locally against the already-loaded corpus with no API call involved. Hybrid's only paid call is the same single embedding baseline makes. Combined with Finding 4 above, this means hybrid search added both a second retrieval signal and a real accuracy gain at zero marginal cost.</w:t>
      </w:r>
    </w:p>
    <w:p>
      <w:pPr>
        <w:pStyle w:val="Heading2"/>
        <w:spacing w:after="120" w:before="260"/>
      </w:pPr>
      <w:r>
        <w:rPr>
          <w:b/>
          <w:bCs/>
          <w:color w:val="2A2A2A"/>
          <w:sz w:val="25"/>
          <w:szCs w:val="25"/>
        </w:rPr>
        <w:t xml:space="preserve">Decomposition's cost premium is large and its return is inconsistent</w:t>
      </w:r>
    </w:p>
    <w:p>
      <w:pPr>
        <w:spacing w:after="120" w:line="276"/>
      </w:pPr>
      <w:r>
        <w:rPr>
          <w:sz w:val="22"/>
          <w:szCs w:val="22"/>
        </w:rPr>
        <w:t xml:space="preserve">Decomposition makes multiple calls per question against baseline's roughly one (a sub-query generation call plus one embedding call per sub-query), putting its cost over 100 times higher than baseline. That premium sometimes buys no accuracy improvement over hybrid search, which costs essentially nothing. The honest characterization is that decomposition's expected value is positive but highly variable, and any single run may deliver little improvement at meaningfully higher cost.</w:t>
      </w:r>
    </w:p>
    <w:p>
      <w:pPr>
        <w:pStyle w:val="Heading1"/>
        <w:spacing w:after="160" w:before="360"/>
      </w:pPr>
      <w:r>
        <w:rPr>
          <w:b/>
          <w:bCs/>
          <w:color w:val="1A1A1A"/>
          <w:sz w:val="30"/>
          <w:szCs w:val="30"/>
        </w:rPr>
        <w:t xml:space="preserve">How much an answer is “correct” depends on who is asked</w:t>
      </w:r>
    </w:p>
    <w:p>
      <w:pPr>
        <w:spacing w:after="140" w:line="276"/>
      </w:pPr>
      <w:r>
        <w:rPr>
          <w:sz w:val="22"/>
          <w:szCs w:val="22"/>
        </w:rPr>
        <w:t xml:space="preserve">The judge-calibration finding above, the same pipeline scoring 37.5% or 75% depending on grading-prompt wording, was investigated further using three independently designed judges plus repeated runs, to separate genuine philosophical disagreement from measurement noise.</w:t>
      </w:r>
    </w:p>
    <w:p>
      <w:pPr>
        <w:pStyle w:val="Heading2"/>
        <w:spacing w:after="120" w:before="260"/>
      </w:pPr>
      <w:r>
        <w:rPr>
          <w:b/>
          <w:bCs/>
          <w:color w:val="2A2A2A"/>
          <w:sz w:val="25"/>
          <w:szCs w:val="25"/>
        </w:rPr>
        <w:t xml:space="preserve">Three judges, three different standards</w:t>
      </w:r>
    </w:p>
    <w:p>
      <w:pPr>
        <w:pStyle w:val="ListParagraph"/>
        <w:numPr>
          <w:ilvl w:val="0"/>
          <w:numId w:val="2"/>
        </w:numPr>
        <w:spacing w:after="80" w:line="276"/>
      </w:pPr>
      <w:r>
        <w:rPr>
          <w:b/>
          <w:bCs/>
          <w:sz w:val="22"/>
          <w:szCs w:val="22"/>
        </w:rPr>
        <w:t xml:space="preserve">Lenient</w:t>
      </w:r>
      <w:r>
        <w:rPr>
          <w:sz w:val="22"/>
          <w:szCs w:val="22"/>
        </w:rPr>
        <w:t xml:space="preserve">: passes an answer that captures the reference's main point, regardless of wording, length, or omitted secondary detail.</w:t>
      </w:r>
    </w:p>
    <w:p>
      <w:pPr>
        <w:pStyle w:val="ListParagraph"/>
        <w:numPr>
          <w:ilvl w:val="0"/>
          <w:numId w:val="2"/>
        </w:numPr>
        <w:spacing w:after="80" w:line="276"/>
      </w:pPr>
      <w:r>
        <w:rPr>
          <w:b/>
          <w:bCs/>
          <w:sz w:val="22"/>
          <w:szCs w:val="22"/>
        </w:rPr>
        <w:t xml:space="preserve">Strict</w:t>
      </w:r>
      <w:r>
        <w:rPr>
          <w:sz w:val="22"/>
          <w:szCs w:val="22"/>
        </w:rPr>
        <w:t xml:space="preserve">: same reference comparison, but requires the central claim to match without inventing unsupported detail; omissions the lenient judge tolerates are treated more critically.</w:t>
      </w:r>
    </w:p>
    <w:p>
      <w:pPr>
        <w:pStyle w:val="ListParagraph"/>
        <w:numPr>
          <w:ilvl w:val="0"/>
          <w:numId w:val="2"/>
        </w:numPr>
        <w:spacing w:after="80" w:line="276"/>
      </w:pPr>
      <w:r>
        <w:rPr>
          <w:b/>
          <w:bCs/>
          <w:sz w:val="22"/>
          <w:szCs w:val="22"/>
        </w:rPr>
        <w:t xml:space="preserve">Source-grounded</w:t>
      </w:r>
      <w:r>
        <w:rPr>
          <w:sz w:val="22"/>
          <w:szCs w:val="22"/>
        </w:rPr>
        <w:t xml:space="preserve">: has no access to the reference answer at all. Checks the generated answer directly against the retrieved code, and separately screens for genericness: would this exact answer still sound plausible as a response to a different, superficially similar question about the codebase? If so, it is marked incorrect regardless of factual accuracy.</w:t>
      </w:r>
    </w:p>
    <w:p>
      <w:pPr>
        <w:pStyle w:val="Heading2"/>
        <w:spacing w:after="120" w:before="260"/>
      </w:pPr>
      <w:r>
        <w:rPr>
          <w:b/>
          <w:bCs/>
          <w:color w:val="2A2A2A"/>
          <w:sz w:val="25"/>
          <w:szCs w:val="25"/>
        </w:rPr>
        <w:t xml:space="preserve">Reading the disagreements changed the diagnosis</w:t>
      </w:r>
    </w:p>
    <w:p>
      <w:pPr>
        <w:spacing w:after="120" w:line="276"/>
      </w:pPr>
      <w:r>
        <w:rPr>
          <w:sz w:val="22"/>
          <w:szCs w:val="22"/>
        </w:rPr>
        <w:t xml:space="preserve">An initial two-judge comparison showed 75% agreement, with every disagreement in the same direction: lenient passed, strict failed. Reading the six disputed answers against their references split them into two distinct patterns, not one:</w:t>
      </w:r>
    </w:p>
    <w:p>
      <w:pPr>
        <w:pStyle w:val="ListParagraph"/>
        <w:numPr>
          <w:ilvl w:val="0"/>
          <w:numId w:val="2"/>
        </w:numPr>
        <w:spacing w:after="80" w:line="276"/>
      </w:pPr>
      <w:r>
        <w:rPr>
          <w:sz w:val="22"/>
          <w:szCs w:val="22"/>
        </w:rPr>
        <w:t xml:space="preserve">Genuinely shallow answers, correctly caught by the strict judge, for example, “The api.py module provides the Requests API for making HTTP requests,” which restates the question without saying anything a different module's description could not equally claim.</w:t>
      </w:r>
    </w:p>
    <w:p>
      <w:pPr>
        <w:pStyle w:val="ListParagraph"/>
        <w:numPr>
          <w:ilvl w:val="0"/>
          <w:numId w:val="2"/>
        </w:numPr>
        <w:spacing w:after="80" w:line="276"/>
      </w:pPr>
      <w:r>
        <w:rPr>
          <w:sz w:val="22"/>
          <w:szCs w:val="22"/>
        </w:rPr>
        <w:t xml:space="preserve">Answers more detailed and more specific than the reference itself, incorrectly penalized for not matching the reference's generic phrasing, for example an answer naming resolve_redirects, SessionRedirectMixin, and merge_cookies by name, marked wrong because the reference only described the mechanism in general terms.</w:t>
      </w:r>
    </w:p>
    <w:p>
      <w:pPr>
        <w:spacing w:after="140" w:line="276"/>
      </w:pPr>
      <w:r>
        <w:rPr>
          <w:sz w:val="22"/>
          <w:szCs w:val="22"/>
        </w:rPr>
        <w:t xml:space="preserve">This motivated the source-grounded judge: grade against the actual code, not a single fixed phrasing of the answer, and add an explicit genericness test to still catch the first failure pattern.</w:t>
      </w:r>
    </w:p>
    <w:p>
      <w:pPr>
        <w:pStyle w:val="Heading2"/>
        <w:spacing w:after="120" w:before="260"/>
      </w:pPr>
      <w:r>
        <w:rPr>
          <w:b/>
          <w:bCs/>
          <w:color w:val="2A2A2A"/>
          <w:sz w:val="25"/>
          <w:szCs w:val="25"/>
        </w:rPr>
        <w:t xml:space="preserve">The first grounded design over-corrected</w:t>
      </w:r>
    </w:p>
    <w:p>
      <w:pPr>
        <w:spacing w:after="120" w:line="276"/>
      </w:pPr>
      <w:r>
        <w:rPr>
          <w:sz w:val="22"/>
          <w:szCs w:val="22"/>
        </w:rPr>
        <w:t xml:space="preserve">An initial version of the source-grounded prompt, checking only for false statements or invented behavior, returned a perfect score across every answer, including the genuinely shallow ones. A judge that never fails is not measuring anything; it had fixed the over-penalization problem by removing the ability to penalize at all.</w:t>
      </w:r>
    </w:p>
    <w:p>
      <w:pPr>
        <w:spacing w:after="140" w:line="276"/>
      </w:pPr>
      <w:r>
        <w:rPr>
          <w:sz w:val="22"/>
          <w:szCs w:val="22"/>
        </w:rPr>
        <w:t xml:space="preserve">Adding the explicit genericness criterion restored real discrimination: several previously-passing answers were correctly marked incorrect once the test was in place, without reintroducing the original over-strictness.</w:t>
      </w:r>
    </w:p>
    <w:p>
      <w:pPr>
        <w:pStyle w:val="Heading2"/>
        <w:spacing w:after="120" w:before="260"/>
      </w:pPr>
      <w:r>
        <w:rPr>
          <w:b/>
          <w:bCs/>
          <w:color w:val="2A2A2A"/>
          <w:sz w:val="25"/>
          <w:szCs w:val="25"/>
        </w:rPr>
        <w:t xml:space="preserve">Repeating each judge three times separated real disagreement from noise</w:t>
      </w:r>
    </w:p>
    <w:p>
      <w:pPr>
        <w:spacing w:after="120" w:line="276"/>
      </w:pPr>
      <w:r>
        <w:rPr>
          <w:sz w:val="22"/>
          <w:szCs w:val="22"/>
        </w:rPr>
        <w:t xml:space="preserve">A single run of any judge is a sample, not a measurement. Running the full pipeline three times end to end gave a mean and range for each grading standard:</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800"/>
        <w:gridCol w:w="2780"/>
        <w:gridCol w:w="2780"/>
      </w:tblGrid>
      <w:tr>
        <w:trPr>
          <w:tblHeader/>
        </w:trPr>
        <w:tc>
          <w:tcPr>
            <w:tcW w:type="dxa" w:w="3800"/>
            <w:shd w:fill="F2F2F2" w:color="auto" w:val="clear"/>
            <w:tcMar>
              <w:top w:type="dxa" w:w="80"/>
              <w:left w:type="dxa" w:w="120"/>
              <w:bottom w:type="dxa" w:w="80"/>
              <w:right w:type="dxa" w:w="120"/>
            </w:tcMar>
          </w:tcPr>
          <w:p>
            <w:pPr>
              <w:spacing w:after="0"/>
            </w:pPr>
            <w:r>
              <w:rPr>
                <w:b/>
                <w:bCs/>
                <w:sz w:val="21"/>
                <w:szCs w:val="21"/>
              </w:rPr>
              <w:t xml:space="preserve">Judge</w:t>
            </w:r>
          </w:p>
        </w:tc>
        <w:tc>
          <w:tcPr>
            <w:tcW w:type="dxa" w:w="2780"/>
            <w:shd w:fill="F2F2F2" w:color="auto" w:val="clear"/>
            <w:tcMar>
              <w:top w:type="dxa" w:w="80"/>
              <w:left w:type="dxa" w:w="120"/>
              <w:bottom w:type="dxa" w:w="80"/>
              <w:right w:type="dxa" w:w="120"/>
            </w:tcMar>
          </w:tcPr>
          <w:p>
            <w:pPr>
              <w:spacing w:after="0"/>
              <w:jc w:val="center"/>
            </w:pPr>
            <w:r>
              <w:rPr>
                <w:b/>
                <w:bCs/>
                <w:sz w:val="21"/>
                <w:szCs w:val="21"/>
              </w:rPr>
              <w:t xml:space="preserve">Mean</w:t>
            </w:r>
          </w:p>
        </w:tc>
        <w:tc>
          <w:tcPr>
            <w:tcW w:type="dxa" w:w="2780"/>
            <w:shd w:fill="F2F2F2" w:color="auto" w:val="clear"/>
            <w:tcMar>
              <w:top w:type="dxa" w:w="80"/>
              <w:left w:type="dxa" w:w="120"/>
              <w:bottom w:type="dxa" w:w="80"/>
              <w:right w:type="dxa" w:w="120"/>
            </w:tcMar>
          </w:tcPr>
          <w:p>
            <w:pPr>
              <w:spacing w:after="0"/>
              <w:jc w:val="center"/>
            </w:pPr>
            <w:r>
              <w:rPr>
                <w:b/>
                <w:bCs/>
                <w:sz w:val="21"/>
                <w:szCs w:val="21"/>
              </w:rPr>
              <w:t xml:space="preserve">Range (3 runs)</w:t>
            </w:r>
          </w:p>
        </w:tc>
      </w:tr>
      <w:tr>
        <w:tc>
          <w:tcPr>
            <w:tcW w:type="dxa" w:w="3800"/>
            <w:tcMar>
              <w:top w:type="dxa" w:w="80"/>
              <w:left w:type="dxa" w:w="120"/>
              <w:bottom w:type="dxa" w:w="80"/>
              <w:right w:type="dxa" w:w="120"/>
            </w:tcMar>
          </w:tcPr>
          <w:p>
            <w:pPr>
              <w:spacing w:after="0"/>
            </w:pPr>
            <w:r>
              <w:rPr>
                <w:sz w:val="21"/>
                <w:szCs w:val="21"/>
              </w:rPr>
              <w:t xml:space="preserve">Lenient (vs. reference)</w:t>
            </w:r>
          </w:p>
        </w:tc>
        <w:tc>
          <w:tcPr>
            <w:tcW w:type="dxa" w:w="2780"/>
            <w:tcMar>
              <w:top w:type="dxa" w:w="80"/>
              <w:left w:type="dxa" w:w="120"/>
              <w:bottom w:type="dxa" w:w="80"/>
              <w:right w:type="dxa" w:w="120"/>
            </w:tcMar>
          </w:tcPr>
          <w:p>
            <w:pPr>
              <w:spacing w:after="0"/>
              <w:jc w:val="center"/>
            </w:pPr>
            <w:r>
              <w:rPr>
                <w:sz w:val="21"/>
                <w:szCs w:val="21"/>
              </w:rPr>
              <w:t xml:space="preserve">77.78%</w:t>
            </w:r>
          </w:p>
        </w:tc>
        <w:tc>
          <w:tcPr>
            <w:tcW w:type="dxa" w:w="2780"/>
            <w:tcMar>
              <w:top w:type="dxa" w:w="80"/>
              <w:left w:type="dxa" w:w="120"/>
              <w:bottom w:type="dxa" w:w="80"/>
              <w:right w:type="dxa" w:w="120"/>
            </w:tcMar>
          </w:tcPr>
          <w:p>
            <w:pPr>
              <w:spacing w:after="0"/>
              <w:jc w:val="center"/>
            </w:pPr>
            <w:r>
              <w:rPr>
                <w:sz w:val="21"/>
                <w:szCs w:val="21"/>
              </w:rPr>
              <w:t xml:space="preserve">75.00% – 83.33%</w:t>
            </w:r>
          </w:p>
        </w:tc>
      </w:tr>
      <w:tr>
        <w:tc>
          <w:tcPr>
            <w:tcW w:type="dxa" w:w="3800"/>
            <w:tcMar>
              <w:top w:type="dxa" w:w="80"/>
              <w:left w:type="dxa" w:w="120"/>
              <w:bottom w:type="dxa" w:w="80"/>
              <w:right w:type="dxa" w:w="120"/>
            </w:tcMar>
          </w:tcPr>
          <w:p>
            <w:pPr>
              <w:spacing w:after="0"/>
            </w:pPr>
            <w:r>
              <w:rPr>
                <w:sz w:val="21"/>
                <w:szCs w:val="21"/>
              </w:rPr>
              <w:t xml:space="preserve">Strict (vs. reference)</w:t>
            </w:r>
          </w:p>
        </w:tc>
        <w:tc>
          <w:tcPr>
            <w:tcW w:type="dxa" w:w="2780"/>
            <w:tcMar>
              <w:top w:type="dxa" w:w="80"/>
              <w:left w:type="dxa" w:w="120"/>
              <w:bottom w:type="dxa" w:w="80"/>
              <w:right w:type="dxa" w:w="120"/>
            </w:tcMar>
          </w:tcPr>
          <w:p>
            <w:pPr>
              <w:spacing w:after="0"/>
              <w:jc w:val="center"/>
            </w:pPr>
            <w:r>
              <w:rPr>
                <w:b/>
                <w:bCs/>
                <w:sz w:val="21"/>
                <w:szCs w:val="21"/>
              </w:rPr>
              <w:t xml:space="preserve">59.72%</w:t>
            </w:r>
          </w:p>
        </w:tc>
        <w:tc>
          <w:tcPr>
            <w:tcW w:type="dxa" w:w="2780"/>
            <w:tcMar>
              <w:top w:type="dxa" w:w="80"/>
              <w:left w:type="dxa" w:w="120"/>
              <w:bottom w:type="dxa" w:w="80"/>
              <w:right w:type="dxa" w:w="120"/>
            </w:tcMar>
          </w:tcPr>
          <w:p>
            <w:pPr>
              <w:spacing w:after="0"/>
              <w:jc w:val="center"/>
            </w:pPr>
            <w:r>
              <w:rPr>
                <w:sz w:val="21"/>
                <w:szCs w:val="21"/>
              </w:rPr>
              <w:t xml:space="preserve">58.33% – 62.50%</w:t>
            </w:r>
          </w:p>
        </w:tc>
      </w:tr>
      <w:tr>
        <w:tc>
          <w:tcPr>
            <w:tcW w:type="dxa" w:w="3800"/>
            <w:tcMar>
              <w:top w:type="dxa" w:w="80"/>
              <w:left w:type="dxa" w:w="120"/>
              <w:bottom w:type="dxa" w:w="80"/>
              <w:right w:type="dxa" w:w="120"/>
            </w:tcMar>
          </w:tcPr>
          <w:p>
            <w:pPr>
              <w:spacing w:after="0"/>
            </w:pPr>
            <w:r>
              <w:rPr>
                <w:sz w:val="21"/>
                <w:szCs w:val="21"/>
              </w:rPr>
              <w:t xml:space="preserve">Source-grounded</w:t>
            </w:r>
          </w:p>
        </w:tc>
        <w:tc>
          <w:tcPr>
            <w:tcW w:type="dxa" w:w="2780"/>
            <w:tcMar>
              <w:top w:type="dxa" w:w="80"/>
              <w:left w:type="dxa" w:w="120"/>
              <w:bottom w:type="dxa" w:w="80"/>
              <w:right w:type="dxa" w:w="120"/>
            </w:tcMar>
          </w:tcPr>
          <w:p>
            <w:pPr>
              <w:spacing w:after="0"/>
              <w:jc w:val="center"/>
            </w:pPr>
            <w:r>
              <w:rPr>
                <w:sz w:val="21"/>
                <w:szCs w:val="21"/>
              </w:rPr>
              <w:t xml:space="preserve">83.33%</w:t>
            </w:r>
          </w:p>
        </w:tc>
        <w:tc>
          <w:tcPr>
            <w:tcW w:type="dxa" w:w="2780"/>
            <w:tcMar>
              <w:top w:type="dxa" w:w="80"/>
              <w:left w:type="dxa" w:w="120"/>
              <w:bottom w:type="dxa" w:w="80"/>
              <w:right w:type="dxa" w:w="120"/>
            </w:tcMar>
          </w:tcPr>
          <w:p>
            <w:pPr>
              <w:spacing w:after="0"/>
              <w:jc w:val="center"/>
            </w:pPr>
            <w:r>
              <w:rPr>
                <w:sz w:val="21"/>
                <w:szCs w:val="21"/>
              </w:rPr>
              <w:t xml:space="preserve">79.17% – 87.50%</w:t>
            </w:r>
          </w:p>
        </w:tc>
      </w:tr>
    </w:tbl>
    <w:p>
      <w:pPr>
        <w:spacing w:after="120" w:line="276"/>
      </w:pPr>
      <w:r>
        <w:rPr>
          <w:sz w:val="22"/>
          <w:szCs w:val="22"/>
        </w:rPr>
        <w:t xml:space="preserve"/>
      </w:r>
    </w:p>
    <w:p>
      <w:pPr>
        <w:spacing w:after="120" w:line="276"/>
      </w:pPr>
      <w:r>
        <w:rPr>
          <w:sz w:val="22"/>
          <w:szCs w:val="22"/>
        </w:rPr>
        <w:t xml:space="preserve">Run-to-run variance for each judge stayed under 9 points. The gap between judges, roughly 18 to 24 points between strict and the other two, is four times larger. </w:t>
      </w:r>
      <w:r>
        <w:rPr>
          <w:b/>
          <w:bCs/>
          <w:sz w:val="22"/>
          <w:szCs w:val="22"/>
        </w:rPr>
        <w:t xml:space="preserve">The disagreement is structural, not noise.</w:t>
      </w:r>
      <w:r>
        <w:rPr>
          <w:sz w:val="22"/>
          <w:szCs w:val="22"/>
        </w:rPr>
        <w:t xml:space="preserve"> Strict reference-matching is a consistently harder standard than either lenient reference-matching or source-grounded factual checking; more sampling would not make the three converge.</w:t>
      </w:r>
    </w:p>
    <w:p>
      <w:pPr>
        <w:pStyle w:val="Heading2"/>
        <w:spacing w:after="120" w:before="260"/>
      </w:pPr>
      <w:r>
        <w:rPr>
          <w:b/>
          <w:bCs/>
          <w:color w:val="2A2A2A"/>
          <w:sz w:val="25"/>
          <w:szCs w:val="25"/>
        </w:rPr>
        <w:t xml:space="preserve">The honest reportable claim</w:t>
      </w:r>
    </w:p>
    <w:p>
      <w:pPr>
        <w:spacing w:after="140" w:line="276"/>
      </w:pPr>
      <w:r>
        <w:rPr>
          <w:sz w:val="22"/>
          <w:szCs w:val="22"/>
        </w:rPr>
        <w:t xml:space="preserve">There is no single accuracy number for this system's answer quality. Depending on grading philosophy, measured accuracy ranges from roughly 58% to 87%. Reporting only the most favorable figure, or only one judge's output, would misrepresent a genuinely multi-valued result as a single point estimate. The range itself, with the mechanism behind it, is the finding.</w:t>
      </w:r>
    </w:p>
    <w:p>
      <w:pPr>
        <w:pStyle w:val="Heading1"/>
        <w:spacing w:after="160" w:before="360"/>
      </w:pPr>
      <w:r>
        <w:rPr>
          <w:b/>
          <w:bCs/>
          <w:color w:val="1A1A1A"/>
          <w:sz w:val="30"/>
          <w:szCs w:val="30"/>
        </w:rPr>
        <w:t xml:space="preserve">Abstention and hallucination</w:t>
      </w:r>
    </w:p>
    <w:p>
      <w:pPr>
        <w:spacing w:after="120" w:line="276"/>
      </w:pPr>
      <w:r>
        <w:rPr>
          <w:sz w:val="22"/>
          <w:szCs w:val="22"/>
        </w:rPr>
        <w:t xml:space="preserve">Six unanswerable questions test whether the system invents behaviour for code that does not exist. All six were answered with an explicit refusal across every configuration tested: a 0.00% hallucination rate throughout.</w:t>
      </w:r>
    </w:p>
    <w:p>
      <w:pPr>
        <w:spacing w:after="120" w:line="276"/>
      </w:pPr>
      <w:r>
        <w:rPr>
          <w:i/>
          <w:iCs/>
          <w:sz w:val="22"/>
          <w:szCs w:val="22"/>
        </w:rPr>
        <w:t xml:space="preserve">This result depends on an explicit instruction in the generation prompt to abstain rather than guess. It is a designed behaviour, not an emergent one. Abstention detection in the harness itself is currently simple keyword matching over the response text, which is adequate for six controlled cases but has not been stress-tested against a larger or adversarial set, a known and stated limitation rather than a hidden one.</w:t>
      </w:r>
    </w:p>
    <w:p>
      <w:pPr>
        <w:pStyle w:val="Heading1"/>
        <w:spacing w:after="160" w:before="360"/>
      </w:pPr>
      <w:r>
        <w:rPr>
          <w:b/>
          <w:bCs/>
          <w:color w:val="1A1A1A"/>
          <w:sz w:val="30"/>
          <w:szCs w:val="30"/>
        </w:rPr>
        <w:t xml:space="preserve">Repository layout</w:t>
      </w:r>
    </w:p>
    <w:tbl>
      <w:tblPr>
        <w:tblW w:type="dxa" w:w="936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6360"/>
      </w:tblGrid>
      <w:tr>
        <w:trPr>
          <w:tblHeader/>
        </w:trPr>
        <w:tc>
          <w:tcPr>
            <w:tcW w:type="dxa" w:w="3000"/>
            <w:shd w:fill="F2F2F2" w:color="auto" w:val="clear"/>
            <w:tcMar>
              <w:top w:type="dxa" w:w="80"/>
              <w:left w:type="dxa" w:w="120"/>
              <w:bottom w:type="dxa" w:w="80"/>
              <w:right w:type="dxa" w:w="120"/>
            </w:tcMar>
          </w:tcPr>
          <w:p>
            <w:pPr>
              <w:spacing w:after="0"/>
            </w:pPr>
            <w:r>
              <w:rPr>
                <w:b/>
                <w:bCs/>
                <w:sz w:val="21"/>
                <w:szCs w:val="21"/>
              </w:rPr>
              <w:t xml:space="preserve">File</w:t>
            </w:r>
          </w:p>
        </w:tc>
        <w:tc>
          <w:tcPr>
            <w:tcW w:type="dxa" w:w="6360"/>
            <w:shd w:fill="F2F2F2" w:color="auto" w:val="clear"/>
            <w:tcMar>
              <w:top w:type="dxa" w:w="80"/>
              <w:left w:type="dxa" w:w="120"/>
              <w:bottom w:type="dxa" w:w="80"/>
              <w:right w:type="dxa" w:w="120"/>
            </w:tcMar>
          </w:tcPr>
          <w:p>
            <w:pPr>
              <w:spacing w:after="0"/>
            </w:pPr>
            <w:r>
              <w:rPr>
                <w:b/>
                <w:bCs/>
                <w:sz w:val="21"/>
                <w:szCs w:val="21"/>
              </w:rPr>
              <w:t xml:space="preserve">Responsibility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build_index.py</w:t>
            </w:r>
          </w:p>
        </w:tc>
        <w:tc>
          <w:tcPr>
            <w:tcW w:type="dxa" w:w="6360"/>
            <w:tcMar>
              <w:top w:type="dxa" w:w="80"/>
              <w:left w:type="dxa" w:w="120"/>
              <w:bottom w:type="dxa" w:w="80"/>
              <w:right w:type="dxa" w:w="120"/>
            </w:tcMar>
          </w:tcPr>
          <w:p>
            <w:pPr>
              <w:spacing w:after="0"/>
            </w:pPr>
            <w:r>
              <w:rPr>
                <w:sz w:val="21"/>
                <w:szCs w:val="21"/>
              </w:rPr>
              <w:t xml:space="preserve">Both chunking strategies (fixed-line and AST-based), embedding generation, persistence of the two indexes</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search.py</w:t>
            </w:r>
          </w:p>
        </w:tc>
        <w:tc>
          <w:tcPr>
            <w:tcW w:type="dxa" w:w="6360"/>
            <w:tcMar>
              <w:top w:type="dxa" w:w="80"/>
              <w:left w:type="dxa" w:w="120"/>
              <w:bottom w:type="dxa" w:w="80"/>
              <w:right w:type="dxa" w:w="120"/>
            </w:tcMar>
          </w:tcPr>
          <w:p>
            <w:pPr>
              <w:spacing w:after="0"/>
            </w:pPr>
            <w:r>
              <w:rPr>
                <w:sz w:val="21"/>
                <w:szCs w:val="21"/>
              </w:rPr>
              <w:t xml:space="preserve">Cosine-similarity retrieval; accepts an injectable chunk set and cost tracker so strategies share one code path</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search_decomposed.py</w:t>
            </w:r>
          </w:p>
        </w:tc>
        <w:tc>
          <w:tcPr>
            <w:tcW w:type="dxa" w:w="6360"/>
            <w:tcMar>
              <w:top w:type="dxa" w:w="80"/>
              <w:left w:type="dxa" w:w="120"/>
              <w:bottom w:type="dxa" w:w="80"/>
              <w:right w:type="dxa" w:w="120"/>
            </w:tcMar>
          </w:tcPr>
          <w:p>
            <w:pPr>
              <w:spacing w:after="0"/>
            </w:pPr>
            <w:r>
              <w:rPr>
                <w:sz w:val="21"/>
                <w:szCs w:val="21"/>
              </w:rPr>
              <w:t xml:space="preserve">LLM sub-query generation with pass-through detection for non-decomposable questions, per-sub-query search, score-max deduplication and merge</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search_hybrid.py</w:t>
            </w:r>
          </w:p>
        </w:tc>
        <w:tc>
          <w:tcPr>
            <w:tcW w:type="dxa" w:w="6360"/>
            <w:tcMar>
              <w:top w:type="dxa" w:w="80"/>
              <w:left w:type="dxa" w:w="120"/>
              <w:bottom w:type="dxa" w:w="80"/>
              <w:right w:type="dxa" w:w="120"/>
            </w:tcMar>
          </w:tcPr>
          <w:p>
            <w:pPr>
              <w:spacing w:after="0"/>
            </w:pPr>
            <w:r>
              <w:rPr>
                <w:sz w:val="21"/>
                <w:szCs w:val="21"/>
              </w:rPr>
              <w:t xml:space="preserve">BM25 index, min-max score normalisation, weighted fusion with tunable α</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alpha_sweep.py</w:t>
            </w:r>
          </w:p>
        </w:tc>
        <w:tc>
          <w:tcPr>
            <w:tcW w:type="dxa" w:w="6360"/>
            <w:tcMar>
              <w:top w:type="dxa" w:w="80"/>
              <w:left w:type="dxa" w:w="120"/>
              <w:bottom w:type="dxa" w:w="80"/>
              <w:right w:type="dxa" w:w="120"/>
            </w:tcMar>
          </w:tcPr>
          <w:p>
            <w:pPr>
              <w:spacing w:after="0"/>
            </w:pPr>
            <w:r>
              <w:rPr>
                <w:sz w:val="21"/>
                <w:szCs w:val="21"/>
              </w:rPr>
              <w:t xml:space="preserve">Precomputes embeddings and BM25 scores once, sweeps α across eight values with zero additional API cost</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generate_answer.py</w:t>
            </w:r>
          </w:p>
        </w:tc>
        <w:tc>
          <w:tcPr>
            <w:tcW w:type="dxa" w:w="6360"/>
            <w:tcMar>
              <w:top w:type="dxa" w:w="80"/>
              <w:left w:type="dxa" w:w="120"/>
              <w:bottom w:type="dxa" w:w="80"/>
              <w:right w:type="dxa" w:w="120"/>
            </w:tcMar>
          </w:tcPr>
          <w:p>
            <w:pPr>
              <w:spacing w:after="0"/>
            </w:pPr>
            <w:r>
              <w:rPr>
                <w:sz w:val="21"/>
                <w:szCs w:val="21"/>
              </w:rPr>
              <w:t xml:space="preserve">Context assembly and answer generation with abstention instruction</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cost_tracker.py</w:t>
            </w:r>
          </w:p>
        </w:tc>
        <w:tc>
          <w:tcPr>
            <w:tcW w:type="dxa" w:w="6360"/>
            <w:tcMar>
              <w:top w:type="dxa" w:w="80"/>
              <w:left w:type="dxa" w:w="120"/>
              <w:bottom w:type="dxa" w:w="80"/>
              <w:right w:type="dxa" w:w="120"/>
            </w:tcMar>
          </w:tcPr>
          <w:p>
            <w:pPr>
              <w:spacing w:after="0"/>
            </w:pPr>
            <w:r>
              <w:rPr>
                <w:sz w:val="21"/>
                <w:szCs w:val="21"/>
              </w:rPr>
              <w:t xml:space="preserve">Records tokens and cost per API call across all strategies, including a manual cost formula for embedding calls that the gateway does not price natively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check_answer_quality.py</w:t>
            </w:r>
          </w:p>
        </w:tc>
        <w:tc>
          <w:tcPr>
            <w:tcW w:type="dxa" w:w="6360"/>
            <w:tcMar>
              <w:top w:type="dxa" w:w="80"/>
              <w:left w:type="dxa" w:w="120"/>
              <w:bottom w:type="dxa" w:w="80"/>
              <w:right w:type="dxa" w:w="120"/>
            </w:tcMar>
          </w:tcPr>
          <w:p>
            <w:pPr>
              <w:spacing w:after="0"/>
            </w:pPr>
            <w:r>
              <w:rPr>
                <w:sz w:val="21"/>
                <w:szCs w:val="21"/>
              </w:rPr>
              <w:t xml:space="preserve">Three-judge end-to-end answer grading (lenient, strict, source-grounded) plus latency measurement</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judge_variance_check.py</w:t>
            </w:r>
          </w:p>
        </w:tc>
        <w:tc>
          <w:tcPr>
            <w:tcW w:type="dxa" w:w="6360"/>
            <w:tcMar>
              <w:top w:type="dxa" w:w="80"/>
              <w:left w:type="dxa" w:w="120"/>
              <w:bottom w:type="dxa" w:w="80"/>
              <w:right w:type="dxa" w:w="120"/>
            </w:tcMar>
          </w:tcPr>
          <w:p>
            <w:pPr>
              <w:spacing w:after="0"/>
            </w:pPr>
            <w:r>
              <w:rPr>
                <w:sz w:val="21"/>
                <w:szCs w:val="21"/>
              </w:rPr>
              <w:t xml:space="preserve">Repeats the three-judge evaluation across multiple runs to separate genuine disagreement from sampling noise</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run_eval.py</w:t>
            </w:r>
          </w:p>
        </w:tc>
        <w:tc>
          <w:tcPr>
            <w:tcW w:type="dxa" w:w="6360"/>
            <w:tcMar>
              <w:top w:type="dxa" w:w="80"/>
              <w:left w:type="dxa" w:w="120"/>
              <w:bottom w:type="dxa" w:w="80"/>
              <w:right w:type="dxa" w:w="120"/>
            </w:tcMar>
          </w:tcPr>
          <w:p>
            <w:pPr>
              <w:spacing w:after="0"/>
            </w:pPr>
            <w:r>
              <w:rPr>
                <w:sz w:val="21"/>
                <w:szCs w:val="21"/>
              </w:rPr>
              <w:t xml:space="preserve">Harness: runs every strategy against the eval set, scores multi-source questions strictly, reports failures and cost per strategy</w:t>
            </w:r>
          </w:p>
        </w:tc>
      </w:tr>
      <w:tr>
        <w:tc>
          <w:tcPr>
            <w:tcW w:type="dxa" w:w="3000"/>
            <w:tcMar>
              <w:top w:type="dxa" w:w="80"/>
              <w:left w:type="dxa" w:w="120"/>
              <w:bottom w:type="dxa" w:w="80"/>
              <w:right w:type="dxa" w:w="120"/>
            </w:tcMar>
          </w:tcPr>
          <w:p>
            <w:pPr>
              <w:spacing w:after="0"/>
            </w:pPr>
            <w:r>
              <w:rPr>
                <w:rFonts w:ascii="Consolas" w:cs="Consolas" w:eastAsia="Consolas" w:hAnsi="Consolas"/>
                <w:sz w:val="21"/>
                <w:szCs w:val="21"/>
              </w:rPr>
              <w:t xml:space="preserve">eval_set.json</w:t>
            </w:r>
          </w:p>
        </w:tc>
        <w:tc>
          <w:tcPr>
            <w:tcW w:type="dxa" w:w="6360"/>
            <w:tcMar>
              <w:top w:type="dxa" w:w="80"/>
              <w:left w:type="dxa" w:w="120"/>
              <w:bottom w:type="dxa" w:w="80"/>
              <w:right w:type="dxa" w:w="120"/>
            </w:tcMar>
          </w:tcPr>
          <w:p>
            <w:pPr>
              <w:spacing w:after="0"/>
            </w:pPr>
            <w:r>
              <w:rPr>
                <w:sz w:val="21"/>
                <w:szCs w:val="21"/>
              </w:rPr>
              <w:t xml:space="preserve">The 36-question ground truth: question, reference answer, expected source files, category</w:t>
            </w:r>
          </w:p>
        </w:tc>
      </w:tr>
    </w:tbl>
    <w:p>
      <w:pPr>
        <w:spacing w:after="140" w:line="276"/>
      </w:pPr>
      <w:r>
        <w:rPr>
          <w:sz w:val="22"/>
          <w:szCs w:val="22"/>
        </w:rPr>
        <w:t xml:space="preserve"/>
      </w:r>
    </w:p>
    <w:p>
      <w:pPr>
        <w:pStyle w:val="Heading2"/>
        <w:spacing w:after="120" w:before="260"/>
      </w:pPr>
      <w:r>
        <w:rPr>
          <w:b/>
          <w:bCs/>
          <w:color w:val="2A2A2A"/>
          <w:sz w:val="25"/>
          <w:szCs w:val="25"/>
        </w:rPr>
        <w:t xml:space="preserve">Design notes</w:t>
      </w:r>
    </w:p>
    <w:p>
      <w:pPr>
        <w:pStyle w:val="ListParagraph"/>
        <w:numPr>
          <w:ilvl w:val="0"/>
          <w:numId w:val="2"/>
        </w:numPr>
        <w:spacing w:after="80" w:line="276"/>
      </w:pPr>
      <w:r>
        <w:rPr>
          <w:sz w:val="22"/>
          <w:szCs w:val="22"/>
        </w:rPr>
        <w:t xml:space="preserve">Embeddings are computed once per chunking strategy and persisted, not recomputed per query. The alpha sweep applies the same principle to parameter tuning: embeddings and BM25 scores are computed once and reused across all eight alpha values, rather than re-querying the API for each.</w:t>
      </w:r>
    </w:p>
    <w:p>
      <w:pPr>
        <w:spacing w:after="120" w:line="276"/>
      </w:pPr>
      <w:r>
        <w:rPr>
          <w:sz w:val="22"/>
          <w:szCs w:val="22"/>
        </w:rPr>
        <w:t xml:space="preserve">Multi-source expectations are parsed with a regex over the </w:t>
      </w:r>
      <w:r>
        <w:rPr>
          <w:rFonts w:ascii="Consolas" w:cs="Consolas" w:eastAsia="Consolas" w:hAnsi="Consolas"/>
          <w:sz w:val="22"/>
          <w:szCs w:val="22"/>
        </w:rPr>
        <w:t xml:space="preserve">source</w:t>
      </w:r>
      <w:r>
        <w:rPr>
          <w:sz w:val="22"/>
          <w:szCs w:val="22"/>
        </w:rPr>
        <w:t xml:space="preserve"> field rather than naïve comma-splitting, after an earlier version silently mishandled entries whose reference text contained a comma.</w:t>
      </w:r>
    </w:p>
    <w:p>
      <w:pPr>
        <w:pStyle w:val="ListParagraph"/>
        <w:numPr>
          <w:ilvl w:val="0"/>
          <w:numId w:val="2"/>
        </w:numPr>
        <w:spacing w:after="80" w:line="276"/>
      </w:pPr>
      <w:r>
        <w:rPr>
          <w:sz w:val="22"/>
          <w:szCs w:val="22"/>
        </w:rPr>
        <w:t xml:space="preserve">Every strategy shares one search path via dependency injection of the chunk set and cost tracker, so comparisons differ only in the variable under test.</w:t>
      </w:r>
    </w:p>
    <w:p>
      <w:pPr>
        <w:pStyle w:val="Heading1"/>
        <w:spacing w:after="160" w:before="360"/>
      </w:pPr>
      <w:r>
        <w:rPr>
          <w:b/>
          <w:bCs/>
          <w:color w:val="1A1A1A"/>
          <w:sz w:val="30"/>
          <w:szCs w:val="30"/>
        </w:rPr>
        <w:t xml:space="preserve">Limitations</w:t>
      </w:r>
    </w:p>
    <w:p>
      <w:pPr>
        <w:spacing w:after="120" w:line="276"/>
      </w:pPr>
      <w:r>
        <w:rPr>
          <w:sz w:val="22"/>
          <w:szCs w:val="22"/>
        </w:rPr>
        <w:t xml:space="preserve">Stated plainly, because a comparison table without them would overclaim:</w:t>
      </w:r>
    </w:p>
    <w:p>
      <w:pPr>
        <w:pStyle w:val="ListParagraph"/>
        <w:numPr>
          <w:ilvl w:val="0"/>
          <w:numId w:val="2"/>
        </w:numPr>
        <w:spacing w:after="80" w:line="276"/>
      </w:pPr>
      <w:r>
        <w:rPr>
          <w:sz w:val="22"/>
          <w:szCs w:val="22"/>
        </w:rPr>
        <w:t xml:space="preserve">Thirty-six questions is still a modest sample. Differences between strategies remain directional rather than statistically airtight, though the set was expanded once this pass specifically to close known coverage gaps rather than left untouched.</w:t>
      </w:r>
    </w:p>
    <w:p>
      <w:pPr>
        <w:spacing w:after="120" w:line="276"/>
      </w:pPr>
      <w:r>
        <w:rPr>
          <w:i/>
          <w:iCs/>
          <w:sz w:val="22"/>
          <w:szCs w:val="22"/>
        </w:rPr>
        <w:t xml:space="preserve">Resolved in this pass: </w:t>
      </w:r>
      <w:r>
        <w:rPr>
          <w:sz w:val="22"/>
          <w:szCs w:val="22"/>
        </w:rPr>
        <w:t xml:space="preserve">the single-judge, single-reference limitation was addressed with three independently designed judges and repeated runs. The result was not a single better judge, but a demonstrated, stable 18–24 point gap between grading philosophies — a more honest outcome than convergence would have been.</w:t>
      </w:r>
    </w:p>
    <w:p>
      <w:pPr>
        <w:spacing w:after="120" w:line="276"/>
      </w:pPr>
      <w:r>
        <w:rPr>
          <w:i/>
          <w:iCs/>
          <w:sz w:val="22"/>
          <w:szCs w:val="22"/>
        </w:rPr>
        <w:t xml:space="preserve">Resolved in this pass: </w:t>
      </w:r>
      <w:r>
        <w:rPr>
          <w:sz w:val="22"/>
          <w:szCs w:val="22"/>
        </w:rPr>
        <w:t xml:space="preserve">the hybrid-search conclusion reported earlier in the project (“never beats pure semantic”) was based on only two alpha values and has been corrected after a full sweep found a real, stable improvement at α=0.8.</w:t>
      </w:r>
    </w:p>
    <w:p>
      <w:pPr>
        <w:pStyle w:val="ListParagraph"/>
        <w:numPr>
          <w:ilvl w:val="0"/>
          <w:numId w:val="2"/>
        </w:numPr>
        <w:spacing w:after="80" w:line="276"/>
      </w:pPr>
      <w:r>
        <w:rPr>
          <w:sz w:val="22"/>
          <w:szCs w:val="22"/>
        </w:rPr>
        <w:t xml:space="preserve">Abstention is still detected by keyword matching over the generated text. Adequate for six controlled cases; unaddressed for a larger or adversarial set.</w:t>
      </w:r>
    </w:p>
    <w:p>
      <w:pPr>
        <w:pStyle w:val="ListParagraph"/>
        <w:numPr>
          <w:ilvl w:val="0"/>
          <w:numId w:val="2"/>
        </w:numPr>
        <w:spacing w:after="80" w:line="276"/>
      </w:pPr>
      <w:r>
        <w:rPr>
          <w:sz w:val="22"/>
          <w:szCs w:val="22"/>
        </w:rPr>
        <w:t xml:space="preserve">Function-level retrieval precision has not been measured. Scoring checks whether the correct file was retrieved, not whether the correct function within it was, a coarser bar than it may appear from the headline numbers.</w:t>
      </w:r>
    </w:p>
    <w:p>
      <w:pPr>
        <w:pStyle w:val="ListParagraph"/>
        <w:numPr>
          <w:ilvl w:val="0"/>
          <w:numId w:val="2"/>
        </w:numPr>
        <w:spacing w:after="80" w:line="276"/>
      </w:pPr>
      <w:r>
        <w:rPr>
          <w:sz w:val="22"/>
          <w:szCs w:val="22"/>
        </w:rPr>
        <w:t xml:space="preserve">Results are specific to a single 20-file Python corpus. Findings about which techniques help, and by how much, should not be assumed to generalise to a different codebase's file-size distribution or structure.</w:t>
      </w:r>
    </w:p>
    <w:p>
      <w:pPr>
        <w:pStyle w:val="Heading1"/>
        <w:spacing w:after="160" w:before="360"/>
      </w:pPr>
      <w:r>
        <w:rPr>
          <w:b/>
          <w:bCs/>
          <w:color w:val="1A1A1A"/>
          <w:sz w:val="30"/>
          <w:szCs w:val="30"/>
        </w:rPr>
        <w:t xml:space="preserve">Stack</w:t>
      </w:r>
    </w:p>
    <w:p>
      <w:pPr>
        <w:spacing w:after="120" w:line="276"/>
      </w:pPr>
      <w:r>
        <w:rPr>
          <w:sz w:val="22"/>
          <w:szCs w:val="22"/>
        </w:rPr>
        <w:t xml:space="preserve">Python · </w:t>
      </w:r>
      <w:r>
        <w:rPr>
          <w:rFonts w:ascii="Consolas" w:cs="Consolas" w:eastAsia="Consolas" w:hAnsi="Consolas"/>
          <w:sz w:val="22"/>
          <w:szCs w:val="22"/>
        </w:rPr>
        <w:t xml:space="preserve">ast</w:t>
      </w:r>
      <w:r>
        <w:rPr>
          <w:sz w:val="22"/>
          <w:szCs w:val="22"/>
        </w:rPr>
        <w:t xml:space="preserve"> for structural chunking · </w:t>
      </w:r>
      <w:r>
        <w:rPr>
          <w:rFonts w:ascii="Consolas" w:cs="Consolas" w:eastAsia="Consolas" w:hAnsi="Consolas"/>
          <w:sz w:val="22"/>
          <w:szCs w:val="22"/>
        </w:rPr>
        <w:t xml:space="preserve">text-embedding-3-small</w:t>
      </w:r>
      <w:r>
        <w:rPr>
          <w:sz w:val="22"/>
          <w:szCs w:val="22"/>
        </w:rPr>
        <w:t xml:space="preserve"> · </w:t>
      </w:r>
      <w:r>
        <w:rPr>
          <w:rFonts w:ascii="Consolas" w:cs="Consolas" w:eastAsia="Consolas" w:hAnsi="Consolas"/>
          <w:sz w:val="22"/>
          <w:szCs w:val="22"/>
        </w:rPr>
        <w:t xml:space="preserve">gpt-4o-mini</w:t>
      </w:r>
      <w:r>
        <w:rPr>
          <w:sz w:val="22"/>
          <w:szCs w:val="22"/>
        </w:rPr>
        <w:t xml:space="preserve"> for generation, decomposition, and three-way judging · </w:t>
      </w:r>
      <w:r>
        <w:rPr>
          <w:rFonts w:ascii="Consolas" w:cs="Consolas" w:eastAsia="Consolas" w:hAnsi="Consolas"/>
          <w:sz w:val="22"/>
          <w:szCs w:val="22"/>
        </w:rPr>
        <w:t xml:space="preserve">numpy</w:t>
      </w:r>
      <w:r>
        <w:rPr>
          <w:sz w:val="22"/>
          <w:szCs w:val="22"/>
        </w:rPr>
        <w:t xml:space="preserve"> · </w:t>
      </w:r>
      <w:r>
        <w:rPr>
          <w:rFonts w:ascii="Consolas" w:cs="Consolas" w:eastAsia="Consolas" w:hAnsi="Consolas"/>
          <w:sz w:val="22"/>
          <w:szCs w:val="22"/>
        </w:rPr>
        <w:t xml:space="preserve">rank-bm25</w:t>
      </w:r>
      <w:r>
        <w:rPr>
          <w:sz w:val="22"/>
          <w:szCs w:val="22"/>
        </w:rPr>
        <w:t xml:space="preserve"> · corpus: </w:t>
      </w:r>
      <w:r>
        <w:rPr>
          <w:rFonts w:ascii="Consolas" w:cs="Consolas" w:eastAsia="Consolas" w:hAnsi="Consolas"/>
          <w:sz w:val="22"/>
          <w:szCs w:val="22"/>
        </w:rPr>
        <w:t xml:space="preserve">psf/requests</w:t>
      </w:r>
      <w:r>
        <w:rPr>
          <w:sz w:val="22"/>
          <w:szCs w:val="22"/>
        </w:rPr>
        <w:t xml:space="preserve"> (20 source files, 320 function-aware chunks)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2026-09-14T11:48:59.326Z</dcterms:created>
  <dcterms:modified xsi:type="dcterms:W3CDTF">2026-09-14T11:48:59.336Z</dcterms:modified>
</cp:coreProperties>
</file>

<file path=docProps/custom.xml><?xml version="1.0" encoding="utf-8"?>
<Properties xmlns="http://schemas.openxmlformats.org/officeDocument/2006/custom-properties" xmlns:vt="http://schemas.openxmlformats.org/officeDocument/2006/docPropsVTypes"/>
</file>