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F188" w14:textId="24D496A2" w:rsidR="001262CC" w:rsidRPr="00DB6779" w:rsidRDefault="001262CC" w:rsidP="00B70082">
      <w:pPr>
        <w:rPr>
          <w:rFonts w:ascii="Helvetica" w:hAnsi="Helvetica"/>
          <w:sz w:val="20"/>
          <w:szCs w:val="20"/>
        </w:rPr>
      </w:pPr>
      <w:r w:rsidRPr="00DB6779">
        <w:rPr>
          <w:rFonts w:ascii="Helvetica" w:hAnsi="Helvetica"/>
          <w:b/>
          <w:bCs/>
          <w:sz w:val="20"/>
          <w:szCs w:val="20"/>
        </w:rPr>
        <w:t>Abstract</w:t>
      </w:r>
      <w:r w:rsidRPr="00DB6779">
        <w:rPr>
          <w:rFonts w:ascii="Helvetica" w:hAnsi="Helvetica"/>
          <w:sz w:val="20"/>
          <w:szCs w:val="20"/>
        </w:rPr>
        <w:t xml:space="preserve"> (250 Words Max)</w:t>
      </w:r>
    </w:p>
    <w:p w14:paraId="3913A364" w14:textId="77777777" w:rsidR="005E1617" w:rsidRPr="00DB6779" w:rsidRDefault="005E1617" w:rsidP="00B70082">
      <w:pPr>
        <w:rPr>
          <w:rFonts w:ascii="Helvetica" w:eastAsiaTheme="minorHAnsi" w:hAnsi="Helvetica" w:cs="Helvetica"/>
          <w:sz w:val="20"/>
          <w:szCs w:val="20"/>
          <w:lang w:val="en-GB" w:eastAsia="en-US"/>
        </w:rPr>
      </w:pPr>
    </w:p>
    <w:p w14:paraId="67C3528C" w14:textId="11DBB448" w:rsidR="00CA7CF1" w:rsidRDefault="001D6B03" w:rsidP="00B70082">
      <w:pPr>
        <w:rPr>
          <w:rFonts w:ascii="Helvetica" w:eastAsiaTheme="minorHAnsi" w:hAnsi="Helvetica" w:cs="Helvetica"/>
          <w:sz w:val="20"/>
          <w:szCs w:val="20"/>
          <w:lang w:val="en-GB" w:eastAsia="en-US"/>
        </w:rPr>
      </w:pPr>
      <w:r w:rsidRPr="001D6B03">
        <w:rPr>
          <w:rFonts w:ascii="Helvetica" w:eastAsiaTheme="minorHAnsi" w:hAnsi="Helvetica" w:cs="Helvetica"/>
          <w:sz w:val="20"/>
          <w:szCs w:val="20"/>
          <w:lang w:val="en-GB" w:eastAsia="en-US"/>
        </w:rPr>
        <w:t>A high-resolution infrared spectrum of gaseous Carbon Monoxide (CO), taken at room temperature and atmospheric pressure, is examined for characteristic rotational structure between 2000 and 2200 wavenumbers. The rotational structure is assigned, and both quadratic and cubic functions are used comparatively to extract rotational constants of interest. The cubic function is found to have a stronger correlation to experimental data than the quadratic (through a comparison of residuals), likely because the $x^3$ term accounts for centrifugal distortion. Gathered constants were calculated as follows: $</w:t>
      </w:r>
      <w:proofErr w:type="spellStart"/>
      <w:r w:rsidRPr="001D6B03">
        <w:rPr>
          <w:rFonts w:ascii="Helvetica" w:eastAsiaTheme="minorHAnsi" w:hAnsi="Helvetica" w:cs="Helvetica"/>
          <w:sz w:val="20"/>
          <w:szCs w:val="20"/>
          <w:lang w:val="en-GB" w:eastAsia="en-US"/>
        </w:rPr>
        <w:t>B_e</w:t>
      </w:r>
      <w:proofErr w:type="spellEnd"/>
      <w:r w:rsidRPr="001D6B03">
        <w:rPr>
          <w:rFonts w:ascii="Helvetica" w:eastAsiaTheme="minorHAnsi" w:hAnsi="Helvetica" w:cs="Helvetica"/>
          <w:sz w:val="20"/>
          <w:szCs w:val="20"/>
          <w:lang w:val="en-GB" w:eastAsia="en-US"/>
        </w:rPr>
        <w:t xml:space="preserve"> = 1.9312(</w:t>
      </w:r>
      <w:proofErr w:type="gramStart"/>
      <w:r w:rsidRPr="001D6B03">
        <w:rPr>
          <w:rFonts w:ascii="Helvetica" w:eastAsiaTheme="minorHAnsi" w:hAnsi="Helvetica" w:cs="Helvetica"/>
          <w:sz w:val="20"/>
          <w:szCs w:val="20"/>
          <w:lang w:val="en-GB" w:eastAsia="en-US"/>
        </w:rPr>
        <w:t>10)$</w:t>
      </w:r>
      <w:proofErr w:type="gramEnd"/>
      <w:r w:rsidRPr="001D6B03">
        <w:rPr>
          <w:rFonts w:ascii="Helvetica" w:eastAsiaTheme="minorHAnsi" w:hAnsi="Helvetica" w:cs="Helvetica"/>
          <w:sz w:val="20"/>
          <w:szCs w:val="20"/>
          <w:lang w:val="en-GB" w:eastAsia="en-US"/>
        </w:rPr>
        <w:t>, $B_1 = 1.9054(10)$, $\omega = 2143.190(13)$, $\</w:t>
      </w:r>
      <w:proofErr w:type="spellStart"/>
      <w:r w:rsidRPr="001D6B03">
        <w:rPr>
          <w:rFonts w:ascii="Helvetica" w:eastAsiaTheme="minorHAnsi" w:hAnsi="Helvetica" w:cs="Helvetica"/>
          <w:sz w:val="20"/>
          <w:szCs w:val="20"/>
          <w:lang w:val="en-GB" w:eastAsia="en-US"/>
        </w:rPr>
        <w:t>alpha_e</w:t>
      </w:r>
      <w:proofErr w:type="spellEnd"/>
      <w:r w:rsidRPr="001D6B03">
        <w:rPr>
          <w:rFonts w:ascii="Helvetica" w:eastAsiaTheme="minorHAnsi" w:hAnsi="Helvetica" w:cs="Helvetica"/>
          <w:sz w:val="20"/>
          <w:szCs w:val="20"/>
          <w:lang w:val="en-GB" w:eastAsia="en-US"/>
        </w:rPr>
        <w:t xml:space="preserve"> = 0.0175(19)$, $B_0 = 1.9224(10)$ cm$^{-1}$, and $</w:t>
      </w:r>
      <w:proofErr w:type="spellStart"/>
      <w:r w:rsidRPr="001D6B03">
        <w:rPr>
          <w:rFonts w:ascii="Helvetica" w:eastAsiaTheme="minorHAnsi" w:hAnsi="Helvetica" w:cs="Helvetica"/>
          <w:sz w:val="20"/>
          <w:szCs w:val="20"/>
          <w:lang w:val="en-GB" w:eastAsia="en-US"/>
        </w:rPr>
        <w:t>r_e</w:t>
      </w:r>
      <w:proofErr w:type="spellEnd"/>
      <w:r w:rsidRPr="001D6B03">
        <w:rPr>
          <w:rFonts w:ascii="Helvetica" w:eastAsiaTheme="minorHAnsi" w:hAnsi="Helvetica" w:cs="Helvetica"/>
          <w:sz w:val="20"/>
          <w:szCs w:val="20"/>
          <w:lang w:val="en-GB" w:eastAsia="en-US"/>
        </w:rPr>
        <w:t xml:space="preserve"> = 1.1282(15)$ \AA. The usefulness of Carbon Monoxide (and the determined values) to determine the temperature of astronomical bodies is discussed, and basic models using a Boltzmann distribution and experimental data are constructed.</w:t>
      </w:r>
    </w:p>
    <w:p w14:paraId="349FDD96" w14:textId="77777777" w:rsidR="001D6B03" w:rsidRPr="00DB6779" w:rsidRDefault="001D6B03" w:rsidP="00B70082">
      <w:pPr>
        <w:rPr>
          <w:rFonts w:ascii="Helvetica" w:hAnsi="Helvetica"/>
          <w:b/>
          <w:bCs/>
          <w:sz w:val="20"/>
          <w:szCs w:val="20"/>
        </w:rPr>
      </w:pPr>
    </w:p>
    <w:p w14:paraId="35295748" w14:textId="4E06887A" w:rsidR="001262CC" w:rsidRPr="00DB6779" w:rsidRDefault="001262CC" w:rsidP="00B70082">
      <w:pPr>
        <w:rPr>
          <w:rFonts w:ascii="Helvetica" w:hAnsi="Helvetica"/>
          <w:sz w:val="20"/>
          <w:szCs w:val="20"/>
        </w:rPr>
      </w:pPr>
      <w:r w:rsidRPr="00DB6779">
        <w:rPr>
          <w:rFonts w:ascii="Helvetica" w:hAnsi="Helvetica"/>
          <w:b/>
          <w:bCs/>
          <w:sz w:val="20"/>
          <w:szCs w:val="20"/>
        </w:rPr>
        <w:t>Introduction</w:t>
      </w:r>
      <w:r w:rsidRPr="00DB6779">
        <w:rPr>
          <w:rFonts w:ascii="Helvetica" w:hAnsi="Helvetica"/>
          <w:sz w:val="20"/>
          <w:szCs w:val="20"/>
        </w:rPr>
        <w:t xml:space="preserve"> (500 words max)</w:t>
      </w:r>
    </w:p>
    <w:p w14:paraId="01DE65FF" w14:textId="5C844BCC" w:rsidR="005E1617" w:rsidRDefault="005E1617" w:rsidP="00EC053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C4059F1" w14:textId="77777777" w:rsidR="002557C0" w:rsidRPr="002557C0"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2557C0">
        <w:rPr>
          <w:rFonts w:ascii="Helvetica" w:eastAsiaTheme="minorHAnsi" w:hAnsi="Helvetica" w:cs="Helvetica"/>
          <w:sz w:val="20"/>
          <w:szCs w:val="20"/>
          <w:lang w:val="en-GB" w:eastAsia="en-US"/>
        </w:rPr>
        <w:t>In this experiment, a research grade spectrometer is used to take a precise IR spectrum of gaseous carbon monoxide (CO) at room temperature and pressure; the rotational structure of note (between about 2000 and 22000 wavenumbers) is then assigned, with P and R branches being identified (reference figure \ref{</w:t>
      </w:r>
      <w:proofErr w:type="spellStart"/>
      <w:proofErr w:type="gramStart"/>
      <w:r w:rsidRPr="002557C0">
        <w:rPr>
          <w:rFonts w:ascii="Helvetica" w:eastAsiaTheme="minorHAnsi" w:hAnsi="Helvetica" w:cs="Helvetica"/>
          <w:sz w:val="20"/>
          <w:szCs w:val="20"/>
          <w:lang w:val="en-GB" w:eastAsia="en-US"/>
        </w:rPr>
        <w:t>fig:transitions</w:t>
      </w:r>
      <w:proofErr w:type="spellEnd"/>
      <w:proofErr w:type="gramEnd"/>
      <w:r w:rsidRPr="002557C0">
        <w:rPr>
          <w:rFonts w:ascii="Helvetica" w:eastAsiaTheme="minorHAnsi" w:hAnsi="Helvetica" w:cs="Helvetica"/>
          <w:sz w:val="20"/>
          <w:szCs w:val="20"/>
          <w:lang w:val="en-GB" w:eastAsia="en-US"/>
        </w:rPr>
        <w:t>}). A curve is then fitted to the data to extract $B_1$, $B_0$ and $\omega$, which are then in turn used to calculate $</w:t>
      </w:r>
      <w:proofErr w:type="spellStart"/>
      <w:r w:rsidRPr="002557C0">
        <w:rPr>
          <w:rFonts w:ascii="Helvetica" w:eastAsiaTheme="minorHAnsi" w:hAnsi="Helvetica" w:cs="Helvetica"/>
          <w:sz w:val="20"/>
          <w:szCs w:val="20"/>
          <w:lang w:val="en-GB" w:eastAsia="en-US"/>
        </w:rPr>
        <w:t>B_e</w:t>
      </w:r>
      <w:proofErr w:type="spellEnd"/>
      <w:r w:rsidRPr="002557C0">
        <w:rPr>
          <w:rFonts w:ascii="Helvetica" w:eastAsiaTheme="minorHAnsi" w:hAnsi="Helvetica" w:cs="Helvetica"/>
          <w:sz w:val="20"/>
          <w:szCs w:val="20"/>
          <w:lang w:val="en-GB" w:eastAsia="en-US"/>
        </w:rPr>
        <w:t>$ and $</w:t>
      </w:r>
      <w:proofErr w:type="spellStart"/>
      <w:r w:rsidRPr="002557C0">
        <w:rPr>
          <w:rFonts w:ascii="Helvetica" w:eastAsiaTheme="minorHAnsi" w:hAnsi="Helvetica" w:cs="Helvetica"/>
          <w:sz w:val="20"/>
          <w:szCs w:val="20"/>
          <w:lang w:val="en-GB" w:eastAsia="en-US"/>
        </w:rPr>
        <w:t>r_e</w:t>
      </w:r>
      <w:proofErr w:type="spellEnd"/>
      <w:r w:rsidRPr="002557C0">
        <w:rPr>
          <w:rFonts w:ascii="Helvetica" w:eastAsiaTheme="minorHAnsi" w:hAnsi="Helvetica" w:cs="Helvetica"/>
          <w:sz w:val="20"/>
          <w:szCs w:val="20"/>
          <w:lang w:val="en-GB" w:eastAsia="en-US"/>
        </w:rPr>
        <w:t>$. These values are compared to published literature to gauge experimental accuracy and precision.</w:t>
      </w:r>
    </w:p>
    <w:p w14:paraId="2BC76139" w14:textId="77777777" w:rsidR="002557C0" w:rsidRPr="002557C0"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60AE6AF1" w14:textId="0BC858FF" w:rsidR="00E86052"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2557C0">
        <w:rPr>
          <w:rFonts w:ascii="Helvetica" w:eastAsiaTheme="minorHAnsi" w:hAnsi="Helvetica" w:cs="Helvetica"/>
          <w:sz w:val="20"/>
          <w:szCs w:val="20"/>
          <w:lang w:val="en-GB" w:eastAsia="en-US"/>
        </w:rPr>
        <w:t>This process is repeated for quadratic and cubic fits, and the two are quantitively and qualitatively compared. The data is then used to make a basic model based on a Boltzmann distribution that can be used to predict the temperature of stellar bodies. This model is ‘sanity checked’ by using it to calculate what the temperature of the sample the spectra was gathered from and comparing this to expectations of room temperature.</w:t>
      </w:r>
    </w:p>
    <w:p w14:paraId="200AF1ED" w14:textId="77777777" w:rsidR="002557C0" w:rsidRPr="00E86052"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1E497C04"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w:t>
      </w:r>
      <w:proofErr w:type="gramStart"/>
      <w:r w:rsidRPr="00E86052">
        <w:rPr>
          <w:rFonts w:ascii="Helvetica" w:eastAsiaTheme="minorHAnsi" w:hAnsi="Helvetica" w:cs="Helvetica"/>
          <w:sz w:val="20"/>
          <w:szCs w:val="20"/>
          <w:lang w:val="en-GB" w:eastAsia="en-US"/>
        </w:rPr>
        <w:t>begin</w:t>
      </w:r>
      <w:proofErr w:type="gramEnd"/>
      <w:r w:rsidRPr="00E86052">
        <w:rPr>
          <w:rFonts w:ascii="Helvetica" w:eastAsiaTheme="minorHAnsi" w:hAnsi="Helvetica" w:cs="Helvetica"/>
          <w:sz w:val="20"/>
          <w:szCs w:val="20"/>
          <w:lang w:val="en-GB" w:eastAsia="en-US"/>
        </w:rPr>
        <w:t>{equation}</w:t>
      </w:r>
    </w:p>
    <w:p w14:paraId="04275E7A"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\label{</w:t>
      </w:r>
      <w:proofErr w:type="spellStart"/>
      <w:proofErr w:type="gramStart"/>
      <w:r w:rsidRPr="00E86052">
        <w:rPr>
          <w:rFonts w:ascii="Helvetica" w:eastAsiaTheme="minorHAnsi" w:hAnsi="Helvetica" w:cs="Helvetica"/>
          <w:sz w:val="20"/>
          <w:szCs w:val="20"/>
          <w:lang w:val="en-GB" w:eastAsia="en-US"/>
        </w:rPr>
        <w:t>eqn:B</w:t>
      </w:r>
      <w:proofErr w:type="spellEnd"/>
      <w:proofErr w:type="gramEnd"/>
      <w:r w:rsidRPr="00E86052">
        <w:rPr>
          <w:rFonts w:ascii="Helvetica" w:eastAsiaTheme="minorHAnsi" w:hAnsi="Helvetica" w:cs="Helvetica"/>
          <w:sz w:val="20"/>
          <w:szCs w:val="20"/>
          <w:lang w:val="en-GB" w:eastAsia="en-US"/>
        </w:rPr>
        <w:t>}</w:t>
      </w:r>
    </w:p>
    <w:p w14:paraId="75602A8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xml:space="preserve"> = \frac{h</w:t>
      </w:r>
      <w:proofErr w:type="gramStart"/>
      <w:r w:rsidRPr="00E86052">
        <w:rPr>
          <w:rFonts w:ascii="Helvetica" w:eastAsiaTheme="minorHAnsi" w:hAnsi="Helvetica" w:cs="Helvetica"/>
          <w:sz w:val="20"/>
          <w:szCs w:val="20"/>
          <w:lang w:val="en-GB" w:eastAsia="en-US"/>
        </w:rPr>
        <w:t>}{</w:t>
      </w:r>
      <w:proofErr w:type="gramEnd"/>
      <w:r w:rsidRPr="00E86052">
        <w:rPr>
          <w:rFonts w:ascii="Helvetica" w:eastAsiaTheme="minorHAnsi" w:hAnsi="Helvetica" w:cs="Helvetica"/>
          <w:sz w:val="20"/>
          <w:szCs w:val="20"/>
          <w:lang w:val="en-GB" w:eastAsia="en-US"/>
        </w:rPr>
        <w:t>8 \pi^2 c \mu r_e^2}, \</w:t>
      </w:r>
      <w:proofErr w:type="spellStart"/>
      <w:r w:rsidRPr="00E86052">
        <w:rPr>
          <w:rFonts w:ascii="Helvetica" w:eastAsiaTheme="minorHAnsi" w:hAnsi="Helvetica" w:cs="Helvetica"/>
          <w:sz w:val="20"/>
          <w:szCs w:val="20"/>
          <w:lang w:val="en-GB" w:eastAsia="en-US"/>
        </w:rPr>
        <w:t>qquad</w:t>
      </w:r>
      <w:proofErr w:type="spellEnd"/>
      <w:r w:rsidRPr="00E86052">
        <w:rPr>
          <w:rFonts w:ascii="Helvetica" w:eastAsiaTheme="minorHAnsi" w:hAnsi="Helvetica" w:cs="Helvetica"/>
          <w:sz w:val="20"/>
          <w:szCs w:val="20"/>
          <w:lang w:val="en-GB" w:eastAsia="en-US"/>
        </w:rPr>
        <w:t xml:space="preserve"> \mu = \frac{m_1 m_2}{m_1 + m_2} </w:t>
      </w:r>
    </w:p>
    <w:p w14:paraId="054DB1A7"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w:t>
      </w:r>
      <w:proofErr w:type="gramStart"/>
      <w:r w:rsidRPr="00E86052">
        <w:rPr>
          <w:rFonts w:ascii="Helvetica" w:eastAsiaTheme="minorHAnsi" w:hAnsi="Helvetica" w:cs="Helvetica"/>
          <w:sz w:val="20"/>
          <w:szCs w:val="20"/>
          <w:lang w:val="en-GB" w:eastAsia="en-US"/>
        </w:rPr>
        <w:t>end</w:t>
      </w:r>
      <w:proofErr w:type="gramEnd"/>
      <w:r w:rsidRPr="00E86052">
        <w:rPr>
          <w:rFonts w:ascii="Helvetica" w:eastAsiaTheme="minorHAnsi" w:hAnsi="Helvetica" w:cs="Helvetica"/>
          <w:sz w:val="20"/>
          <w:szCs w:val="20"/>
          <w:lang w:val="en-GB" w:eastAsia="en-US"/>
        </w:rPr>
        <w:t>{equation}</w:t>
      </w:r>
    </w:p>
    <w:p w14:paraId="10A51755"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287CCC2E"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In this experiment, a research grade spectrometer is used to take a precise IR spectrum of gaseous carbon monoxide (CO) at room temperature and pressure; the rotational structure of note (between about 2000 and 22000 wavenumbers) is then assigned, with P and R branches being identified (reference figure \ref{</w:t>
      </w:r>
      <w:proofErr w:type="spellStart"/>
      <w:proofErr w:type="gramStart"/>
      <w:r w:rsidRPr="00E86052">
        <w:rPr>
          <w:rFonts w:ascii="Helvetica" w:eastAsiaTheme="minorHAnsi" w:hAnsi="Helvetica" w:cs="Helvetica"/>
          <w:sz w:val="20"/>
          <w:szCs w:val="20"/>
          <w:lang w:val="en-GB" w:eastAsia="en-US"/>
        </w:rPr>
        <w:t>fig:transitions</w:t>
      </w:r>
      <w:proofErr w:type="spellEnd"/>
      <w:proofErr w:type="gramEnd"/>
      <w:r w:rsidRPr="00E86052">
        <w:rPr>
          <w:rFonts w:ascii="Helvetica" w:eastAsiaTheme="minorHAnsi" w:hAnsi="Helvetica" w:cs="Helvetica"/>
          <w:sz w:val="20"/>
          <w:szCs w:val="20"/>
          <w:lang w:val="en-GB" w:eastAsia="en-US"/>
        </w:rPr>
        <w:t>}). A curve is then fitted to the data to extract $B_1$, $B_0$ and $\omega$, which are then in turn used to calculate $</w:t>
      </w: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and $</w:t>
      </w:r>
      <w:proofErr w:type="spellStart"/>
      <w:r w:rsidRPr="00E86052">
        <w:rPr>
          <w:rFonts w:ascii="Helvetica" w:eastAsiaTheme="minorHAnsi" w:hAnsi="Helvetica" w:cs="Helvetica"/>
          <w:sz w:val="20"/>
          <w:szCs w:val="20"/>
          <w:lang w:val="en-GB" w:eastAsia="en-US"/>
        </w:rPr>
        <w:t>r_e</w:t>
      </w:r>
      <w:proofErr w:type="spellEnd"/>
      <w:r w:rsidRPr="00E86052">
        <w:rPr>
          <w:rFonts w:ascii="Helvetica" w:eastAsiaTheme="minorHAnsi" w:hAnsi="Helvetica" w:cs="Helvetica"/>
          <w:sz w:val="20"/>
          <w:szCs w:val="20"/>
          <w:lang w:val="en-GB" w:eastAsia="en-US"/>
        </w:rPr>
        <w:t>$. These values are compared to published literature to gauge experimental accuracy and precision.</w:t>
      </w:r>
    </w:p>
    <w:p w14:paraId="56B1D24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A5CB609" w14:textId="7EDDF31E" w:rsidR="00E86052" w:rsidRPr="00DB6779"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This process is repeated for quadratic and cubic fits, and the two are quantitively and qualitatively compared. The data is then used to make a basic model based on a Boltzmann distribution that can be used to predict the temperature of stellar bodies. This model is ‘sanity checked’ by using it to calculate what the temperature of the sample the spectra was gathered from and comparing this to expectations of room temperature.</w:t>
      </w:r>
    </w:p>
    <w:p w14:paraId="5D8745C6" w14:textId="77777777" w:rsidR="00EC0533" w:rsidRPr="00DB6779" w:rsidRDefault="00EC0533" w:rsidP="00EC0533">
      <w:pPr>
        <w:rPr>
          <w:rFonts w:ascii="Helvetica" w:hAnsi="Helvetica"/>
          <w:sz w:val="20"/>
          <w:szCs w:val="20"/>
        </w:rPr>
      </w:pPr>
    </w:p>
    <w:p w14:paraId="49021F05" w14:textId="77777777" w:rsidR="001262CC" w:rsidRPr="00DB6779" w:rsidRDefault="001262CC" w:rsidP="00B70082">
      <w:pPr>
        <w:rPr>
          <w:rFonts w:ascii="Helvetica" w:hAnsi="Helvetica"/>
          <w:b/>
          <w:bCs/>
          <w:sz w:val="20"/>
          <w:szCs w:val="20"/>
        </w:rPr>
      </w:pPr>
      <w:r w:rsidRPr="00DB6779">
        <w:rPr>
          <w:rFonts w:ascii="Helvetica" w:hAnsi="Helvetica"/>
          <w:b/>
          <w:bCs/>
          <w:sz w:val="20"/>
          <w:szCs w:val="20"/>
        </w:rPr>
        <w:t>Experimental Methods</w:t>
      </w:r>
    </w:p>
    <w:p w14:paraId="03F82AF3" w14:textId="77777777" w:rsidR="00EE0C6A" w:rsidRPr="00DB6779" w:rsidRDefault="00EE0C6A" w:rsidP="007C020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74A3D0CA" w14:textId="71B6D73E" w:rsidR="00E86052" w:rsidRPr="00E86052" w:rsidRDefault="00E86052" w:rsidP="00E86052">
      <w:pPr>
        <w:spacing w:after="160" w:line="259" w:lineRule="auto"/>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Data was recorded using a {SPECTROMETER NAME} FT IR spectrometer, using a high resolution and by averaging 64 scans to ensure usable, high-resolution data.</w:t>
      </w:r>
    </w:p>
    <w:p w14:paraId="46E3E331" w14:textId="4B8DC600" w:rsidR="00DD0277" w:rsidRPr="00DB6779" w:rsidRDefault="00E86052" w:rsidP="00E86052">
      <w:pPr>
        <w:spacing w:after="160" w:line="259" w:lineRule="auto"/>
        <w:rPr>
          <w:rFonts w:ascii="Helvetica" w:eastAsiaTheme="minorHAnsi" w:hAnsi="Helvetica" w:cs="Helvetica"/>
          <w:sz w:val="20"/>
          <w:szCs w:val="20"/>
          <w:lang w:val="en-GB" w:eastAsia="en-US"/>
        </w:rPr>
      </w:pPr>
      <w:proofErr w:type="gramStart"/>
      <w:r w:rsidRPr="00E86052">
        <w:rPr>
          <w:rFonts w:ascii="Helvetica" w:eastAsiaTheme="minorHAnsi" w:hAnsi="Helvetica" w:cs="Helvetica"/>
          <w:sz w:val="20"/>
          <w:szCs w:val="20"/>
          <w:lang w:val="en-GB" w:eastAsia="en-US"/>
        </w:rPr>
        <w:t>In order to</w:t>
      </w:r>
      <w:proofErr w:type="gramEnd"/>
      <w:r w:rsidRPr="00E86052">
        <w:rPr>
          <w:rFonts w:ascii="Helvetica" w:eastAsiaTheme="minorHAnsi" w:hAnsi="Helvetica" w:cs="Helvetica"/>
          <w:sz w:val="20"/>
          <w:szCs w:val="20"/>
          <w:lang w:val="en-GB" w:eastAsia="en-US"/>
        </w:rPr>
        <w:t xml:space="preserve"> correctly model the global precession of the data, both a cubic and a quadratic function were used and compared. These functions were defined as follows in \ref{</w:t>
      </w:r>
      <w:proofErr w:type="spellStart"/>
      <w:proofErr w:type="gramStart"/>
      <w:r w:rsidRPr="00E86052">
        <w:rPr>
          <w:rFonts w:ascii="Helvetica" w:eastAsiaTheme="minorHAnsi" w:hAnsi="Helvetica" w:cs="Helvetica"/>
          <w:sz w:val="20"/>
          <w:szCs w:val="20"/>
          <w:lang w:val="en-GB" w:eastAsia="en-US"/>
        </w:rPr>
        <w:t>eqn:fit</w:t>
      </w:r>
      <w:proofErr w:type="spellEnd"/>
      <w:proofErr w:type="gramEnd"/>
      <w:r w:rsidRPr="00E86052">
        <w:rPr>
          <w:rFonts w:ascii="Helvetica" w:eastAsiaTheme="minorHAnsi" w:hAnsi="Helvetica" w:cs="Helvetica"/>
          <w:sz w:val="20"/>
          <w:szCs w:val="20"/>
          <w:lang w:val="en-GB" w:eastAsia="en-US"/>
        </w:rPr>
        <w:t>}, with the quadratic version simply emitting the cubic term, i.e., $ D = 0$. Note that $D$ is just an arbitrary constant, whose physical meaning will be discussed later.</w:t>
      </w:r>
    </w:p>
    <w:p w14:paraId="31E1BECD" w14:textId="40784CA6" w:rsidR="00EE0C6A" w:rsidRPr="00DB6779" w:rsidRDefault="00AE20D3">
      <w:pPr>
        <w:spacing w:after="160" w:line="259" w:lineRule="auto"/>
        <w:rPr>
          <w:rFonts w:ascii="Helvetica" w:hAnsi="Helvetica"/>
          <w:b/>
          <w:bCs/>
          <w:sz w:val="20"/>
          <w:szCs w:val="20"/>
        </w:rPr>
      </w:pPr>
      <w:r w:rsidRPr="00AE20D3">
        <w:rPr>
          <w:rFonts w:ascii="Helvetica" w:eastAsiaTheme="minorHAnsi" w:hAnsi="Helvetica" w:cs="Helvetica"/>
          <w:sz w:val="20"/>
          <w:szCs w:val="20"/>
          <w:lang w:val="en-GB" w:eastAsia="en-US"/>
        </w:rPr>
        <w:t>Data processing was done largely in \</w:t>
      </w:r>
      <w:proofErr w:type="spellStart"/>
      <w:proofErr w:type="gram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w:t>
      </w:r>
      <w:proofErr w:type="gramEnd"/>
      <w:r w:rsidRPr="00AE20D3">
        <w:rPr>
          <w:rFonts w:ascii="Helvetica" w:eastAsiaTheme="minorHAnsi" w:hAnsi="Helvetica" w:cs="Helvetica"/>
          <w:sz w:val="20"/>
          <w:szCs w:val="20"/>
          <w:lang w:val="en-GB" w:eastAsia="en-US"/>
        </w:rPr>
        <w:t>Python 3}, with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{Mathematica} being used for some algebra and unit conversions. \</w:t>
      </w:r>
      <w:proofErr w:type="spellStart"/>
      <w:proofErr w:type="gram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w:t>
      </w:r>
      <w:proofErr w:type="gramEnd"/>
      <w:r w:rsidRPr="00AE20D3">
        <w:rPr>
          <w:rFonts w:ascii="Helvetica" w:eastAsiaTheme="minorHAnsi" w:hAnsi="Helvetica" w:cs="Helvetica"/>
          <w:sz w:val="20"/>
          <w:szCs w:val="20"/>
          <w:lang w:val="en-GB" w:eastAsia="en-US"/>
        </w:rPr>
        <w:t>SciPy} ( and several of its daughter packages),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{NumPy} and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 xml:space="preserve">{Matplotlib} were used extensively. Python code, raw </w:t>
      </w:r>
      <w:proofErr w:type="gramStart"/>
      <w:r w:rsidRPr="00AE20D3">
        <w:rPr>
          <w:rFonts w:ascii="Helvetica" w:eastAsiaTheme="minorHAnsi" w:hAnsi="Helvetica" w:cs="Helvetica"/>
          <w:sz w:val="20"/>
          <w:szCs w:val="20"/>
          <w:lang w:val="en-GB" w:eastAsia="en-US"/>
        </w:rPr>
        <w:t>data ,</w:t>
      </w:r>
      <w:proofErr w:type="gramEnd"/>
      <w:r w:rsidRPr="00AE20D3">
        <w:rPr>
          <w:rFonts w:ascii="Helvetica" w:eastAsiaTheme="minorHAnsi" w:hAnsi="Helvetica" w:cs="Helvetica"/>
          <w:sz w:val="20"/>
          <w:szCs w:val="20"/>
          <w:lang w:val="en-GB" w:eastAsia="en-US"/>
        </w:rPr>
        <w:t xml:space="preserve"> {\LaTeX} files and illustrations can be found on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 xml:space="preserve">{GitHub}\cite{GitHub}. Error handling was done natively within these packages. </w:t>
      </w:r>
      <w:r w:rsidR="00EE0C6A" w:rsidRPr="00DB6779">
        <w:rPr>
          <w:rFonts w:ascii="Helvetica" w:hAnsi="Helvetica"/>
          <w:b/>
          <w:bCs/>
          <w:sz w:val="20"/>
          <w:szCs w:val="20"/>
        </w:rPr>
        <w:br w:type="page"/>
      </w:r>
    </w:p>
    <w:p w14:paraId="36CA5156" w14:textId="1D075276" w:rsidR="007C32D3" w:rsidRPr="00DB6779" w:rsidRDefault="001262CC" w:rsidP="00B70082">
      <w:pPr>
        <w:rPr>
          <w:rFonts w:ascii="Helvetica" w:hAnsi="Helvetica"/>
          <w:sz w:val="20"/>
          <w:szCs w:val="20"/>
        </w:rPr>
      </w:pPr>
      <w:r w:rsidRPr="00DB6779">
        <w:rPr>
          <w:rFonts w:ascii="Helvetica" w:hAnsi="Helvetica"/>
          <w:b/>
          <w:bCs/>
          <w:sz w:val="20"/>
          <w:szCs w:val="20"/>
        </w:rPr>
        <w:lastRenderedPageBreak/>
        <w:t>Results</w:t>
      </w:r>
      <w:r w:rsidR="0041214C" w:rsidRPr="00DB6779">
        <w:rPr>
          <w:rFonts w:ascii="Helvetica" w:hAnsi="Helvetica"/>
          <w:b/>
          <w:bCs/>
          <w:sz w:val="20"/>
          <w:szCs w:val="20"/>
        </w:rPr>
        <w:t xml:space="preserve"> </w:t>
      </w:r>
      <w:r w:rsidR="0041214C" w:rsidRPr="00DB6779">
        <w:rPr>
          <w:rFonts w:ascii="Helvetica" w:hAnsi="Helvetica"/>
          <w:sz w:val="20"/>
          <w:szCs w:val="20"/>
        </w:rPr>
        <w:t>(1500 words Max</w:t>
      </w:r>
      <w:r w:rsidR="007C32D3" w:rsidRPr="00DB6779">
        <w:rPr>
          <w:rFonts w:ascii="Helvetica" w:hAnsi="Helvetica"/>
          <w:sz w:val="20"/>
          <w:szCs w:val="20"/>
        </w:rPr>
        <w:t xml:space="preserve"> with discussion</w:t>
      </w:r>
      <w:r w:rsidR="0041214C" w:rsidRPr="00DB6779">
        <w:rPr>
          <w:rFonts w:ascii="Helvetica" w:hAnsi="Helvetica"/>
          <w:sz w:val="20"/>
          <w:szCs w:val="20"/>
        </w:rPr>
        <w:t>)</w:t>
      </w:r>
    </w:p>
    <w:tbl>
      <w:tblPr>
        <w:tblStyle w:val="TableGrid"/>
        <w:tblW w:w="0" w:type="auto"/>
        <w:tblLook w:val="04A0" w:firstRow="1" w:lastRow="0" w:firstColumn="1" w:lastColumn="0" w:noHBand="0" w:noVBand="1"/>
      </w:tblPr>
      <w:tblGrid>
        <w:gridCol w:w="1413"/>
        <w:gridCol w:w="1984"/>
        <w:gridCol w:w="1985"/>
        <w:gridCol w:w="1984"/>
        <w:gridCol w:w="1984"/>
      </w:tblGrid>
      <w:tr w:rsidR="00DB6779" w:rsidRPr="00DB6779" w14:paraId="0E47E8F4" w14:textId="74028648" w:rsidTr="00DF1680">
        <w:tc>
          <w:tcPr>
            <w:tcW w:w="1413" w:type="dxa"/>
          </w:tcPr>
          <w:p w14:paraId="3CCD68C1" w14:textId="00CFB4C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Parameter</w:t>
            </w:r>
          </w:p>
        </w:tc>
        <w:tc>
          <w:tcPr>
            <w:tcW w:w="1984" w:type="dxa"/>
          </w:tcPr>
          <w:p w14:paraId="2F388B8E" w14:textId="26A1B1B6"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3</w:t>
            </w:r>
            <w:r w:rsidRPr="00DB6779">
              <w:rPr>
                <w:rFonts w:ascii="Helvetica" w:hAnsi="Helvetica"/>
                <w:b/>
                <w:bCs/>
                <w:sz w:val="20"/>
                <w:szCs w:val="20"/>
              </w:rPr>
              <w:t>)</w:t>
            </w:r>
          </w:p>
        </w:tc>
        <w:tc>
          <w:tcPr>
            <w:tcW w:w="1985" w:type="dxa"/>
          </w:tcPr>
          <w:p w14:paraId="2DE56F1F" w14:textId="4152B6F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2</w:t>
            </w:r>
            <w:r w:rsidRPr="00DB6779">
              <w:rPr>
                <w:rFonts w:ascii="Helvetica" w:hAnsi="Helvetica"/>
                <w:b/>
                <w:bCs/>
                <w:sz w:val="20"/>
                <w:szCs w:val="20"/>
              </w:rPr>
              <w:t>)</w:t>
            </w:r>
          </w:p>
        </w:tc>
        <w:tc>
          <w:tcPr>
            <w:tcW w:w="1984" w:type="dxa"/>
          </w:tcPr>
          <w:p w14:paraId="274E9F74" w14:textId="1AACAFBD"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Literature [1][2][3]</w:t>
            </w:r>
          </w:p>
        </w:tc>
        <w:tc>
          <w:tcPr>
            <w:tcW w:w="1984" w:type="dxa"/>
          </w:tcPr>
          <w:p w14:paraId="1FE667A7" w14:textId="2C72BBFD" w:rsidR="00A91015" w:rsidRPr="00DB6779" w:rsidRDefault="00A91015" w:rsidP="00B70082">
            <w:pPr>
              <w:jc w:val="center"/>
              <w:rPr>
                <w:rFonts w:ascii="Helvetica" w:hAnsi="Helvetica"/>
                <w:sz w:val="20"/>
                <w:szCs w:val="20"/>
              </w:rPr>
            </w:pPr>
            <w:r w:rsidRPr="00DB6779">
              <w:rPr>
                <w:rFonts w:ascii="Helvetica" w:hAnsi="Helvetica"/>
                <w:b/>
                <w:bCs/>
                <w:sz w:val="20"/>
                <w:szCs w:val="20"/>
              </w:rPr>
              <w:t>Units</w:t>
            </w:r>
          </w:p>
        </w:tc>
      </w:tr>
      <w:tr w:rsidR="00A91015" w:rsidRPr="00DB6779" w14:paraId="08DE0001" w14:textId="280F982F" w:rsidTr="00DF1680">
        <w:trPr>
          <w:trHeight w:val="286"/>
        </w:trPr>
        <w:tc>
          <w:tcPr>
            <w:tcW w:w="1413" w:type="dxa"/>
            <w:vAlign w:val="center"/>
          </w:tcPr>
          <w:p w14:paraId="77C09AE0" w14:textId="1B8E70E9" w:rsidR="00A91015" w:rsidRPr="00DB6779" w:rsidRDefault="001D6B03"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c>
        <w:tc>
          <w:tcPr>
            <w:tcW w:w="1984" w:type="dxa"/>
            <w:vAlign w:val="center"/>
          </w:tcPr>
          <w:p w14:paraId="33027318" w14:textId="399D656B" w:rsidR="00A91015" w:rsidRPr="00DB6779" w:rsidRDefault="00A91015" w:rsidP="003B135F">
            <w:pPr>
              <w:jc w:val="center"/>
              <w:rPr>
                <w:rFonts w:ascii="Helvetica" w:hAnsi="Helvetica"/>
                <w:sz w:val="20"/>
                <w:szCs w:val="20"/>
              </w:rPr>
            </w:pPr>
            <w:r w:rsidRPr="00DB6779">
              <w:rPr>
                <w:rFonts w:ascii="Helvetica" w:hAnsi="Helvetica"/>
                <w:sz w:val="20"/>
                <w:szCs w:val="20"/>
              </w:rPr>
              <w:t>1.9224(10)</w:t>
            </w:r>
          </w:p>
        </w:tc>
        <w:tc>
          <w:tcPr>
            <w:tcW w:w="1985" w:type="dxa"/>
            <w:vAlign w:val="center"/>
          </w:tcPr>
          <w:p w14:paraId="47D140C8" w14:textId="7F31D75D" w:rsidR="00A91015" w:rsidRPr="00DB6779" w:rsidRDefault="00A91015" w:rsidP="003B135F">
            <w:pPr>
              <w:jc w:val="center"/>
              <w:rPr>
                <w:rFonts w:ascii="Helvetica" w:hAnsi="Helvetica"/>
                <w:sz w:val="20"/>
                <w:szCs w:val="20"/>
              </w:rPr>
            </w:pPr>
            <w:r w:rsidRPr="00DB6779">
              <w:rPr>
                <w:rFonts w:ascii="Helvetica" w:hAnsi="Helvetica"/>
                <w:sz w:val="20"/>
                <w:szCs w:val="20"/>
              </w:rPr>
              <w:t>1.8998(14)</w:t>
            </w:r>
          </w:p>
        </w:tc>
        <w:tc>
          <w:tcPr>
            <w:tcW w:w="1984" w:type="dxa"/>
            <w:vAlign w:val="center"/>
          </w:tcPr>
          <w:p w14:paraId="000632F8" w14:textId="51CC0661" w:rsidR="00A91015" w:rsidRPr="00DB6779" w:rsidRDefault="00A91015" w:rsidP="003B135F">
            <w:pPr>
              <w:jc w:val="center"/>
              <w:rPr>
                <w:rFonts w:ascii="Helvetica" w:hAnsi="Helvetica"/>
                <w:sz w:val="20"/>
                <w:szCs w:val="20"/>
              </w:rPr>
            </w:pPr>
            <w:r w:rsidRPr="00DB6779">
              <w:rPr>
                <w:rFonts w:ascii="Helvetica" w:hAnsi="Helvetica"/>
                <w:sz w:val="20"/>
                <w:szCs w:val="20"/>
              </w:rPr>
              <w:t>1.9225</w:t>
            </w:r>
          </w:p>
        </w:tc>
        <w:tc>
          <w:tcPr>
            <w:tcW w:w="1984" w:type="dxa"/>
          </w:tcPr>
          <w:p w14:paraId="794DFA85" w14:textId="22D8C9A6"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020F6D3C" w14:textId="1E57AEF9" w:rsidTr="00DF1680">
        <w:trPr>
          <w:trHeight w:val="276"/>
        </w:trPr>
        <w:tc>
          <w:tcPr>
            <w:tcW w:w="1413" w:type="dxa"/>
            <w:vAlign w:val="center"/>
          </w:tcPr>
          <w:p w14:paraId="47B2EAC6" w14:textId="17ACA11A" w:rsidR="00A91015" w:rsidRPr="00DB6779" w:rsidRDefault="001D6B03"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m:oMathPara>
          </w:p>
        </w:tc>
        <w:tc>
          <w:tcPr>
            <w:tcW w:w="1984" w:type="dxa"/>
            <w:vAlign w:val="center"/>
          </w:tcPr>
          <w:p w14:paraId="35E58F35" w14:textId="7B0C50CF" w:rsidR="00A91015" w:rsidRPr="00DB6779" w:rsidRDefault="00A91015" w:rsidP="003B135F">
            <w:pPr>
              <w:jc w:val="center"/>
              <w:rPr>
                <w:rFonts w:ascii="Helvetica" w:hAnsi="Helvetica"/>
                <w:sz w:val="20"/>
                <w:szCs w:val="20"/>
              </w:rPr>
            </w:pPr>
            <w:r w:rsidRPr="00DB6779">
              <w:rPr>
                <w:rFonts w:ascii="Helvetica" w:hAnsi="Helvetica"/>
                <w:sz w:val="20"/>
                <w:szCs w:val="20"/>
              </w:rPr>
              <w:t>1.9054 (10)</w:t>
            </w:r>
          </w:p>
        </w:tc>
        <w:tc>
          <w:tcPr>
            <w:tcW w:w="1985" w:type="dxa"/>
            <w:vAlign w:val="center"/>
          </w:tcPr>
          <w:p w14:paraId="1C70C8EA" w14:textId="6E5FFFB5" w:rsidR="00A91015" w:rsidRPr="00DB6779" w:rsidRDefault="00A91015" w:rsidP="003B135F">
            <w:pPr>
              <w:jc w:val="center"/>
              <w:rPr>
                <w:rFonts w:ascii="Helvetica" w:hAnsi="Helvetica"/>
                <w:sz w:val="20"/>
                <w:szCs w:val="20"/>
              </w:rPr>
            </w:pPr>
            <w:r w:rsidRPr="00DB6779">
              <w:rPr>
                <w:rFonts w:ascii="Helvetica" w:hAnsi="Helvetica"/>
                <w:sz w:val="20"/>
                <w:szCs w:val="20"/>
              </w:rPr>
              <w:t>1.9172(14)</w:t>
            </w:r>
          </w:p>
        </w:tc>
        <w:tc>
          <w:tcPr>
            <w:tcW w:w="1984" w:type="dxa"/>
            <w:vAlign w:val="center"/>
          </w:tcPr>
          <w:p w14:paraId="42B3AD62" w14:textId="23BB73D6" w:rsidR="00A91015" w:rsidRPr="00DB6779" w:rsidRDefault="00A91015" w:rsidP="003B135F">
            <w:pPr>
              <w:jc w:val="center"/>
              <w:rPr>
                <w:rFonts w:ascii="Helvetica" w:hAnsi="Helvetica"/>
                <w:sz w:val="20"/>
                <w:szCs w:val="20"/>
              </w:rPr>
            </w:pPr>
            <w:r w:rsidRPr="00DB6779">
              <w:rPr>
                <w:rFonts w:ascii="Helvetica" w:hAnsi="Helvetica"/>
                <w:sz w:val="20"/>
                <w:szCs w:val="20"/>
              </w:rPr>
              <w:t>1.90</w:t>
            </w:r>
            <w:r w:rsidR="001859CA" w:rsidRPr="00DB6779">
              <w:rPr>
                <w:rFonts w:ascii="Helvetica" w:hAnsi="Helvetica"/>
                <w:sz w:val="20"/>
                <w:szCs w:val="20"/>
              </w:rPr>
              <w:t>51</w:t>
            </w:r>
          </w:p>
        </w:tc>
        <w:tc>
          <w:tcPr>
            <w:tcW w:w="1984" w:type="dxa"/>
          </w:tcPr>
          <w:p w14:paraId="24E05343" w14:textId="64A6B274"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5C0AC175" w14:textId="0A8FF9CF" w:rsidTr="00DF1680">
        <w:trPr>
          <w:trHeight w:val="266"/>
        </w:trPr>
        <w:tc>
          <w:tcPr>
            <w:tcW w:w="1413" w:type="dxa"/>
            <w:vAlign w:val="center"/>
          </w:tcPr>
          <w:p w14:paraId="24DE481A" w14:textId="7C9039DF" w:rsidR="00A91015" w:rsidRPr="00DB6779" w:rsidRDefault="001D6B03"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e</m:t>
                    </m:r>
                  </m:sub>
                </m:sSub>
              </m:oMath>
            </m:oMathPara>
          </w:p>
        </w:tc>
        <w:tc>
          <w:tcPr>
            <w:tcW w:w="1984" w:type="dxa"/>
            <w:vAlign w:val="center"/>
          </w:tcPr>
          <w:p w14:paraId="7E80D4DA" w14:textId="6152ADD9" w:rsidR="00A91015" w:rsidRPr="00DB6779" w:rsidRDefault="00A91015" w:rsidP="003B135F">
            <w:pPr>
              <w:jc w:val="center"/>
              <w:rPr>
                <w:rFonts w:ascii="Helvetica" w:hAnsi="Helvetica"/>
                <w:sz w:val="20"/>
                <w:szCs w:val="20"/>
              </w:rPr>
            </w:pPr>
            <w:r w:rsidRPr="00DB6779">
              <w:rPr>
                <w:rFonts w:ascii="Helvetica" w:hAnsi="Helvetica"/>
                <w:sz w:val="20"/>
                <w:szCs w:val="20"/>
              </w:rPr>
              <w:t>1.9312(10)</w:t>
            </w:r>
          </w:p>
        </w:tc>
        <w:tc>
          <w:tcPr>
            <w:tcW w:w="1985" w:type="dxa"/>
            <w:vAlign w:val="center"/>
          </w:tcPr>
          <w:p w14:paraId="2FB8E368" w14:textId="2D179F06" w:rsidR="00A91015" w:rsidRPr="00DB6779" w:rsidRDefault="00A91015" w:rsidP="003B135F">
            <w:pPr>
              <w:jc w:val="center"/>
              <w:rPr>
                <w:rFonts w:ascii="Helvetica" w:hAnsi="Helvetica"/>
                <w:sz w:val="20"/>
                <w:szCs w:val="20"/>
              </w:rPr>
            </w:pPr>
            <w:r w:rsidRPr="00DB6779">
              <w:rPr>
                <w:rFonts w:ascii="Helvetica" w:hAnsi="Helvetica"/>
                <w:sz w:val="20"/>
                <w:szCs w:val="20"/>
              </w:rPr>
              <w:t>1.9260(14)</w:t>
            </w:r>
          </w:p>
        </w:tc>
        <w:tc>
          <w:tcPr>
            <w:tcW w:w="1984" w:type="dxa"/>
            <w:vAlign w:val="center"/>
          </w:tcPr>
          <w:p w14:paraId="2F72A403" w14:textId="5BEC7BC8" w:rsidR="00A91015" w:rsidRPr="00DB6779" w:rsidRDefault="00A91015" w:rsidP="003B135F">
            <w:pPr>
              <w:jc w:val="center"/>
              <w:rPr>
                <w:rFonts w:ascii="Helvetica" w:hAnsi="Helvetica"/>
                <w:sz w:val="20"/>
                <w:szCs w:val="20"/>
              </w:rPr>
            </w:pPr>
            <w:r w:rsidRPr="00DB6779">
              <w:rPr>
                <w:rFonts w:ascii="Helvetica" w:hAnsi="Helvetica"/>
                <w:sz w:val="20"/>
                <w:szCs w:val="20"/>
              </w:rPr>
              <w:t>1.9313</w:t>
            </w:r>
          </w:p>
        </w:tc>
        <w:tc>
          <w:tcPr>
            <w:tcW w:w="1984" w:type="dxa"/>
          </w:tcPr>
          <w:p w14:paraId="506F1E8A" w14:textId="6A18F69D"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DB6779" w:rsidRPr="00DB6779" w14:paraId="0B000705" w14:textId="6B67FF05" w:rsidTr="00DF1680">
        <w:trPr>
          <w:trHeight w:val="284"/>
        </w:trPr>
        <w:tc>
          <w:tcPr>
            <w:tcW w:w="1413" w:type="dxa"/>
            <w:vAlign w:val="center"/>
          </w:tcPr>
          <w:p w14:paraId="189B34A3" w14:textId="3CE303EF" w:rsidR="00A91015" w:rsidRPr="00DB6779" w:rsidRDefault="001D6B03"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e</m:t>
                    </m:r>
                  </m:sub>
                </m:sSub>
              </m:oMath>
            </m:oMathPara>
          </w:p>
        </w:tc>
        <w:tc>
          <w:tcPr>
            <w:tcW w:w="1984" w:type="dxa"/>
            <w:vAlign w:val="center"/>
          </w:tcPr>
          <w:p w14:paraId="153F1E9E" w14:textId="637BAF27" w:rsidR="00A91015" w:rsidRPr="00DB6779" w:rsidRDefault="00A91015" w:rsidP="003B135F">
            <w:pPr>
              <w:jc w:val="center"/>
              <w:rPr>
                <w:rFonts w:ascii="Helvetica" w:hAnsi="Helvetica"/>
                <w:sz w:val="20"/>
                <w:szCs w:val="20"/>
              </w:rPr>
            </w:pPr>
            <w:r w:rsidRPr="00DB6779">
              <w:rPr>
                <w:rFonts w:ascii="Helvetica" w:hAnsi="Helvetica"/>
                <w:sz w:val="20"/>
                <w:szCs w:val="20"/>
              </w:rPr>
              <w:t>0.0174(15)</w:t>
            </w:r>
          </w:p>
        </w:tc>
        <w:tc>
          <w:tcPr>
            <w:tcW w:w="1985" w:type="dxa"/>
            <w:vAlign w:val="center"/>
          </w:tcPr>
          <w:p w14:paraId="7A7F80D0" w14:textId="576438D5" w:rsidR="00A91015" w:rsidRPr="00DB6779" w:rsidRDefault="00A91015" w:rsidP="003B135F">
            <w:pPr>
              <w:jc w:val="center"/>
              <w:rPr>
                <w:rFonts w:ascii="Helvetica" w:hAnsi="Helvetica"/>
                <w:sz w:val="20"/>
                <w:szCs w:val="20"/>
              </w:rPr>
            </w:pPr>
            <w:r w:rsidRPr="00DB6779">
              <w:rPr>
                <w:rFonts w:ascii="Helvetica" w:hAnsi="Helvetica"/>
                <w:sz w:val="20"/>
                <w:szCs w:val="20"/>
              </w:rPr>
              <w:t>0.0175(19)</w:t>
            </w:r>
          </w:p>
        </w:tc>
        <w:tc>
          <w:tcPr>
            <w:tcW w:w="1984" w:type="dxa"/>
            <w:vAlign w:val="center"/>
          </w:tcPr>
          <w:p w14:paraId="31865F3A" w14:textId="5685C26B" w:rsidR="00A91015" w:rsidRPr="00DB6779" w:rsidRDefault="00A91015" w:rsidP="003B135F">
            <w:pPr>
              <w:jc w:val="center"/>
              <w:rPr>
                <w:rFonts w:ascii="Helvetica" w:hAnsi="Helvetica"/>
                <w:sz w:val="20"/>
                <w:szCs w:val="20"/>
              </w:rPr>
            </w:pPr>
            <w:r w:rsidRPr="00DB6779">
              <w:rPr>
                <w:rFonts w:ascii="Helvetica" w:hAnsi="Helvetica"/>
                <w:sz w:val="20"/>
                <w:szCs w:val="20"/>
              </w:rPr>
              <w:t>0.0175</w:t>
            </w:r>
          </w:p>
        </w:tc>
        <w:tc>
          <w:tcPr>
            <w:tcW w:w="1984" w:type="dxa"/>
          </w:tcPr>
          <w:p w14:paraId="0FAF4367" w14:textId="5AB9CE9C"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004CA3FD" w14:textId="018F4706" w:rsidTr="00DF1680">
        <w:trPr>
          <w:trHeight w:val="274"/>
        </w:trPr>
        <w:tc>
          <w:tcPr>
            <w:tcW w:w="1413" w:type="dxa"/>
            <w:vAlign w:val="center"/>
          </w:tcPr>
          <w:p w14:paraId="57364280" w14:textId="3B2A470A" w:rsidR="00A91015" w:rsidRPr="00DB6779" w:rsidRDefault="00A91015" w:rsidP="003B135F">
            <w:pPr>
              <w:jc w:val="center"/>
              <w:rPr>
                <w:rFonts w:ascii="Helvetica" w:eastAsia="Calibri" w:hAnsi="Helvetica"/>
                <w:sz w:val="20"/>
                <w:szCs w:val="20"/>
              </w:rPr>
            </w:pPr>
            <m:oMathPara>
              <m:oMath>
                <m:r>
                  <w:rPr>
                    <w:rFonts w:ascii="Cambria Math" w:eastAsia="Calibri" w:hAnsi="Cambria Math"/>
                    <w:sz w:val="20"/>
                    <w:szCs w:val="20"/>
                  </w:rPr>
                  <m:t>ω</m:t>
                </m:r>
              </m:oMath>
            </m:oMathPara>
          </w:p>
        </w:tc>
        <w:tc>
          <w:tcPr>
            <w:tcW w:w="1984" w:type="dxa"/>
            <w:vAlign w:val="center"/>
          </w:tcPr>
          <w:p w14:paraId="57A207F5" w14:textId="00781066" w:rsidR="00A91015" w:rsidRPr="00DB6779" w:rsidRDefault="00A91015" w:rsidP="003B135F">
            <w:pPr>
              <w:jc w:val="center"/>
              <w:rPr>
                <w:rFonts w:ascii="Helvetica" w:hAnsi="Helvetica"/>
                <w:sz w:val="20"/>
                <w:szCs w:val="20"/>
              </w:rPr>
            </w:pPr>
            <w:r w:rsidRPr="00DB6779">
              <w:rPr>
                <w:rFonts w:ascii="Helvetica" w:hAnsi="Helvetica"/>
                <w:sz w:val="20"/>
                <w:szCs w:val="20"/>
              </w:rPr>
              <w:t>2143.190(13)</w:t>
            </w:r>
          </w:p>
        </w:tc>
        <w:tc>
          <w:tcPr>
            <w:tcW w:w="1985" w:type="dxa"/>
            <w:vAlign w:val="center"/>
          </w:tcPr>
          <w:p w14:paraId="04BC6DD8" w14:textId="42EF9EFF" w:rsidR="00A91015" w:rsidRPr="00DB6779" w:rsidRDefault="00A91015" w:rsidP="003B135F">
            <w:pPr>
              <w:jc w:val="center"/>
            </w:pPr>
            <w:r w:rsidRPr="00DB6779">
              <w:rPr>
                <w:rFonts w:ascii="Helvetica" w:hAnsi="Helvetica"/>
                <w:sz w:val="20"/>
                <w:szCs w:val="20"/>
              </w:rPr>
              <w:t>2143.192(32)</w:t>
            </w:r>
          </w:p>
        </w:tc>
        <w:tc>
          <w:tcPr>
            <w:tcW w:w="1984" w:type="dxa"/>
            <w:vAlign w:val="center"/>
          </w:tcPr>
          <w:p w14:paraId="7E182B93" w14:textId="5E4B08E8" w:rsidR="00A91015" w:rsidRPr="00DB6779" w:rsidRDefault="00A91015" w:rsidP="003B135F">
            <w:pPr>
              <w:jc w:val="center"/>
              <w:rPr>
                <w:rFonts w:ascii="Helvetica" w:hAnsi="Helvetica"/>
                <w:sz w:val="20"/>
                <w:szCs w:val="20"/>
              </w:rPr>
            </w:pPr>
            <w:r w:rsidRPr="00DB6779">
              <w:rPr>
                <w:rFonts w:ascii="Helvetica" w:hAnsi="Helvetica"/>
                <w:sz w:val="20"/>
                <w:szCs w:val="20"/>
              </w:rPr>
              <w:t>2169.814</w:t>
            </w:r>
          </w:p>
        </w:tc>
        <w:tc>
          <w:tcPr>
            <w:tcW w:w="1984" w:type="dxa"/>
          </w:tcPr>
          <w:p w14:paraId="70A47344" w14:textId="25380DE4"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29275AB6" w14:textId="535D1673" w:rsidTr="00DF1680">
        <w:trPr>
          <w:trHeight w:val="278"/>
        </w:trPr>
        <w:tc>
          <w:tcPr>
            <w:tcW w:w="1413" w:type="dxa"/>
            <w:vAlign w:val="center"/>
          </w:tcPr>
          <w:p w14:paraId="3001C822" w14:textId="7A9065A5" w:rsidR="00A91015" w:rsidRPr="00DB6779" w:rsidRDefault="001D6B03" w:rsidP="003B135F">
            <w:pPr>
              <w:jc w:val="center"/>
              <w:rPr>
                <w:rFonts w:ascii="Helvetica" w:eastAsia="Calibri" w:hAnsi="Helvetic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ang</m:t>
                    </m:r>
                  </m:e>
                </m:d>
              </m:oMath>
            </m:oMathPara>
          </w:p>
        </w:tc>
        <w:tc>
          <w:tcPr>
            <w:tcW w:w="1984" w:type="dxa"/>
            <w:vAlign w:val="center"/>
          </w:tcPr>
          <w:p w14:paraId="4F678403" w14:textId="5E1EF203" w:rsidR="00A91015" w:rsidRPr="00DB6779" w:rsidRDefault="00A91015" w:rsidP="003B135F">
            <w:pPr>
              <w:jc w:val="center"/>
              <w:rPr>
                <w:rFonts w:ascii="Helvetica" w:hAnsi="Helvetica"/>
                <w:sz w:val="20"/>
                <w:szCs w:val="20"/>
              </w:rPr>
            </w:pPr>
            <w:r w:rsidRPr="00DB6779">
              <w:rPr>
                <w:rFonts w:ascii="Helvetica" w:hAnsi="Helvetica"/>
                <w:sz w:val="20"/>
                <w:szCs w:val="20"/>
              </w:rPr>
              <w:t>1.1282(15)</w:t>
            </w:r>
          </w:p>
        </w:tc>
        <w:tc>
          <w:tcPr>
            <w:tcW w:w="1985" w:type="dxa"/>
            <w:vAlign w:val="center"/>
          </w:tcPr>
          <w:p w14:paraId="30FA5CB0" w14:textId="1BC8A0AB" w:rsidR="00A91015" w:rsidRPr="00DB6779" w:rsidRDefault="00A91015" w:rsidP="003B135F">
            <w:pPr>
              <w:jc w:val="center"/>
              <w:rPr>
                <w:rFonts w:ascii="Helvetica" w:hAnsi="Helvetica"/>
                <w:sz w:val="20"/>
                <w:szCs w:val="20"/>
              </w:rPr>
            </w:pPr>
            <w:r w:rsidRPr="00DB6779">
              <w:rPr>
                <w:rFonts w:ascii="Helvetica" w:hAnsi="Helvetica"/>
                <w:sz w:val="20"/>
                <w:szCs w:val="20"/>
              </w:rPr>
              <w:t>1.1295(80)</w:t>
            </w:r>
          </w:p>
        </w:tc>
        <w:tc>
          <w:tcPr>
            <w:tcW w:w="1984" w:type="dxa"/>
            <w:vAlign w:val="center"/>
          </w:tcPr>
          <w:p w14:paraId="514041C1" w14:textId="592F877A" w:rsidR="00A91015" w:rsidRPr="00DB6779" w:rsidRDefault="00A91015" w:rsidP="003B135F">
            <w:pPr>
              <w:jc w:val="center"/>
              <w:rPr>
                <w:rFonts w:ascii="Helvetica" w:hAnsi="Helvetica"/>
                <w:sz w:val="20"/>
                <w:szCs w:val="20"/>
              </w:rPr>
            </w:pPr>
            <w:r w:rsidRPr="00DB6779">
              <w:rPr>
                <w:rFonts w:ascii="Helvetica" w:hAnsi="Helvetica"/>
                <w:sz w:val="20"/>
                <w:szCs w:val="20"/>
              </w:rPr>
              <w:t>1.1283</w:t>
            </w:r>
          </w:p>
        </w:tc>
        <w:tc>
          <w:tcPr>
            <w:tcW w:w="1984" w:type="dxa"/>
          </w:tcPr>
          <w:p w14:paraId="35331DBC" w14:textId="7ADFC9B2" w:rsidR="00A91015" w:rsidRPr="00DB6779" w:rsidRDefault="001867CF" w:rsidP="003B135F">
            <w:pPr>
              <w:jc w:val="center"/>
              <w:rPr>
                <w:rFonts w:ascii="Helvetica" w:hAnsi="Helvetica"/>
                <w:sz w:val="20"/>
                <w:szCs w:val="20"/>
              </w:rPr>
            </w:pPr>
            <w:r>
              <w:rPr>
                <w:rFonts w:ascii="Helvetica" w:hAnsi="Helvetica"/>
                <w:sz w:val="20"/>
                <w:szCs w:val="20"/>
              </w:rPr>
              <w:t>Angstrom</w:t>
            </w:r>
          </w:p>
        </w:tc>
      </w:tr>
    </w:tbl>
    <w:p w14:paraId="7B25C765" w14:textId="08ED9D05" w:rsidR="001262CC" w:rsidRPr="00DB6779" w:rsidRDefault="001262CC" w:rsidP="00B70082">
      <w:pPr>
        <w:rPr>
          <w:rFonts w:ascii="Helvetica" w:hAnsi="Helvetica"/>
          <w:sz w:val="20"/>
          <w:szCs w:val="20"/>
        </w:rPr>
      </w:pPr>
    </w:p>
    <w:p w14:paraId="2FB7ABE3" w14:textId="19236B8C" w:rsidR="00A507B0" w:rsidRPr="00DB6779" w:rsidRDefault="003248B5" w:rsidP="00B70082">
      <w:pPr>
        <w:rPr>
          <w:rFonts w:ascii="Helvetica" w:hAnsi="Helvetica"/>
          <w:b/>
          <w:bCs/>
          <w:sz w:val="20"/>
          <w:szCs w:val="20"/>
        </w:rPr>
      </w:pPr>
      <w:r>
        <w:rPr>
          <w:rFonts w:ascii="Helvetica" w:hAnsi="Helvetica"/>
          <w:b/>
          <w:bCs/>
          <w:sz w:val="20"/>
          <w:szCs w:val="20"/>
        </w:rPr>
        <w:t>Sum of Residual Squares</w:t>
      </w:r>
    </w:p>
    <w:tbl>
      <w:tblPr>
        <w:tblStyle w:val="TableGrid"/>
        <w:tblW w:w="0" w:type="auto"/>
        <w:tblLook w:val="04A0" w:firstRow="1" w:lastRow="0" w:firstColumn="1" w:lastColumn="0" w:noHBand="0" w:noVBand="1"/>
      </w:tblPr>
      <w:tblGrid>
        <w:gridCol w:w="2830"/>
        <w:gridCol w:w="2694"/>
      </w:tblGrid>
      <w:tr w:rsidR="00DB6779" w:rsidRPr="00DB6779" w14:paraId="08E68895" w14:textId="77777777" w:rsidTr="00776815">
        <w:tc>
          <w:tcPr>
            <w:tcW w:w="2830" w:type="dxa"/>
          </w:tcPr>
          <w:p w14:paraId="43DC89C3" w14:textId="03D28C68" w:rsidR="00A507B0" w:rsidRPr="00DB6779" w:rsidRDefault="00A507B0" w:rsidP="00B70082">
            <w:pPr>
              <w:rPr>
                <w:rFonts w:ascii="Helvetica" w:hAnsi="Helvetica"/>
                <w:b/>
                <w:bCs/>
                <w:sz w:val="20"/>
                <w:szCs w:val="20"/>
              </w:rPr>
            </w:pPr>
            <w:r w:rsidRPr="00DB6779">
              <w:rPr>
                <w:rFonts w:ascii="Helvetica" w:hAnsi="Helvetica"/>
                <w:b/>
                <w:bCs/>
                <w:sz w:val="20"/>
                <w:szCs w:val="20"/>
              </w:rPr>
              <w:t>Cubic</w:t>
            </w:r>
          </w:p>
        </w:tc>
        <w:tc>
          <w:tcPr>
            <w:tcW w:w="2694" w:type="dxa"/>
          </w:tcPr>
          <w:p w14:paraId="7E9DDAF9" w14:textId="44DAD14C" w:rsidR="00A507B0" w:rsidRPr="00DB6779" w:rsidRDefault="00A507B0" w:rsidP="00B70082">
            <w:pPr>
              <w:rPr>
                <w:rFonts w:ascii="Helvetica" w:hAnsi="Helvetica"/>
                <w:b/>
                <w:bCs/>
                <w:sz w:val="20"/>
                <w:szCs w:val="20"/>
              </w:rPr>
            </w:pPr>
            <w:r w:rsidRPr="00DB6779">
              <w:rPr>
                <w:rFonts w:ascii="Helvetica" w:hAnsi="Helvetica"/>
                <w:b/>
                <w:bCs/>
                <w:sz w:val="20"/>
                <w:szCs w:val="20"/>
              </w:rPr>
              <w:t>Quadratic</w:t>
            </w:r>
          </w:p>
        </w:tc>
      </w:tr>
      <w:tr w:rsidR="00DB6779" w:rsidRPr="00DB6779" w14:paraId="172664B4" w14:textId="77777777" w:rsidTr="00776815">
        <w:trPr>
          <w:trHeight w:val="326"/>
        </w:trPr>
        <w:tc>
          <w:tcPr>
            <w:tcW w:w="2830" w:type="dxa"/>
          </w:tcPr>
          <w:p w14:paraId="0F127501" w14:textId="48666252" w:rsidR="00A507B0" w:rsidRPr="00DB6779" w:rsidRDefault="00F77EE7" w:rsidP="00B70082">
            <w:pPr>
              <w:rPr>
                <w:rFonts w:ascii="Helvetica" w:hAnsi="Helvetica"/>
                <w:sz w:val="20"/>
                <w:szCs w:val="20"/>
              </w:rPr>
            </w:pPr>
            <w:r>
              <w:rPr>
                <w:rFonts w:ascii="Helvetica" w:hAnsi="Helvetica"/>
                <w:sz w:val="20"/>
                <w:szCs w:val="20"/>
              </w:rPr>
              <w:t>0.0</w:t>
            </w:r>
            <w:r w:rsidR="006A6A2B">
              <w:rPr>
                <w:rFonts w:ascii="Helvetica" w:hAnsi="Helvetica"/>
                <w:sz w:val="20"/>
                <w:szCs w:val="20"/>
              </w:rPr>
              <w:t>291099</w:t>
            </w:r>
          </w:p>
        </w:tc>
        <w:tc>
          <w:tcPr>
            <w:tcW w:w="2694" w:type="dxa"/>
          </w:tcPr>
          <w:p w14:paraId="521F55AB" w14:textId="4531801F" w:rsidR="00A507B0" w:rsidRPr="00DB6779" w:rsidRDefault="006A6A2B" w:rsidP="00B70082">
            <w:pPr>
              <w:rPr>
                <w:rFonts w:ascii="Helvetica" w:hAnsi="Helvetica"/>
                <w:sz w:val="20"/>
                <w:szCs w:val="20"/>
              </w:rPr>
            </w:pPr>
            <w:r>
              <w:rPr>
                <w:rFonts w:ascii="Helvetica" w:hAnsi="Helvetica"/>
                <w:sz w:val="20"/>
                <w:szCs w:val="20"/>
              </w:rPr>
              <w:t>0.302497</w:t>
            </w:r>
          </w:p>
        </w:tc>
      </w:tr>
    </w:tbl>
    <w:p w14:paraId="15FBE65E" w14:textId="77777777" w:rsidR="007C32D3" w:rsidRPr="001867CF" w:rsidRDefault="007C32D3" w:rsidP="00B70082">
      <w:pPr>
        <w:rPr>
          <w:rFonts w:ascii="Helvetica" w:eastAsiaTheme="minorHAnsi" w:hAnsi="Helvetica" w:cs="Helvetica"/>
          <w:sz w:val="20"/>
          <w:szCs w:val="20"/>
          <w:lang w:val="en-GB" w:eastAsia="en-US"/>
        </w:rPr>
      </w:pPr>
    </w:p>
    <w:p w14:paraId="0916F1E3" w14:textId="3B97F2B6" w:rsidR="002B4519" w:rsidRPr="001867CF" w:rsidRDefault="001867CF" w:rsidP="00B70082">
      <w:pPr>
        <w:rPr>
          <w:rFonts w:ascii="Helvetica" w:eastAsiaTheme="minorHAnsi" w:hAnsi="Helvetica" w:cs="Helvetica"/>
          <w:sz w:val="20"/>
          <w:szCs w:val="20"/>
          <w:lang w:val="en-GB" w:eastAsia="en-US"/>
        </w:rPr>
      </w:pPr>
      <w:r w:rsidRPr="001867CF">
        <w:rPr>
          <w:rFonts w:ascii="Helvetica" w:eastAsiaTheme="minorHAnsi" w:hAnsi="Helvetica" w:cs="Helvetica"/>
          <w:sz w:val="20"/>
          <w:szCs w:val="20"/>
          <w:lang w:val="en-GB" w:eastAsia="en-US"/>
        </w:rPr>
        <w:t>Peaks were assigned as shown in figure \ref{</w:t>
      </w:r>
      <w:proofErr w:type="spellStart"/>
      <w:proofErr w:type="gramStart"/>
      <w:r w:rsidRPr="001867CF">
        <w:rPr>
          <w:rFonts w:ascii="Helvetica" w:eastAsiaTheme="minorHAnsi" w:hAnsi="Helvetica" w:cs="Helvetica"/>
          <w:sz w:val="20"/>
          <w:szCs w:val="20"/>
          <w:lang w:val="en-GB" w:eastAsia="en-US"/>
        </w:rPr>
        <w:t>fig:spectra</w:t>
      </w:r>
      <w:proofErr w:type="spellEnd"/>
      <w:proofErr w:type="gramEnd"/>
      <w:r w:rsidRPr="001867CF">
        <w:rPr>
          <w:rFonts w:ascii="Helvetica" w:eastAsiaTheme="minorHAnsi" w:hAnsi="Helvetica" w:cs="Helvetica"/>
          <w:sz w:val="20"/>
          <w:szCs w:val="20"/>
          <w:lang w:val="en-GB" w:eastAsia="en-US"/>
        </w:rPr>
        <w:t>}. The function in \ref{</w:t>
      </w:r>
      <w:proofErr w:type="spellStart"/>
      <w:proofErr w:type="gramStart"/>
      <w:r w:rsidRPr="001867CF">
        <w:rPr>
          <w:rFonts w:ascii="Helvetica" w:eastAsiaTheme="minorHAnsi" w:hAnsi="Helvetica" w:cs="Helvetica"/>
          <w:sz w:val="20"/>
          <w:szCs w:val="20"/>
          <w:lang w:val="en-GB" w:eastAsia="en-US"/>
        </w:rPr>
        <w:t>eqn:fit</w:t>
      </w:r>
      <w:proofErr w:type="spellEnd"/>
      <w:proofErr w:type="gramEnd"/>
      <w:r w:rsidRPr="001867CF">
        <w:rPr>
          <w:rFonts w:ascii="Helvetica" w:eastAsiaTheme="minorHAnsi" w:hAnsi="Helvetica" w:cs="Helvetica"/>
          <w:sz w:val="20"/>
          <w:szCs w:val="20"/>
          <w:lang w:val="en-GB" w:eastAsia="en-US"/>
        </w:rPr>
        <w:t>} was then fitted to extract $B_0$, $B_1$ and $\omega$ for both the quadratic and cubic case, with uncertainties from the fitting. These values were then used to calculate $</w:t>
      </w:r>
      <w:proofErr w:type="spellStart"/>
      <w:r w:rsidRPr="001867CF">
        <w:rPr>
          <w:rFonts w:ascii="Helvetica" w:eastAsiaTheme="minorHAnsi" w:hAnsi="Helvetica" w:cs="Helvetica"/>
          <w:sz w:val="20"/>
          <w:szCs w:val="20"/>
          <w:lang w:val="en-GB" w:eastAsia="en-US"/>
        </w:rPr>
        <w:t>B_e</w:t>
      </w:r>
      <w:proofErr w:type="spellEnd"/>
      <w:r w:rsidRPr="001867CF">
        <w:rPr>
          <w:rFonts w:ascii="Helvetica" w:eastAsiaTheme="minorHAnsi" w:hAnsi="Helvetica" w:cs="Helvetica"/>
          <w:sz w:val="20"/>
          <w:szCs w:val="20"/>
          <w:lang w:val="en-GB" w:eastAsia="en-US"/>
        </w:rPr>
        <w:t>$ and $\</w:t>
      </w:r>
      <w:proofErr w:type="spellStart"/>
      <w:r w:rsidRPr="001867CF">
        <w:rPr>
          <w:rFonts w:ascii="Helvetica" w:eastAsiaTheme="minorHAnsi" w:hAnsi="Helvetica" w:cs="Helvetica"/>
          <w:sz w:val="20"/>
          <w:szCs w:val="20"/>
          <w:lang w:val="en-GB" w:eastAsia="en-US"/>
        </w:rPr>
        <w:t>alpha_e</w:t>
      </w:r>
      <w:proofErr w:type="spellEnd"/>
      <w:r w:rsidRPr="001867CF">
        <w:rPr>
          <w:rFonts w:ascii="Helvetica" w:eastAsiaTheme="minorHAnsi" w:hAnsi="Helvetica" w:cs="Helvetica"/>
          <w:sz w:val="20"/>
          <w:szCs w:val="20"/>
          <w:lang w:val="en-GB" w:eastAsia="en-US"/>
        </w:rPr>
        <w:t xml:space="preserve">$ by solving $B_\nu = </w:t>
      </w:r>
      <w:proofErr w:type="spellStart"/>
      <w:r w:rsidRPr="001867CF">
        <w:rPr>
          <w:rFonts w:ascii="Helvetica" w:eastAsiaTheme="minorHAnsi" w:hAnsi="Helvetica" w:cs="Helvetica"/>
          <w:sz w:val="20"/>
          <w:szCs w:val="20"/>
          <w:lang w:val="en-GB" w:eastAsia="en-US"/>
        </w:rPr>
        <w:t>B_e</w:t>
      </w:r>
      <w:proofErr w:type="spellEnd"/>
      <w:r w:rsidRPr="001867CF">
        <w:rPr>
          <w:rFonts w:ascii="Helvetica" w:eastAsiaTheme="minorHAnsi" w:hAnsi="Helvetica" w:cs="Helvetica"/>
          <w:sz w:val="20"/>
          <w:szCs w:val="20"/>
          <w:lang w:val="en-GB" w:eastAsia="en-US"/>
        </w:rPr>
        <w:t xml:space="preserve"> - \</w:t>
      </w:r>
      <w:proofErr w:type="spellStart"/>
      <w:r w:rsidRPr="001867CF">
        <w:rPr>
          <w:rFonts w:ascii="Helvetica" w:eastAsiaTheme="minorHAnsi" w:hAnsi="Helvetica" w:cs="Helvetica"/>
          <w:sz w:val="20"/>
          <w:szCs w:val="20"/>
          <w:lang w:val="en-GB" w:eastAsia="en-US"/>
        </w:rPr>
        <w:t>alpha_e</w:t>
      </w:r>
      <w:proofErr w:type="spellEnd"/>
      <w:r w:rsidRPr="001867CF">
        <w:rPr>
          <w:rFonts w:ascii="Helvetica" w:eastAsiaTheme="minorHAnsi" w:hAnsi="Helvetica" w:cs="Helvetica"/>
          <w:sz w:val="20"/>
          <w:szCs w:val="20"/>
          <w:lang w:val="en-GB" w:eastAsia="en-US"/>
        </w:rPr>
        <w:t xml:space="preserve"> \</w:t>
      </w:r>
      <w:proofErr w:type="gramStart"/>
      <w:r w:rsidRPr="001867CF">
        <w:rPr>
          <w:rFonts w:ascii="Helvetica" w:eastAsiaTheme="minorHAnsi" w:hAnsi="Helvetica" w:cs="Helvetica"/>
          <w:sz w:val="20"/>
          <w:szCs w:val="20"/>
          <w:lang w:val="en-GB" w:eastAsia="en-US"/>
        </w:rPr>
        <w:t>left( \</w:t>
      </w:r>
      <w:proofErr w:type="gramEnd"/>
      <w:r w:rsidRPr="001867CF">
        <w:rPr>
          <w:rFonts w:ascii="Helvetica" w:eastAsiaTheme="minorHAnsi" w:hAnsi="Helvetica" w:cs="Helvetica"/>
          <w:sz w:val="20"/>
          <w:szCs w:val="20"/>
          <w:lang w:val="en-GB" w:eastAsia="en-US"/>
        </w:rPr>
        <w:t>nu + 0.5 \right)$ for $\nu = 0$ and $1$ simultaneously, Then, equilibrium bond length was calculated using \ref{</w:t>
      </w:r>
      <w:proofErr w:type="spellStart"/>
      <w:r w:rsidRPr="001867CF">
        <w:rPr>
          <w:rFonts w:ascii="Helvetica" w:eastAsiaTheme="minorHAnsi" w:hAnsi="Helvetica" w:cs="Helvetica"/>
          <w:sz w:val="20"/>
          <w:szCs w:val="20"/>
          <w:lang w:val="en-GB" w:eastAsia="en-US"/>
        </w:rPr>
        <w:t>eqn:B</w:t>
      </w:r>
      <w:proofErr w:type="spellEnd"/>
      <w:r w:rsidRPr="001867CF">
        <w:rPr>
          <w:rFonts w:ascii="Helvetica" w:eastAsiaTheme="minorHAnsi" w:hAnsi="Helvetica" w:cs="Helvetica"/>
          <w:sz w:val="20"/>
          <w:szCs w:val="20"/>
          <w:lang w:val="en-GB" w:eastAsia="en-US"/>
        </w:rPr>
        <w:t>}. More details can be found in the experimental notes\cite{notes}. The results are shown in table \ref{</w:t>
      </w:r>
      <w:proofErr w:type="spellStart"/>
      <w:proofErr w:type="gramStart"/>
      <w:r w:rsidRPr="001867CF">
        <w:rPr>
          <w:rFonts w:ascii="Helvetica" w:eastAsiaTheme="minorHAnsi" w:hAnsi="Helvetica" w:cs="Helvetica"/>
          <w:sz w:val="20"/>
          <w:szCs w:val="20"/>
          <w:lang w:val="en-GB" w:eastAsia="en-US"/>
        </w:rPr>
        <w:t>tab:results</w:t>
      </w:r>
      <w:proofErr w:type="spellEnd"/>
      <w:proofErr w:type="gramEnd"/>
      <w:r w:rsidRPr="001867CF">
        <w:rPr>
          <w:rFonts w:ascii="Helvetica" w:eastAsiaTheme="minorHAnsi" w:hAnsi="Helvetica" w:cs="Helvetica"/>
          <w:sz w:val="20"/>
          <w:szCs w:val="20"/>
          <w:lang w:val="en-GB" w:eastAsia="en-US"/>
        </w:rPr>
        <w:t>}, and the cubic fit is shown graphically in figure \ref{</w:t>
      </w:r>
      <w:proofErr w:type="spellStart"/>
      <w:r w:rsidRPr="001867CF">
        <w:rPr>
          <w:rFonts w:ascii="Helvetica" w:eastAsiaTheme="minorHAnsi" w:hAnsi="Helvetica" w:cs="Helvetica"/>
          <w:sz w:val="20"/>
          <w:szCs w:val="20"/>
          <w:lang w:val="en-GB" w:eastAsia="en-US"/>
        </w:rPr>
        <w:t>fig:Cubic</w:t>
      </w:r>
      <w:proofErr w:type="spellEnd"/>
      <w:r w:rsidRPr="001867CF">
        <w:rPr>
          <w:rFonts w:ascii="Helvetica" w:eastAsiaTheme="minorHAnsi" w:hAnsi="Helvetica" w:cs="Helvetica"/>
          <w:sz w:val="20"/>
          <w:szCs w:val="20"/>
          <w:lang w:val="en-GB" w:eastAsia="en-US"/>
        </w:rPr>
        <w:t>}.</w:t>
      </w:r>
    </w:p>
    <w:p w14:paraId="4F4716EB" w14:textId="77777777" w:rsidR="001867CF" w:rsidRPr="002B4519" w:rsidRDefault="001867CF" w:rsidP="00B70082">
      <w:pPr>
        <w:rPr>
          <w:rFonts w:ascii="Helvetica" w:hAnsi="Helvetica"/>
          <w:b/>
          <w:bCs/>
          <w:sz w:val="20"/>
          <w:szCs w:val="20"/>
        </w:rPr>
      </w:pPr>
    </w:p>
    <w:p w14:paraId="1014C28C" w14:textId="16E89073" w:rsidR="002B4519" w:rsidRDefault="004E4478" w:rsidP="00B70082">
      <w:pPr>
        <w:rPr>
          <w:rFonts w:ascii="Helvetica" w:eastAsiaTheme="minorHAnsi" w:hAnsi="Helvetica" w:cs="Helvetica"/>
          <w:sz w:val="20"/>
          <w:szCs w:val="20"/>
          <w:lang w:val="en-GB" w:eastAsia="en-US"/>
        </w:rPr>
      </w:pPr>
      <w:r w:rsidRPr="004E4478">
        <w:rPr>
          <w:rFonts w:ascii="Helvetica" w:eastAsiaTheme="minorHAnsi" w:hAnsi="Helvetica" w:cs="Helvetica"/>
          <w:sz w:val="20"/>
          <w:szCs w:val="20"/>
          <w:lang w:val="en-GB" w:eastAsia="en-US"/>
        </w:rPr>
        <w:t>To further investigate the two models, it is rescissory to compare their accuracies by calculating their respective sum of residuals. We find that the cubic and quadratic fits have a residual sum of squares of $0.0291$ and $0.3025$ respectively, within the context of absorbance values within about $0.05$ and $0.35$. This is favourable to the cubic model, and this trend continues when we plot the residuals as in figure \ref{</w:t>
      </w:r>
      <w:proofErr w:type="spellStart"/>
      <w:proofErr w:type="gramStart"/>
      <w:r w:rsidRPr="004E4478">
        <w:rPr>
          <w:rFonts w:ascii="Helvetica" w:eastAsiaTheme="minorHAnsi" w:hAnsi="Helvetica" w:cs="Helvetica"/>
          <w:sz w:val="20"/>
          <w:szCs w:val="20"/>
          <w:lang w:val="en-GB" w:eastAsia="en-US"/>
        </w:rPr>
        <w:t>fig:Residuals</w:t>
      </w:r>
      <w:proofErr w:type="spellEnd"/>
      <w:proofErr w:type="gramEnd"/>
      <w:r w:rsidRPr="004E4478">
        <w:rPr>
          <w:rFonts w:ascii="Helvetica" w:eastAsiaTheme="minorHAnsi" w:hAnsi="Helvetica" w:cs="Helvetica"/>
          <w:sz w:val="20"/>
          <w:szCs w:val="20"/>
          <w:lang w:val="en-GB" w:eastAsia="en-US"/>
        </w:rPr>
        <w:t>}.</w:t>
      </w:r>
    </w:p>
    <w:p w14:paraId="72FA5547" w14:textId="7A0AEA83" w:rsidR="004E4478" w:rsidRPr="00650500" w:rsidRDefault="004E4478" w:rsidP="00B70082">
      <w:pPr>
        <w:rPr>
          <w:rFonts w:ascii="Helvetica" w:eastAsiaTheme="minorHAnsi" w:hAnsi="Helvetica" w:cs="Helvetica"/>
          <w:sz w:val="20"/>
          <w:szCs w:val="20"/>
          <w:lang w:val="en-GB" w:eastAsia="en-US"/>
        </w:rPr>
      </w:pPr>
    </w:p>
    <w:p w14:paraId="6627C351" w14:textId="77777777"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It should be clear that the residuals of the quadratic plot have a clear cubic pattern; this result suggests that adding a cubic term would be much more appropriate for this data. This conclusion concurs with the conclusions from both the residual comparison and with the relative accuracy of the cubic model with regards to data from literature.</w:t>
      </w:r>
    </w:p>
    <w:p w14:paraId="1E7CF875" w14:textId="77777777" w:rsidR="00650500" w:rsidRPr="00650500" w:rsidRDefault="00650500" w:rsidP="00650500">
      <w:pPr>
        <w:rPr>
          <w:rFonts w:ascii="Helvetica" w:eastAsiaTheme="minorHAnsi" w:hAnsi="Helvetica" w:cs="Helvetica"/>
          <w:sz w:val="20"/>
          <w:szCs w:val="20"/>
          <w:lang w:val="en-GB" w:eastAsia="en-US"/>
        </w:rPr>
      </w:pPr>
    </w:p>
    <w:p w14:paraId="3B5467E9" w14:textId="75AE867C"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Finally, it is useful to attempt to fit a Boltzmann distribution to the intensity of the R branch to extract thermal data. Fitting equation \ref{</w:t>
      </w:r>
      <w:proofErr w:type="spellStart"/>
      <w:proofErr w:type="gramStart"/>
      <w:r w:rsidRPr="00650500">
        <w:rPr>
          <w:rFonts w:ascii="Helvetica" w:eastAsiaTheme="minorHAnsi" w:hAnsi="Helvetica" w:cs="Helvetica"/>
          <w:sz w:val="20"/>
          <w:szCs w:val="20"/>
          <w:lang w:val="en-GB" w:eastAsia="en-US"/>
        </w:rPr>
        <w:t>eqn:Boltz</w:t>
      </w:r>
      <w:proofErr w:type="spellEnd"/>
      <w:proofErr w:type="gramEnd"/>
      <w:r w:rsidRPr="00650500">
        <w:rPr>
          <w:rFonts w:ascii="Helvetica" w:eastAsiaTheme="minorHAnsi" w:hAnsi="Helvetica" w:cs="Helvetica"/>
          <w:sz w:val="20"/>
          <w:szCs w:val="20"/>
          <w:lang w:val="en-GB" w:eastAsia="en-US"/>
        </w:rPr>
        <w:t>} to the R branch data exclusively yields the following plot (figure \ref{</w:t>
      </w:r>
      <w:proofErr w:type="spellStart"/>
      <w:r w:rsidRPr="00650500">
        <w:rPr>
          <w:rFonts w:ascii="Helvetica" w:eastAsiaTheme="minorHAnsi" w:hAnsi="Helvetica" w:cs="Helvetica"/>
          <w:sz w:val="20"/>
          <w:szCs w:val="20"/>
          <w:lang w:val="en-GB" w:eastAsia="en-US"/>
        </w:rPr>
        <w:t>fig:Thermals</w:t>
      </w:r>
      <w:proofErr w:type="spellEnd"/>
      <w:r w:rsidRPr="00650500">
        <w:rPr>
          <w:rFonts w:ascii="Helvetica" w:eastAsiaTheme="minorHAnsi" w:hAnsi="Helvetica" w:cs="Helvetica"/>
          <w:sz w:val="20"/>
          <w:szCs w:val="20"/>
          <w:lang w:val="en-GB" w:eastAsia="en-US"/>
        </w:rPr>
        <w:t xml:space="preserve">}) and a thermal value of $289$ K, or $15.9$ C. This graph will be scrutinised more in the </w:t>
      </w:r>
      <w:proofErr w:type="gramStart"/>
      <w:r w:rsidRPr="00650500">
        <w:rPr>
          <w:rFonts w:ascii="Helvetica" w:eastAsiaTheme="minorHAnsi" w:hAnsi="Helvetica" w:cs="Helvetica"/>
          <w:sz w:val="20"/>
          <w:szCs w:val="20"/>
          <w:lang w:val="en-GB" w:eastAsia="en-US"/>
        </w:rPr>
        <w:t>discussion</w:t>
      </w:r>
      <w:r w:rsidR="00AB0782">
        <w:rPr>
          <w:rFonts w:ascii="Helvetica" w:eastAsiaTheme="minorHAnsi" w:hAnsi="Helvetica" w:cs="Helvetica"/>
          <w:sz w:val="20"/>
          <w:szCs w:val="20"/>
          <w:lang w:val="en-GB" w:eastAsia="en-US"/>
        </w:rPr>
        <w:t xml:space="preserve"> </w:t>
      </w:r>
      <w:r w:rsidR="00AB0782" w:rsidRPr="00AB0782">
        <w:rPr>
          <w:rFonts w:ascii="Helvetica" w:eastAsiaTheme="minorHAnsi" w:hAnsi="Helvetica" w:cs="Helvetica"/>
          <w:sz w:val="20"/>
          <w:szCs w:val="20"/>
          <w:lang w:val="en-GB" w:eastAsia="en-US"/>
        </w:rPr>
        <w:t>,</w:t>
      </w:r>
      <w:proofErr w:type="gramEnd"/>
      <w:r w:rsidR="00AB0782" w:rsidRPr="00AB0782">
        <w:rPr>
          <w:rFonts w:ascii="Helvetica" w:eastAsiaTheme="minorHAnsi" w:hAnsi="Helvetica" w:cs="Helvetica"/>
          <w:sz w:val="20"/>
          <w:szCs w:val="20"/>
          <w:lang w:val="en-GB" w:eastAsia="en-US"/>
        </w:rPr>
        <w:t xml:space="preserve"> but for now just note that the fit is far from excellent.</w:t>
      </w:r>
    </w:p>
    <w:p w14:paraId="30233375" w14:textId="77777777" w:rsidR="00650500" w:rsidRPr="00650500" w:rsidRDefault="00650500" w:rsidP="00650500">
      <w:pPr>
        <w:rPr>
          <w:rFonts w:ascii="Helvetica" w:eastAsiaTheme="minorHAnsi" w:hAnsi="Helvetica" w:cs="Helvetica"/>
          <w:sz w:val="20"/>
          <w:szCs w:val="20"/>
          <w:lang w:val="en-GB" w:eastAsia="en-US"/>
        </w:rPr>
      </w:pPr>
    </w:p>
    <w:p w14:paraId="0FD39E1A" w14:textId="5179D2DD"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 xml:space="preserve">{\it </w:t>
      </w:r>
      <w:proofErr w:type="spellStart"/>
      <w:r w:rsidRPr="00650500">
        <w:rPr>
          <w:rFonts w:ascii="Helvetica" w:eastAsiaTheme="minorHAnsi" w:hAnsi="Helvetica" w:cs="Helvetica"/>
          <w:sz w:val="20"/>
          <w:szCs w:val="20"/>
          <w:lang w:val="en-GB" w:eastAsia="en-US"/>
        </w:rPr>
        <w:t>n.b.</w:t>
      </w:r>
      <w:proofErr w:type="spellEnd"/>
      <w:r w:rsidRPr="00650500">
        <w:rPr>
          <w:rFonts w:ascii="Helvetica" w:eastAsiaTheme="minorHAnsi" w:hAnsi="Helvetica" w:cs="Helvetica"/>
          <w:sz w:val="20"/>
          <w:szCs w:val="20"/>
          <w:lang w:val="en-GB" w:eastAsia="en-US"/>
        </w:rPr>
        <w:t>} in \ref{</w:t>
      </w:r>
      <w:proofErr w:type="spellStart"/>
      <w:proofErr w:type="gramStart"/>
      <w:r w:rsidRPr="00650500">
        <w:rPr>
          <w:rFonts w:ascii="Helvetica" w:eastAsiaTheme="minorHAnsi" w:hAnsi="Helvetica" w:cs="Helvetica"/>
          <w:sz w:val="20"/>
          <w:szCs w:val="20"/>
          <w:lang w:val="en-GB" w:eastAsia="en-US"/>
        </w:rPr>
        <w:t>eqn:Boltz</w:t>
      </w:r>
      <w:proofErr w:type="spellEnd"/>
      <w:proofErr w:type="gramEnd"/>
      <w:r w:rsidRPr="00650500">
        <w:rPr>
          <w:rFonts w:ascii="Helvetica" w:eastAsiaTheme="minorHAnsi" w:hAnsi="Helvetica" w:cs="Helvetica"/>
          <w:sz w:val="20"/>
          <w:szCs w:val="20"/>
          <w:lang w:val="en-GB" w:eastAsia="en-US"/>
        </w:rPr>
        <w:t>}, $\lambda$ is just some constant of proportionality.</w:t>
      </w:r>
    </w:p>
    <w:p w14:paraId="4D37F83B" w14:textId="77777777" w:rsidR="002B4519" w:rsidRPr="002B4519" w:rsidRDefault="002B4519" w:rsidP="002B4519">
      <w:pPr>
        <w:rPr>
          <w:rFonts w:ascii="Helvetica" w:hAnsi="Helvetica"/>
          <w:b/>
          <w:bCs/>
          <w:sz w:val="20"/>
          <w:szCs w:val="20"/>
        </w:rPr>
      </w:pPr>
    </w:p>
    <w:p w14:paraId="11ECB486" w14:textId="6278841D" w:rsidR="00A507B0" w:rsidRPr="002B4519" w:rsidRDefault="007C32D3" w:rsidP="00B70082">
      <w:pPr>
        <w:rPr>
          <w:rFonts w:ascii="Helvetica" w:hAnsi="Helvetica"/>
          <w:b/>
          <w:bCs/>
          <w:sz w:val="20"/>
          <w:szCs w:val="20"/>
        </w:rPr>
      </w:pPr>
      <w:r w:rsidRPr="002B4519">
        <w:rPr>
          <w:rFonts w:ascii="Helvetica" w:hAnsi="Helvetica"/>
          <w:b/>
          <w:bCs/>
          <w:sz w:val="20"/>
          <w:szCs w:val="20"/>
        </w:rPr>
        <w:t xml:space="preserve">Discussion </w:t>
      </w:r>
      <w:r w:rsidRPr="002B4519">
        <w:rPr>
          <w:rFonts w:ascii="Helvetica" w:hAnsi="Helvetica"/>
          <w:sz w:val="20"/>
          <w:szCs w:val="20"/>
        </w:rPr>
        <w:t>(1500 words combined with results)</w:t>
      </w:r>
    </w:p>
    <w:p w14:paraId="1251C671" w14:textId="266DD1B9" w:rsidR="007C32D3" w:rsidRDefault="007C32D3" w:rsidP="00B70082">
      <w:pPr>
        <w:rPr>
          <w:rFonts w:ascii="Helvetica" w:hAnsi="Helvetica"/>
          <w:b/>
          <w:bCs/>
          <w:sz w:val="20"/>
          <w:szCs w:val="20"/>
        </w:rPr>
      </w:pPr>
    </w:p>
    <w:p w14:paraId="489605F2" w14:textId="77777777" w:rsidR="00074C08" w:rsidRPr="00074C08" w:rsidRDefault="00074C08" w:rsidP="00074C08">
      <w:pPr>
        <w:rPr>
          <w:rFonts w:ascii="Helvetica" w:hAnsi="Helvetica"/>
          <w:sz w:val="20"/>
          <w:szCs w:val="20"/>
        </w:rPr>
      </w:pPr>
      <w:r w:rsidRPr="00074C08">
        <w:rPr>
          <w:rFonts w:ascii="Helvetica" w:hAnsi="Helvetica"/>
          <w:sz w:val="20"/>
          <w:szCs w:val="20"/>
        </w:rPr>
        <w:t xml:space="preserve">Clearly the cubic term was the correct fit, but it is important to understand why. There are two key approximations that we have made </w:t>
      </w:r>
      <w:proofErr w:type="gramStart"/>
      <w:r w:rsidRPr="00074C08">
        <w:rPr>
          <w:rFonts w:ascii="Helvetica" w:hAnsi="Helvetica"/>
          <w:sz w:val="20"/>
          <w:szCs w:val="20"/>
        </w:rPr>
        <w:t>in order to</w:t>
      </w:r>
      <w:proofErr w:type="gramEnd"/>
      <w:r w:rsidRPr="00074C08">
        <w:rPr>
          <w:rFonts w:ascii="Helvetica" w:hAnsi="Helvetica"/>
          <w:sz w:val="20"/>
          <w:szCs w:val="20"/>
        </w:rPr>
        <w:t xml:space="preserve"> construct our model of diatomic rotational spectroscopy. These are the quantum harmonic anharmonic oscillator and the quantum rigid rotor. </w:t>
      </w:r>
    </w:p>
    <w:p w14:paraId="3E6EE2C4" w14:textId="77777777" w:rsidR="00074C08" w:rsidRPr="00074C08" w:rsidRDefault="00074C08" w:rsidP="00074C08">
      <w:pPr>
        <w:rPr>
          <w:rFonts w:ascii="Helvetica" w:hAnsi="Helvetica"/>
          <w:sz w:val="20"/>
          <w:szCs w:val="20"/>
        </w:rPr>
      </w:pPr>
    </w:p>
    <w:p w14:paraId="3EFE5F7B" w14:textId="77777777" w:rsidR="00074C08" w:rsidRPr="00074C08" w:rsidRDefault="00074C08" w:rsidP="00074C08">
      <w:pPr>
        <w:rPr>
          <w:rFonts w:ascii="Helvetica" w:hAnsi="Helvetica"/>
          <w:sz w:val="20"/>
          <w:szCs w:val="20"/>
        </w:rPr>
      </w:pPr>
      <w:r w:rsidRPr="00074C08">
        <w:rPr>
          <w:rFonts w:ascii="Helvetica" w:hAnsi="Helvetica"/>
          <w:sz w:val="20"/>
          <w:szCs w:val="20"/>
        </w:rPr>
        <w:t>More specifically, instead of using the quantum anharmonic oscillator we used a morse potential: an approximation of the infinite anharmonic series to a simple quadratic. This would explain why adding in higher order turns increases the accuracy of the fit, although it is important to note that adding too many higher order terms could become problematic; a polynomial of sufficient degree will perfectly fit any set of data, and coefficients will eventually lose any physical meaning.</w:t>
      </w:r>
    </w:p>
    <w:p w14:paraId="3FA1C933" w14:textId="77777777" w:rsidR="00074C08" w:rsidRPr="00074C08" w:rsidRDefault="00074C08" w:rsidP="00074C08">
      <w:pPr>
        <w:rPr>
          <w:rFonts w:ascii="Helvetica" w:hAnsi="Helvetica"/>
          <w:sz w:val="20"/>
          <w:szCs w:val="20"/>
        </w:rPr>
      </w:pPr>
    </w:p>
    <w:p w14:paraId="3CB0895C" w14:textId="77777777" w:rsidR="00074C08" w:rsidRPr="00074C08" w:rsidRDefault="00074C08" w:rsidP="00074C08">
      <w:pPr>
        <w:rPr>
          <w:rFonts w:ascii="Helvetica" w:hAnsi="Helvetica"/>
          <w:sz w:val="20"/>
          <w:szCs w:val="20"/>
        </w:rPr>
      </w:pPr>
      <w:r w:rsidRPr="00074C08">
        <w:rPr>
          <w:rFonts w:ascii="Helvetica" w:hAnsi="Helvetica"/>
          <w:sz w:val="20"/>
          <w:szCs w:val="20"/>
        </w:rPr>
        <w:t>The second approximation is the quantum rigid rotor. This is itself a contradiction with the first assumption. The diatomic bond cannot be both spring-like (an oscillator) and a rigid rotor. A non-rigid rotor has additional, higher order terms to account for centrifugal distortion and other effects. At higher rotational quantum numbers, it makes intuitive sense that the bond should get longer (and hence $B$ should get smaller). A cubic centrifugal distortion term helps account for this.</w:t>
      </w:r>
    </w:p>
    <w:p w14:paraId="5B927479" w14:textId="77777777" w:rsidR="00074C08" w:rsidRPr="00074C08" w:rsidRDefault="00074C08" w:rsidP="00074C08">
      <w:pPr>
        <w:rPr>
          <w:rFonts w:ascii="Helvetica" w:hAnsi="Helvetica"/>
          <w:sz w:val="20"/>
          <w:szCs w:val="20"/>
        </w:rPr>
      </w:pPr>
    </w:p>
    <w:p w14:paraId="1C8B2EEF" w14:textId="77777777" w:rsidR="00074C08" w:rsidRPr="00074C08" w:rsidRDefault="00074C08" w:rsidP="00074C08">
      <w:pPr>
        <w:rPr>
          <w:rFonts w:ascii="Helvetica" w:hAnsi="Helvetica"/>
          <w:sz w:val="20"/>
          <w:szCs w:val="20"/>
        </w:rPr>
      </w:pPr>
      <w:r w:rsidRPr="00074C08">
        <w:rPr>
          <w:rFonts w:ascii="Helvetica" w:hAnsi="Helvetica"/>
          <w:sz w:val="20"/>
          <w:szCs w:val="20"/>
        </w:rPr>
        <w:t>Together, these two points help to explain, in physical terms, why adding a cubic term improves the goodness of fit, beyond any improvement that would emerge simply from using a higher order polynomial.</w:t>
      </w:r>
    </w:p>
    <w:p w14:paraId="22944CA9" w14:textId="77777777" w:rsidR="00074C08" w:rsidRPr="00074C08" w:rsidRDefault="00074C08" w:rsidP="00074C08">
      <w:pPr>
        <w:rPr>
          <w:rFonts w:ascii="Helvetica" w:hAnsi="Helvetica"/>
          <w:sz w:val="20"/>
          <w:szCs w:val="20"/>
        </w:rPr>
      </w:pPr>
    </w:p>
    <w:p w14:paraId="2E4DADF6" w14:textId="77777777" w:rsidR="00074C08" w:rsidRPr="00074C08" w:rsidRDefault="00074C08" w:rsidP="00074C08">
      <w:pPr>
        <w:rPr>
          <w:rFonts w:ascii="Helvetica" w:hAnsi="Helvetica"/>
          <w:sz w:val="20"/>
          <w:szCs w:val="20"/>
        </w:rPr>
      </w:pPr>
      <w:r w:rsidRPr="00074C08">
        <w:rPr>
          <w:rFonts w:ascii="Helvetica" w:hAnsi="Helvetica"/>
          <w:sz w:val="20"/>
          <w:szCs w:val="20"/>
        </w:rPr>
        <w:t>Additionally, we should consider why the Boltzmann-derived thermal fit, shown in fire \ref{</w:t>
      </w:r>
      <w:proofErr w:type="spellStart"/>
      <w:proofErr w:type="gramStart"/>
      <w:r w:rsidRPr="00074C08">
        <w:rPr>
          <w:rFonts w:ascii="Helvetica" w:hAnsi="Helvetica"/>
          <w:sz w:val="20"/>
          <w:szCs w:val="20"/>
        </w:rPr>
        <w:t>fig:Thermals</w:t>
      </w:r>
      <w:proofErr w:type="spellEnd"/>
      <w:proofErr w:type="gramEnd"/>
      <w:r w:rsidRPr="00074C08">
        <w:rPr>
          <w:rFonts w:ascii="Helvetica" w:hAnsi="Helvetica"/>
          <w:sz w:val="20"/>
          <w:szCs w:val="20"/>
        </w:rPr>
        <w:t xml:space="preserve">}, is so poor. The explanation is straightforward; the spectra was recording at room temperature and pressure. While the curve fit extracts an appropriate temperature ($15$ C seems very reasonable, it was a very cold day) the fit itself is not very satisfying. </w:t>
      </w:r>
    </w:p>
    <w:p w14:paraId="7517838A" w14:textId="77777777" w:rsidR="00074C08" w:rsidRPr="00074C08" w:rsidRDefault="00074C08" w:rsidP="00074C08">
      <w:pPr>
        <w:rPr>
          <w:rFonts w:ascii="Helvetica" w:hAnsi="Helvetica"/>
          <w:sz w:val="20"/>
          <w:szCs w:val="20"/>
        </w:rPr>
      </w:pPr>
    </w:p>
    <w:p w14:paraId="221E48C9" w14:textId="77777777" w:rsidR="00074C08" w:rsidRPr="00074C08" w:rsidRDefault="00074C08" w:rsidP="00074C08">
      <w:pPr>
        <w:rPr>
          <w:rFonts w:ascii="Helvetica" w:hAnsi="Helvetica"/>
          <w:sz w:val="20"/>
          <w:szCs w:val="20"/>
        </w:rPr>
      </w:pPr>
      <w:r w:rsidRPr="00074C08">
        <w:rPr>
          <w:rFonts w:ascii="Helvetica" w:hAnsi="Helvetica"/>
          <w:sz w:val="20"/>
          <w:szCs w:val="20"/>
        </w:rPr>
        <w:lastRenderedPageBreak/>
        <w:t xml:space="preserve">Recording the temperature at atmospheric pressure distorts the relative absorbance peaks. As Van Krefeld and Van Der </w:t>
      </w:r>
      <w:proofErr w:type="spellStart"/>
      <w:r w:rsidRPr="00074C08">
        <w:rPr>
          <w:rFonts w:ascii="Helvetica" w:hAnsi="Helvetica"/>
          <w:sz w:val="20"/>
          <w:szCs w:val="20"/>
        </w:rPr>
        <w:t>Elksen</w:t>
      </w:r>
      <w:proofErr w:type="spellEnd"/>
      <w:r w:rsidRPr="00074C08">
        <w:rPr>
          <w:rFonts w:ascii="Helvetica" w:hAnsi="Helvetica"/>
          <w:sz w:val="20"/>
          <w:szCs w:val="20"/>
        </w:rPr>
        <w:t xml:space="preserve"> note\</w:t>
      </w:r>
      <w:proofErr w:type="gramStart"/>
      <w:r w:rsidRPr="00074C08">
        <w:rPr>
          <w:rFonts w:ascii="Helvetica" w:hAnsi="Helvetica"/>
          <w:sz w:val="20"/>
          <w:szCs w:val="20"/>
        </w:rPr>
        <w:t>cite{</w:t>
      </w:r>
      <w:proofErr w:type="gramEnd"/>
      <w:r w:rsidRPr="00074C08">
        <w:rPr>
          <w:rFonts w:ascii="Helvetica" w:hAnsi="Helvetica"/>
          <w:sz w:val="20"/>
          <w:szCs w:val="20"/>
        </w:rPr>
        <w:t>Pressure}, we should expect to see a greater difference in the intensity of adjacent rotational transitions at higher temperatures. This explains the deviation from the expected distribution.</w:t>
      </w:r>
    </w:p>
    <w:p w14:paraId="7EDB0009" w14:textId="77777777" w:rsidR="00074C08" w:rsidRPr="00074C08" w:rsidRDefault="00074C08" w:rsidP="00074C08">
      <w:pPr>
        <w:rPr>
          <w:rFonts w:ascii="Helvetica" w:hAnsi="Helvetica"/>
          <w:sz w:val="20"/>
          <w:szCs w:val="20"/>
        </w:rPr>
      </w:pPr>
    </w:p>
    <w:p w14:paraId="329D623D" w14:textId="77777777" w:rsidR="00074C08" w:rsidRPr="00074C08" w:rsidRDefault="00074C08" w:rsidP="00074C08">
      <w:pPr>
        <w:rPr>
          <w:rFonts w:ascii="Helvetica" w:hAnsi="Helvetica"/>
          <w:sz w:val="20"/>
          <w:szCs w:val="20"/>
        </w:rPr>
      </w:pPr>
      <w:r w:rsidRPr="00074C08">
        <w:rPr>
          <w:rFonts w:ascii="Helvetica" w:hAnsi="Helvetica"/>
          <w:sz w:val="20"/>
          <w:szCs w:val="20"/>
        </w:rPr>
        <w:t xml:space="preserve">An additional source of some of this error might be the saturation of the experimental apparatus. Sample data (provided in the QS4 analysis lab) has absorbance peaks roughly an order of magnitude less than gathered experimental data. </w:t>
      </w:r>
      <w:proofErr w:type="spellStart"/>
      <w:r w:rsidRPr="00074C08">
        <w:rPr>
          <w:rFonts w:ascii="Helvetica" w:hAnsi="Helvetica"/>
          <w:sz w:val="20"/>
          <w:szCs w:val="20"/>
        </w:rPr>
        <w:t>Grdadolnik</w:t>
      </w:r>
      <w:proofErr w:type="spellEnd"/>
      <w:r w:rsidRPr="00074C08">
        <w:rPr>
          <w:rFonts w:ascii="Helvetica" w:hAnsi="Helvetica"/>
          <w:sz w:val="20"/>
          <w:szCs w:val="20"/>
        </w:rPr>
        <w:t xml:space="preserve"> notes how increasing concentrations of the compounds of interest can conceal the true magnitude and detail of FTIR absorbance peaks\</w:t>
      </w:r>
      <w:proofErr w:type="gramStart"/>
      <w:r w:rsidRPr="00074C08">
        <w:rPr>
          <w:rFonts w:ascii="Helvetica" w:hAnsi="Helvetica"/>
          <w:sz w:val="20"/>
          <w:szCs w:val="20"/>
        </w:rPr>
        <w:t>cite{</w:t>
      </w:r>
      <w:proofErr w:type="gramEnd"/>
      <w:r w:rsidRPr="00074C08">
        <w:rPr>
          <w:rFonts w:ascii="Helvetica" w:hAnsi="Helvetica"/>
          <w:sz w:val="20"/>
          <w:szCs w:val="20"/>
        </w:rPr>
        <w:t>Saturation}. Additionally, absolute absorbances are much larger than the sample data. This could lead to inaccuracies as the actual absorbance deviates from the Beer Lambert Law at higher absorbances.</w:t>
      </w:r>
    </w:p>
    <w:p w14:paraId="5ACE997F" w14:textId="77777777" w:rsidR="00074C08" w:rsidRPr="00074C08" w:rsidRDefault="00074C08" w:rsidP="00074C08">
      <w:pPr>
        <w:rPr>
          <w:rFonts w:ascii="Helvetica" w:hAnsi="Helvetica"/>
          <w:sz w:val="20"/>
          <w:szCs w:val="20"/>
        </w:rPr>
      </w:pPr>
    </w:p>
    <w:p w14:paraId="389991D0" w14:textId="2DC22AB0" w:rsidR="00EE7766" w:rsidRDefault="00074C08" w:rsidP="00074C08">
      <w:pPr>
        <w:rPr>
          <w:rFonts w:ascii="Helvetica" w:hAnsi="Helvetica"/>
          <w:sz w:val="20"/>
          <w:szCs w:val="20"/>
        </w:rPr>
      </w:pPr>
      <w:r w:rsidRPr="00074C08">
        <w:rPr>
          <w:rFonts w:ascii="Helvetica" w:hAnsi="Helvetica"/>
          <w:sz w:val="20"/>
          <w:szCs w:val="20"/>
        </w:rPr>
        <w:t>Note that the thermal results are dependent on the relative {\</w:t>
      </w:r>
      <w:proofErr w:type="gramStart"/>
      <w:r w:rsidRPr="00074C08">
        <w:rPr>
          <w:rFonts w:ascii="Helvetica" w:hAnsi="Helvetica"/>
          <w:sz w:val="20"/>
          <w:szCs w:val="20"/>
        </w:rPr>
        <w:t>it</w:t>
      </w:r>
      <w:proofErr w:type="gramEnd"/>
      <w:r w:rsidRPr="00074C08">
        <w:rPr>
          <w:rFonts w:ascii="Helvetica" w:hAnsi="Helvetica"/>
          <w:sz w:val="20"/>
          <w:szCs w:val="20"/>
        </w:rPr>
        <w:t xml:space="preserve"> intensity} of rotational peaks, while the rotational results are dependent on their relevant {\it energies}. This means that we can get great results for the rotational constants while having not very useful thermal data.</w:t>
      </w:r>
    </w:p>
    <w:p w14:paraId="0CEC77A9" w14:textId="77777777" w:rsidR="00074C08" w:rsidRPr="00DB6779" w:rsidRDefault="00074C08" w:rsidP="00074C08">
      <w:pPr>
        <w:rPr>
          <w:rFonts w:ascii="Helvetica" w:hAnsi="Helvetica"/>
          <w:b/>
          <w:bCs/>
          <w:sz w:val="20"/>
          <w:szCs w:val="20"/>
        </w:rPr>
      </w:pPr>
    </w:p>
    <w:p w14:paraId="1D94A6F1" w14:textId="6636A3DB" w:rsidR="001262CC" w:rsidRPr="00DB6779" w:rsidRDefault="001262CC" w:rsidP="00B70082">
      <w:pPr>
        <w:rPr>
          <w:rFonts w:ascii="Helvetica" w:hAnsi="Helvetica"/>
          <w:sz w:val="20"/>
          <w:szCs w:val="20"/>
        </w:rPr>
      </w:pPr>
      <w:r w:rsidRPr="00DB6779">
        <w:rPr>
          <w:rFonts w:ascii="Helvetica" w:hAnsi="Helvetica"/>
          <w:b/>
          <w:bCs/>
          <w:sz w:val="20"/>
          <w:szCs w:val="20"/>
        </w:rPr>
        <w:t>Conclusions</w:t>
      </w:r>
      <w:r w:rsidRPr="00DB6779">
        <w:rPr>
          <w:rFonts w:ascii="Helvetica" w:hAnsi="Helvetica"/>
          <w:sz w:val="20"/>
          <w:szCs w:val="20"/>
        </w:rPr>
        <w:t xml:space="preserve"> (100 words max)</w:t>
      </w:r>
    </w:p>
    <w:p w14:paraId="7A2FEADE" w14:textId="77777777" w:rsidR="00F525F6" w:rsidRDefault="00F525F6" w:rsidP="00B70082">
      <w:pPr>
        <w:rPr>
          <w:rFonts w:ascii="Helvetica" w:hAnsi="Helvetica"/>
          <w:sz w:val="20"/>
          <w:szCs w:val="20"/>
        </w:rPr>
      </w:pPr>
    </w:p>
    <w:p w14:paraId="4D53E726" w14:textId="5AFF64DC" w:rsidR="00EA537C" w:rsidRPr="00EA537C" w:rsidRDefault="00EA537C" w:rsidP="00EA537C">
      <w:pPr>
        <w:rPr>
          <w:rFonts w:ascii="Helvetica" w:hAnsi="Helvetica"/>
          <w:sz w:val="20"/>
          <w:szCs w:val="20"/>
        </w:rPr>
      </w:pPr>
      <w:r w:rsidRPr="00EA537C">
        <w:rPr>
          <w:rFonts w:ascii="Helvetica" w:hAnsi="Helvetica"/>
          <w:sz w:val="20"/>
          <w:szCs w:val="20"/>
        </w:rPr>
        <w:t>A</w:t>
      </w:r>
      <w:r>
        <w:rPr>
          <w:rFonts w:ascii="Helvetica" w:hAnsi="Helvetica"/>
          <w:sz w:val="20"/>
          <w:szCs w:val="20"/>
        </w:rPr>
        <w:t>n</w:t>
      </w:r>
      <w:r w:rsidRPr="00EA537C">
        <w:rPr>
          <w:rFonts w:ascii="Helvetica" w:hAnsi="Helvetica"/>
          <w:sz w:val="20"/>
          <w:szCs w:val="20"/>
        </w:rPr>
        <w:t xml:space="preserve"> </w:t>
      </w:r>
      <w:proofErr w:type="gramStart"/>
      <w:r w:rsidRPr="00EA537C">
        <w:rPr>
          <w:rFonts w:ascii="Helvetica" w:hAnsi="Helvetica"/>
          <w:sz w:val="20"/>
          <w:szCs w:val="20"/>
        </w:rPr>
        <w:t>infrared rotational spectra of CO</w:t>
      </w:r>
      <w:proofErr w:type="gramEnd"/>
      <w:r w:rsidRPr="00EA537C">
        <w:rPr>
          <w:rFonts w:ascii="Helvetica" w:hAnsi="Helvetica"/>
          <w:sz w:val="20"/>
          <w:szCs w:val="20"/>
        </w:rPr>
        <w:t xml:space="preserve"> was assigned and analysed, with rotational constants extracted. A cubic model was determined (by analysis of residuals) to be the most appropriate, and the value of $</w:t>
      </w:r>
      <w:proofErr w:type="spellStart"/>
      <w:r w:rsidRPr="00EA537C">
        <w:rPr>
          <w:rFonts w:ascii="Helvetica" w:hAnsi="Helvetica"/>
          <w:sz w:val="20"/>
          <w:szCs w:val="20"/>
        </w:rPr>
        <w:t>B_e</w:t>
      </w:r>
      <w:proofErr w:type="spellEnd"/>
      <w:r w:rsidRPr="00EA537C">
        <w:rPr>
          <w:rFonts w:ascii="Helvetica" w:hAnsi="Helvetica"/>
          <w:sz w:val="20"/>
          <w:szCs w:val="20"/>
        </w:rPr>
        <w:t>$ was determined experimentally to be $1.9312(</w:t>
      </w:r>
      <w:proofErr w:type="gramStart"/>
      <w:r w:rsidRPr="00EA537C">
        <w:rPr>
          <w:rFonts w:ascii="Helvetica" w:hAnsi="Helvetica"/>
          <w:sz w:val="20"/>
          <w:szCs w:val="20"/>
        </w:rPr>
        <w:t>10)$</w:t>
      </w:r>
      <w:proofErr w:type="gramEnd"/>
      <w:r w:rsidRPr="00EA537C">
        <w:rPr>
          <w:rFonts w:ascii="Helvetica" w:hAnsi="Helvetica"/>
          <w:sz w:val="20"/>
          <w:szCs w:val="20"/>
        </w:rPr>
        <w:t xml:space="preserve">, within experimental precision of the existing accepted value of $1.9313$ \cite{NIST}. This trend continued for other rotational constants. </w:t>
      </w:r>
    </w:p>
    <w:p w14:paraId="26D7718D" w14:textId="77777777" w:rsidR="00EA537C" w:rsidRPr="00EA537C" w:rsidRDefault="00EA537C" w:rsidP="00EA537C">
      <w:pPr>
        <w:rPr>
          <w:rFonts w:ascii="Helvetica" w:hAnsi="Helvetica"/>
          <w:sz w:val="20"/>
          <w:szCs w:val="20"/>
        </w:rPr>
      </w:pPr>
    </w:p>
    <w:p w14:paraId="14B449DF" w14:textId="67CE71F2" w:rsidR="00E853E6" w:rsidRPr="00DB6779" w:rsidRDefault="00EA537C" w:rsidP="00692D07">
      <w:pPr>
        <w:rPr>
          <w:rFonts w:ascii="Helvetica" w:hAnsi="Helvetica"/>
          <w:sz w:val="20"/>
          <w:szCs w:val="20"/>
        </w:rPr>
      </w:pPr>
      <w:r w:rsidRPr="00EA537C">
        <w:rPr>
          <w:rFonts w:ascii="Helvetica" w:hAnsi="Helvetica"/>
          <w:sz w:val="20"/>
          <w:szCs w:val="20"/>
        </w:rPr>
        <w:t>Physical justifications for the cubic model's superiority were explored, and a Boltzmann relationship was plotted against peak intensity to determine thermal properties. Inaccuracies in these models were discussed.</w:t>
      </w:r>
    </w:p>
    <w:sectPr w:rsidR="00E853E6" w:rsidRPr="00DB6779" w:rsidSect="00B700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23"/>
    <w:rsid w:val="00014D52"/>
    <w:rsid w:val="00016941"/>
    <w:rsid w:val="00030782"/>
    <w:rsid w:val="00045982"/>
    <w:rsid w:val="00074C08"/>
    <w:rsid w:val="0007776D"/>
    <w:rsid w:val="000829AE"/>
    <w:rsid w:val="00086A2B"/>
    <w:rsid w:val="000D0432"/>
    <w:rsid w:val="000E1F02"/>
    <w:rsid w:val="00121170"/>
    <w:rsid w:val="00123EF8"/>
    <w:rsid w:val="001262CC"/>
    <w:rsid w:val="00137EFA"/>
    <w:rsid w:val="001859CA"/>
    <w:rsid w:val="001867CF"/>
    <w:rsid w:val="00193FBC"/>
    <w:rsid w:val="001C3714"/>
    <w:rsid w:val="001D6B03"/>
    <w:rsid w:val="001F5A12"/>
    <w:rsid w:val="002103F9"/>
    <w:rsid w:val="002112B1"/>
    <w:rsid w:val="00241BE2"/>
    <w:rsid w:val="00242158"/>
    <w:rsid w:val="002557C0"/>
    <w:rsid w:val="00266577"/>
    <w:rsid w:val="0027067E"/>
    <w:rsid w:val="002714F4"/>
    <w:rsid w:val="00294E5F"/>
    <w:rsid w:val="002955D9"/>
    <w:rsid w:val="002B11EA"/>
    <w:rsid w:val="002B4519"/>
    <w:rsid w:val="002B4591"/>
    <w:rsid w:val="002B7C39"/>
    <w:rsid w:val="002C1BC7"/>
    <w:rsid w:val="002E1BF4"/>
    <w:rsid w:val="00305779"/>
    <w:rsid w:val="00306323"/>
    <w:rsid w:val="003248B5"/>
    <w:rsid w:val="003257FE"/>
    <w:rsid w:val="003362A1"/>
    <w:rsid w:val="00357307"/>
    <w:rsid w:val="0036398B"/>
    <w:rsid w:val="00364436"/>
    <w:rsid w:val="0037702F"/>
    <w:rsid w:val="00391559"/>
    <w:rsid w:val="003A1AEF"/>
    <w:rsid w:val="003B135F"/>
    <w:rsid w:val="003C170A"/>
    <w:rsid w:val="003C2FE5"/>
    <w:rsid w:val="003C3E33"/>
    <w:rsid w:val="003D12E8"/>
    <w:rsid w:val="003E452F"/>
    <w:rsid w:val="003E471F"/>
    <w:rsid w:val="003E6B78"/>
    <w:rsid w:val="004002F3"/>
    <w:rsid w:val="0041214C"/>
    <w:rsid w:val="004176DE"/>
    <w:rsid w:val="004256E9"/>
    <w:rsid w:val="004327EB"/>
    <w:rsid w:val="00485122"/>
    <w:rsid w:val="00486E28"/>
    <w:rsid w:val="00490CE1"/>
    <w:rsid w:val="004D2A89"/>
    <w:rsid w:val="004D3AE4"/>
    <w:rsid w:val="004E0290"/>
    <w:rsid w:val="004E0B69"/>
    <w:rsid w:val="004E1704"/>
    <w:rsid w:val="004E4478"/>
    <w:rsid w:val="004F2AF1"/>
    <w:rsid w:val="00520B9A"/>
    <w:rsid w:val="0052494C"/>
    <w:rsid w:val="00530F83"/>
    <w:rsid w:val="005753DD"/>
    <w:rsid w:val="005809AD"/>
    <w:rsid w:val="005919D3"/>
    <w:rsid w:val="005A6ECE"/>
    <w:rsid w:val="005C4750"/>
    <w:rsid w:val="005D3D5D"/>
    <w:rsid w:val="005E0BCD"/>
    <w:rsid w:val="005E1617"/>
    <w:rsid w:val="005E204F"/>
    <w:rsid w:val="006135D2"/>
    <w:rsid w:val="00616B87"/>
    <w:rsid w:val="00646DB1"/>
    <w:rsid w:val="00650500"/>
    <w:rsid w:val="00657815"/>
    <w:rsid w:val="00662661"/>
    <w:rsid w:val="006844EA"/>
    <w:rsid w:val="00692D07"/>
    <w:rsid w:val="0069444C"/>
    <w:rsid w:val="006A6A2B"/>
    <w:rsid w:val="006C5DD7"/>
    <w:rsid w:val="006C7165"/>
    <w:rsid w:val="00713946"/>
    <w:rsid w:val="0071673C"/>
    <w:rsid w:val="0073358C"/>
    <w:rsid w:val="0073500E"/>
    <w:rsid w:val="0074568F"/>
    <w:rsid w:val="0075214C"/>
    <w:rsid w:val="00765172"/>
    <w:rsid w:val="0076736F"/>
    <w:rsid w:val="00776815"/>
    <w:rsid w:val="007C0209"/>
    <w:rsid w:val="007C04BC"/>
    <w:rsid w:val="007C1A7A"/>
    <w:rsid w:val="007C32D3"/>
    <w:rsid w:val="007D1542"/>
    <w:rsid w:val="007E7DEB"/>
    <w:rsid w:val="0082353A"/>
    <w:rsid w:val="008712A1"/>
    <w:rsid w:val="0087198E"/>
    <w:rsid w:val="00891810"/>
    <w:rsid w:val="008C72A7"/>
    <w:rsid w:val="008C7561"/>
    <w:rsid w:val="009012C7"/>
    <w:rsid w:val="00907559"/>
    <w:rsid w:val="009142D4"/>
    <w:rsid w:val="009212BE"/>
    <w:rsid w:val="00940459"/>
    <w:rsid w:val="00964620"/>
    <w:rsid w:val="0096537E"/>
    <w:rsid w:val="00994C94"/>
    <w:rsid w:val="009F049D"/>
    <w:rsid w:val="009F123B"/>
    <w:rsid w:val="00A066FA"/>
    <w:rsid w:val="00A06F35"/>
    <w:rsid w:val="00A11FFE"/>
    <w:rsid w:val="00A13563"/>
    <w:rsid w:val="00A469A7"/>
    <w:rsid w:val="00A507B0"/>
    <w:rsid w:val="00A7403A"/>
    <w:rsid w:val="00A91015"/>
    <w:rsid w:val="00A948CA"/>
    <w:rsid w:val="00AA05C2"/>
    <w:rsid w:val="00AA78D8"/>
    <w:rsid w:val="00AB0782"/>
    <w:rsid w:val="00AC37BA"/>
    <w:rsid w:val="00AD6DF8"/>
    <w:rsid w:val="00AE20D3"/>
    <w:rsid w:val="00B04371"/>
    <w:rsid w:val="00B22956"/>
    <w:rsid w:val="00B26B6B"/>
    <w:rsid w:val="00B30C2C"/>
    <w:rsid w:val="00B6700D"/>
    <w:rsid w:val="00B67023"/>
    <w:rsid w:val="00B70082"/>
    <w:rsid w:val="00B7721C"/>
    <w:rsid w:val="00B8121E"/>
    <w:rsid w:val="00BB003A"/>
    <w:rsid w:val="00BC50EF"/>
    <w:rsid w:val="00BE73C8"/>
    <w:rsid w:val="00BF279F"/>
    <w:rsid w:val="00C12789"/>
    <w:rsid w:val="00C2075A"/>
    <w:rsid w:val="00C31F6A"/>
    <w:rsid w:val="00C553AF"/>
    <w:rsid w:val="00C60784"/>
    <w:rsid w:val="00C8694B"/>
    <w:rsid w:val="00C91F89"/>
    <w:rsid w:val="00CA699F"/>
    <w:rsid w:val="00CA7CF1"/>
    <w:rsid w:val="00CB07C4"/>
    <w:rsid w:val="00CC0D98"/>
    <w:rsid w:val="00CE13BE"/>
    <w:rsid w:val="00CE3DAE"/>
    <w:rsid w:val="00CF2D1D"/>
    <w:rsid w:val="00D05BF3"/>
    <w:rsid w:val="00D31DD8"/>
    <w:rsid w:val="00D7488D"/>
    <w:rsid w:val="00D870FF"/>
    <w:rsid w:val="00D8712A"/>
    <w:rsid w:val="00D9455D"/>
    <w:rsid w:val="00DA4173"/>
    <w:rsid w:val="00DA43B2"/>
    <w:rsid w:val="00DA6A61"/>
    <w:rsid w:val="00DB4A06"/>
    <w:rsid w:val="00DB6779"/>
    <w:rsid w:val="00DB70B6"/>
    <w:rsid w:val="00DC1C09"/>
    <w:rsid w:val="00DD0277"/>
    <w:rsid w:val="00DE3794"/>
    <w:rsid w:val="00DE6922"/>
    <w:rsid w:val="00E06C7B"/>
    <w:rsid w:val="00E1100C"/>
    <w:rsid w:val="00E1517A"/>
    <w:rsid w:val="00E163F9"/>
    <w:rsid w:val="00E21095"/>
    <w:rsid w:val="00E2154D"/>
    <w:rsid w:val="00E26AC3"/>
    <w:rsid w:val="00E273E0"/>
    <w:rsid w:val="00E42856"/>
    <w:rsid w:val="00E438E6"/>
    <w:rsid w:val="00E853E6"/>
    <w:rsid w:val="00E86052"/>
    <w:rsid w:val="00EA537C"/>
    <w:rsid w:val="00EC0533"/>
    <w:rsid w:val="00EC62A2"/>
    <w:rsid w:val="00EE01E5"/>
    <w:rsid w:val="00EE0579"/>
    <w:rsid w:val="00EE0C6A"/>
    <w:rsid w:val="00EE7766"/>
    <w:rsid w:val="00EE79E4"/>
    <w:rsid w:val="00F0335B"/>
    <w:rsid w:val="00F17578"/>
    <w:rsid w:val="00F525F6"/>
    <w:rsid w:val="00F53478"/>
    <w:rsid w:val="00F54873"/>
    <w:rsid w:val="00F56F2F"/>
    <w:rsid w:val="00F60059"/>
    <w:rsid w:val="00F61381"/>
    <w:rsid w:val="00F654A4"/>
    <w:rsid w:val="00F7657C"/>
    <w:rsid w:val="00F77EE7"/>
    <w:rsid w:val="00F835AF"/>
    <w:rsid w:val="00F917C0"/>
    <w:rsid w:val="00FA2284"/>
    <w:rsid w:val="00FB6E9C"/>
    <w:rsid w:val="00FE0D21"/>
    <w:rsid w:val="00FE4A56"/>
    <w:rsid w:val="00FE762C"/>
    <w:rsid w:val="00FF03F2"/>
    <w:rsid w:val="00FF1F03"/>
    <w:rsid w:val="00FF3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E09C"/>
  <w15:chartTrackingRefBased/>
  <w15:docId w15:val="{1F52652A-FC72-45F2-A024-7CBCFDE4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0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6657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8CA"/>
    <w:rPr>
      <w:color w:val="808080"/>
    </w:rPr>
  </w:style>
  <w:style w:type="character" w:styleId="Emphasis">
    <w:name w:val="Emphasis"/>
    <w:basedOn w:val="DefaultParagraphFont"/>
    <w:uiPriority w:val="20"/>
    <w:qFormat/>
    <w:rsid w:val="00DE6922"/>
    <w:rPr>
      <w:i/>
      <w:iCs/>
    </w:rPr>
  </w:style>
  <w:style w:type="paragraph" w:styleId="NormalWeb">
    <w:name w:val="Normal (Web)"/>
    <w:basedOn w:val="Normal"/>
    <w:uiPriority w:val="99"/>
    <w:semiHidden/>
    <w:unhideWhenUsed/>
    <w:rsid w:val="00AA05C2"/>
    <w:pPr>
      <w:spacing w:before="100" w:beforeAutospacing="1" w:after="100" w:afterAutospacing="1"/>
    </w:pPr>
  </w:style>
  <w:style w:type="character" w:styleId="Hyperlink">
    <w:name w:val="Hyperlink"/>
    <w:basedOn w:val="DefaultParagraphFont"/>
    <w:uiPriority w:val="99"/>
    <w:unhideWhenUsed/>
    <w:rsid w:val="009F049D"/>
    <w:rPr>
      <w:color w:val="0563C1" w:themeColor="hyperlink"/>
      <w:u w:val="single"/>
    </w:rPr>
  </w:style>
  <w:style w:type="character" w:styleId="UnresolvedMention">
    <w:name w:val="Unresolved Mention"/>
    <w:basedOn w:val="DefaultParagraphFont"/>
    <w:uiPriority w:val="99"/>
    <w:semiHidden/>
    <w:unhideWhenUsed/>
    <w:rsid w:val="009F049D"/>
    <w:rPr>
      <w:color w:val="605E5C"/>
      <w:shd w:val="clear" w:color="auto" w:fill="E1DFDD"/>
    </w:rPr>
  </w:style>
  <w:style w:type="character" w:styleId="FollowedHyperlink">
    <w:name w:val="FollowedHyperlink"/>
    <w:basedOn w:val="DefaultParagraphFont"/>
    <w:uiPriority w:val="99"/>
    <w:semiHidden/>
    <w:unhideWhenUsed/>
    <w:rsid w:val="00EC0533"/>
    <w:rPr>
      <w:color w:val="954F72" w:themeColor="followedHyperlink"/>
      <w:u w:val="single"/>
    </w:rPr>
  </w:style>
  <w:style w:type="character" w:customStyle="1" w:styleId="text">
    <w:name w:val="text"/>
    <w:basedOn w:val="DefaultParagraphFont"/>
    <w:rsid w:val="003E471F"/>
  </w:style>
  <w:style w:type="character" w:customStyle="1" w:styleId="Heading1Char">
    <w:name w:val="Heading 1 Char"/>
    <w:basedOn w:val="DefaultParagraphFont"/>
    <w:link w:val="Heading1"/>
    <w:uiPriority w:val="9"/>
    <w:rsid w:val="00266577"/>
    <w:rPr>
      <w:rFonts w:ascii="Times New Roman" w:eastAsia="Times New Roman" w:hAnsi="Times New Roman" w:cs="Times New Roman"/>
      <w:b/>
      <w:bCs/>
      <w:kern w:val="36"/>
      <w:sz w:val="48"/>
      <w:szCs w:val="48"/>
      <w:lang w:eastAsia="en-GB"/>
    </w:rPr>
  </w:style>
  <w:style w:type="character" w:customStyle="1" w:styleId="hlfld-title">
    <w:name w:val="hlfld-title"/>
    <w:basedOn w:val="DefaultParagraphFont"/>
    <w:rsid w:val="0026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3086">
      <w:bodyDiv w:val="1"/>
      <w:marLeft w:val="0"/>
      <w:marRight w:val="0"/>
      <w:marTop w:val="0"/>
      <w:marBottom w:val="0"/>
      <w:divBdr>
        <w:top w:val="none" w:sz="0" w:space="0" w:color="auto"/>
        <w:left w:val="none" w:sz="0" w:space="0" w:color="auto"/>
        <w:bottom w:val="none" w:sz="0" w:space="0" w:color="auto"/>
        <w:right w:val="none" w:sz="0" w:space="0" w:color="auto"/>
      </w:divBdr>
    </w:div>
    <w:div w:id="307514682">
      <w:bodyDiv w:val="1"/>
      <w:marLeft w:val="0"/>
      <w:marRight w:val="0"/>
      <w:marTop w:val="0"/>
      <w:marBottom w:val="0"/>
      <w:divBdr>
        <w:top w:val="none" w:sz="0" w:space="0" w:color="auto"/>
        <w:left w:val="none" w:sz="0" w:space="0" w:color="auto"/>
        <w:bottom w:val="none" w:sz="0" w:space="0" w:color="auto"/>
        <w:right w:val="none" w:sz="0" w:space="0" w:color="auto"/>
      </w:divBdr>
    </w:div>
    <w:div w:id="325398154">
      <w:bodyDiv w:val="1"/>
      <w:marLeft w:val="0"/>
      <w:marRight w:val="0"/>
      <w:marTop w:val="0"/>
      <w:marBottom w:val="0"/>
      <w:divBdr>
        <w:top w:val="none" w:sz="0" w:space="0" w:color="auto"/>
        <w:left w:val="none" w:sz="0" w:space="0" w:color="auto"/>
        <w:bottom w:val="none" w:sz="0" w:space="0" w:color="auto"/>
        <w:right w:val="none" w:sz="0" w:space="0" w:color="auto"/>
      </w:divBdr>
    </w:div>
    <w:div w:id="439302276">
      <w:bodyDiv w:val="1"/>
      <w:marLeft w:val="0"/>
      <w:marRight w:val="0"/>
      <w:marTop w:val="0"/>
      <w:marBottom w:val="0"/>
      <w:divBdr>
        <w:top w:val="none" w:sz="0" w:space="0" w:color="auto"/>
        <w:left w:val="none" w:sz="0" w:space="0" w:color="auto"/>
        <w:bottom w:val="none" w:sz="0" w:space="0" w:color="auto"/>
        <w:right w:val="none" w:sz="0" w:space="0" w:color="auto"/>
      </w:divBdr>
    </w:div>
    <w:div w:id="853155684">
      <w:bodyDiv w:val="1"/>
      <w:marLeft w:val="0"/>
      <w:marRight w:val="0"/>
      <w:marTop w:val="0"/>
      <w:marBottom w:val="0"/>
      <w:divBdr>
        <w:top w:val="none" w:sz="0" w:space="0" w:color="auto"/>
        <w:left w:val="none" w:sz="0" w:space="0" w:color="auto"/>
        <w:bottom w:val="none" w:sz="0" w:space="0" w:color="auto"/>
        <w:right w:val="none" w:sz="0" w:space="0" w:color="auto"/>
      </w:divBdr>
    </w:div>
    <w:div w:id="868571312">
      <w:bodyDiv w:val="1"/>
      <w:marLeft w:val="0"/>
      <w:marRight w:val="0"/>
      <w:marTop w:val="0"/>
      <w:marBottom w:val="0"/>
      <w:divBdr>
        <w:top w:val="none" w:sz="0" w:space="0" w:color="auto"/>
        <w:left w:val="none" w:sz="0" w:space="0" w:color="auto"/>
        <w:bottom w:val="none" w:sz="0" w:space="0" w:color="auto"/>
        <w:right w:val="none" w:sz="0" w:space="0" w:color="auto"/>
      </w:divBdr>
      <w:divsChild>
        <w:div w:id="1722169086">
          <w:marLeft w:val="0"/>
          <w:marRight w:val="0"/>
          <w:marTop w:val="0"/>
          <w:marBottom w:val="0"/>
          <w:divBdr>
            <w:top w:val="none" w:sz="0" w:space="0" w:color="auto"/>
            <w:left w:val="none" w:sz="0" w:space="0" w:color="auto"/>
            <w:bottom w:val="none" w:sz="0" w:space="0" w:color="auto"/>
            <w:right w:val="none" w:sz="0" w:space="0" w:color="auto"/>
          </w:divBdr>
          <w:divsChild>
            <w:div w:id="190146526">
              <w:marLeft w:val="0"/>
              <w:marRight w:val="0"/>
              <w:marTop w:val="0"/>
              <w:marBottom w:val="0"/>
              <w:divBdr>
                <w:top w:val="none" w:sz="0" w:space="0" w:color="auto"/>
                <w:left w:val="none" w:sz="0" w:space="0" w:color="auto"/>
                <w:bottom w:val="none" w:sz="0" w:space="0" w:color="auto"/>
                <w:right w:val="none" w:sz="0" w:space="0" w:color="auto"/>
              </w:divBdr>
              <w:divsChild>
                <w:div w:id="387916673">
                  <w:marLeft w:val="0"/>
                  <w:marRight w:val="0"/>
                  <w:marTop w:val="0"/>
                  <w:marBottom w:val="0"/>
                  <w:divBdr>
                    <w:top w:val="none" w:sz="0" w:space="0" w:color="auto"/>
                    <w:left w:val="none" w:sz="0" w:space="0" w:color="auto"/>
                    <w:bottom w:val="none" w:sz="0" w:space="0" w:color="auto"/>
                    <w:right w:val="none" w:sz="0" w:space="0" w:color="auto"/>
                  </w:divBdr>
                  <w:divsChild>
                    <w:div w:id="1540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3892">
      <w:bodyDiv w:val="1"/>
      <w:marLeft w:val="0"/>
      <w:marRight w:val="0"/>
      <w:marTop w:val="0"/>
      <w:marBottom w:val="0"/>
      <w:divBdr>
        <w:top w:val="none" w:sz="0" w:space="0" w:color="auto"/>
        <w:left w:val="none" w:sz="0" w:space="0" w:color="auto"/>
        <w:bottom w:val="none" w:sz="0" w:space="0" w:color="auto"/>
        <w:right w:val="none" w:sz="0" w:space="0" w:color="auto"/>
      </w:divBdr>
    </w:div>
    <w:div w:id="1035545445">
      <w:bodyDiv w:val="1"/>
      <w:marLeft w:val="0"/>
      <w:marRight w:val="0"/>
      <w:marTop w:val="0"/>
      <w:marBottom w:val="0"/>
      <w:divBdr>
        <w:top w:val="none" w:sz="0" w:space="0" w:color="auto"/>
        <w:left w:val="none" w:sz="0" w:space="0" w:color="auto"/>
        <w:bottom w:val="none" w:sz="0" w:space="0" w:color="auto"/>
        <w:right w:val="none" w:sz="0" w:space="0" w:color="auto"/>
      </w:divBdr>
    </w:div>
    <w:div w:id="1065031820">
      <w:bodyDiv w:val="1"/>
      <w:marLeft w:val="0"/>
      <w:marRight w:val="0"/>
      <w:marTop w:val="0"/>
      <w:marBottom w:val="0"/>
      <w:divBdr>
        <w:top w:val="none" w:sz="0" w:space="0" w:color="auto"/>
        <w:left w:val="none" w:sz="0" w:space="0" w:color="auto"/>
        <w:bottom w:val="none" w:sz="0" w:space="0" w:color="auto"/>
        <w:right w:val="none" w:sz="0" w:space="0" w:color="auto"/>
      </w:divBdr>
    </w:div>
    <w:div w:id="1075586956">
      <w:bodyDiv w:val="1"/>
      <w:marLeft w:val="0"/>
      <w:marRight w:val="0"/>
      <w:marTop w:val="0"/>
      <w:marBottom w:val="0"/>
      <w:divBdr>
        <w:top w:val="none" w:sz="0" w:space="0" w:color="auto"/>
        <w:left w:val="none" w:sz="0" w:space="0" w:color="auto"/>
        <w:bottom w:val="none" w:sz="0" w:space="0" w:color="auto"/>
        <w:right w:val="none" w:sz="0" w:space="0" w:color="auto"/>
      </w:divBdr>
    </w:div>
    <w:div w:id="1389567853">
      <w:bodyDiv w:val="1"/>
      <w:marLeft w:val="0"/>
      <w:marRight w:val="0"/>
      <w:marTop w:val="0"/>
      <w:marBottom w:val="0"/>
      <w:divBdr>
        <w:top w:val="none" w:sz="0" w:space="0" w:color="auto"/>
        <w:left w:val="none" w:sz="0" w:space="0" w:color="auto"/>
        <w:bottom w:val="none" w:sz="0" w:space="0" w:color="auto"/>
        <w:right w:val="none" w:sz="0" w:space="0" w:color="auto"/>
      </w:divBdr>
    </w:div>
    <w:div w:id="1424643151">
      <w:bodyDiv w:val="1"/>
      <w:marLeft w:val="0"/>
      <w:marRight w:val="0"/>
      <w:marTop w:val="0"/>
      <w:marBottom w:val="0"/>
      <w:divBdr>
        <w:top w:val="none" w:sz="0" w:space="0" w:color="auto"/>
        <w:left w:val="none" w:sz="0" w:space="0" w:color="auto"/>
        <w:bottom w:val="none" w:sz="0" w:space="0" w:color="auto"/>
        <w:right w:val="none" w:sz="0" w:space="0" w:color="auto"/>
      </w:divBdr>
    </w:div>
    <w:div w:id="1717856550">
      <w:bodyDiv w:val="1"/>
      <w:marLeft w:val="0"/>
      <w:marRight w:val="0"/>
      <w:marTop w:val="0"/>
      <w:marBottom w:val="0"/>
      <w:divBdr>
        <w:top w:val="none" w:sz="0" w:space="0" w:color="auto"/>
        <w:left w:val="none" w:sz="0" w:space="0" w:color="auto"/>
        <w:bottom w:val="none" w:sz="0" w:space="0" w:color="auto"/>
        <w:right w:val="none" w:sz="0" w:space="0" w:color="auto"/>
      </w:divBdr>
    </w:div>
    <w:div w:id="1747067485">
      <w:bodyDiv w:val="1"/>
      <w:marLeft w:val="0"/>
      <w:marRight w:val="0"/>
      <w:marTop w:val="0"/>
      <w:marBottom w:val="0"/>
      <w:divBdr>
        <w:top w:val="none" w:sz="0" w:space="0" w:color="auto"/>
        <w:left w:val="none" w:sz="0" w:space="0" w:color="auto"/>
        <w:bottom w:val="none" w:sz="0" w:space="0" w:color="auto"/>
        <w:right w:val="none" w:sz="0" w:space="0" w:color="auto"/>
      </w:divBdr>
    </w:div>
    <w:div w:id="1945117022">
      <w:bodyDiv w:val="1"/>
      <w:marLeft w:val="0"/>
      <w:marRight w:val="0"/>
      <w:marTop w:val="0"/>
      <w:marBottom w:val="0"/>
      <w:divBdr>
        <w:top w:val="none" w:sz="0" w:space="0" w:color="auto"/>
        <w:left w:val="none" w:sz="0" w:space="0" w:color="auto"/>
        <w:bottom w:val="none" w:sz="0" w:space="0" w:color="auto"/>
        <w:right w:val="none" w:sz="0" w:space="0" w:color="auto"/>
      </w:divBdr>
      <w:divsChild>
        <w:div w:id="1546332846">
          <w:marLeft w:val="0"/>
          <w:marRight w:val="0"/>
          <w:marTop w:val="0"/>
          <w:marBottom w:val="0"/>
          <w:divBdr>
            <w:top w:val="none" w:sz="0" w:space="0" w:color="auto"/>
            <w:left w:val="none" w:sz="0" w:space="0" w:color="auto"/>
            <w:bottom w:val="none" w:sz="0" w:space="0" w:color="auto"/>
            <w:right w:val="none" w:sz="0" w:space="0" w:color="auto"/>
          </w:divBdr>
          <w:divsChild>
            <w:div w:id="525362986">
              <w:marLeft w:val="0"/>
              <w:marRight w:val="0"/>
              <w:marTop w:val="0"/>
              <w:marBottom w:val="0"/>
              <w:divBdr>
                <w:top w:val="none" w:sz="0" w:space="0" w:color="auto"/>
                <w:left w:val="none" w:sz="0" w:space="0" w:color="auto"/>
                <w:bottom w:val="none" w:sz="0" w:space="0" w:color="auto"/>
                <w:right w:val="none" w:sz="0" w:space="0" w:color="auto"/>
              </w:divBdr>
              <w:divsChild>
                <w:div w:id="376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Shelton</dc:creator>
  <cp:keywords/>
  <dc:description/>
  <cp:lastModifiedBy>Samuel Shelton</cp:lastModifiedBy>
  <cp:revision>225</cp:revision>
  <dcterms:created xsi:type="dcterms:W3CDTF">2022-07-07T10:19:00Z</dcterms:created>
  <dcterms:modified xsi:type="dcterms:W3CDTF">2022-07-22T11:02:00Z</dcterms:modified>
</cp:coreProperties>
</file>