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CCC (Canadian Computing Competition)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Instructor</w:t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CCC Topics</w:t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  <w:color w:val="50505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selection</w:t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repetition</w:t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arrays</w:t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string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data structures (e.g., lists, dictionary)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math problems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highlight w:val="white"/>
          <w:rtl w:val="0"/>
        </w:rPr>
        <w:t xml:space="preserve">recursion</w:t>
      </w:r>
      <w:r w:rsidDel="00000000" w:rsidR="00000000" w:rsidRPr="00000000">
        <w:rPr>
          <w:rFonts w:ascii="Helvetica Neue" w:cs="Helvetica Neue" w:eastAsia="Helvetica Neue" w:hAnsi="Helvetica Neue"/>
          <w:color w:val="505050"/>
          <w:sz w:val="22"/>
          <w:szCs w:val="22"/>
          <w:rtl w:val="0"/>
        </w:rPr>
        <w:br w:type="textWrapping"/>
        <w:t xml:space="preserve">sorting and searching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Syllabus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shd w:fill="d9d9d9" w:val="clear"/>
          <w:rtl w:val="0"/>
        </w:rPr>
        <w:t xml:space="preserve">Class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CCC and format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and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Iterations (for, while loops)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Selections</w:t>
      </w: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(if</w:t>
      </w:r>
      <w:r w:rsidDel="00000000" w:rsidR="00000000" w:rsidRPr="00000000">
        <w:rPr>
          <w:rtl w:val="0"/>
        </w:rPr>
        <w:t xml:space="preserve">-else </w:t>
      </w: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Lists and dictionary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practices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 tests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what is left from Class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Stack and Queue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Linked list and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practices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 tests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what is left from Class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Sorting and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practices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 tests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what is left from Class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Combination of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practices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 tests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review what we learned in the past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review on the questions in the past tests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4"/>
        <w:gridCol w:w="3170"/>
        <w:gridCol w:w="2956"/>
        <w:tblGridChange w:id="0">
          <w:tblGrid>
            <w:gridCol w:w="3224"/>
            <w:gridCol w:w="3170"/>
            <w:gridCol w:w="2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Lesson Day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Coverage from CCC 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Topic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Q1 and Q2 and Q3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05050"/>
                <w:sz w:val="22"/>
                <w:szCs w:val="22"/>
                <w:highlight w:val="white"/>
                <w:rtl w:val="0"/>
              </w:rPr>
              <w:t xml:space="preserve">basic loops and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Q3 and Q4 Part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05050"/>
                <w:sz w:val="22"/>
                <w:szCs w:val="22"/>
                <w:highlight w:val="white"/>
                <w:rtl w:val="0"/>
              </w:rPr>
              <w:t xml:space="preserve">some combination of loops, conditions and counting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Q4 and Q5 (part)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05050"/>
                <w:sz w:val="22"/>
                <w:szCs w:val="22"/>
                <w:highlight w:val="white"/>
                <w:rtl w:val="0"/>
              </w:rPr>
              <w:t xml:space="preserve">recursion, efficient sorting, clever algorithms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Q4 and Q5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Combination of algorithms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Final Review 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grkzmrz5r7n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w9071fv7ryd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DengXi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Copyright@Uforse Education Group Inc.英狮教育集团    </w:t>
    </w:r>
    <w:hyperlink r:id="rId1"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uforseteam@gmail.com</w:t>
      </w:r>
    </w:hyperlink>
    <w:r w:rsidDel="00000000" w:rsidR="00000000" w:rsidRPr="00000000"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6476864399   wechatID: uforsehelp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英狮教育集团Uforse Education Group Inc. </w:t>
      <w:tab/>
      <w:tab/>
    </w:r>
    <w:r w:rsidDel="00000000" w:rsidR="00000000" w:rsidRPr="00000000"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554464" cy="55446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464" cy="554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DengXian" w:cs="DengXian" w:eastAsia="DengXian" w:hAnsi="DengXi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DengXian" w:cs="DengXian" w:eastAsia="DengXian" w:hAnsi="DengXi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ngXian" w:cs="DengXian" w:eastAsia="DengXian" w:hAnsi="DengXian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forseteam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