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center"/>
      </w:pPr>
      <w:r>
        <w:rPr>
          <w:rFonts w:ascii="楷体" w:hAnsi="楷体"/>
          <w:b/>
          <w:sz w:val="44"/>
        </w:rPr>
        <w:t>需求分析质量验证报告</w:t>
      </w:r>
    </w:p>
    <w:p>
      <w:pPr>
        <w:spacing w:after="120" w:line="360" w:lineRule="auto"/>
        <w:ind w:firstLine="480"/>
      </w:pPr>
      <w:r>
        <w:rPr>
          <w:rFonts w:ascii="楷体" w:hAnsi="楷体"/>
          <w:sz w:val="24"/>
        </w:rPr>
        <w:t>项目：校园二手交易与物品流转平台。版本：C-validation-v1（2026-10-21）。编制责任：C；独立复核责任：D。当前结论为C角色执行性自测及A/B既有材料汇编，未取得D独立复核与学生人工走查记录。</w:t>
      </w:r>
    </w:p>
    <w:p>
      <w:pPr>
        <w:keepNext/>
        <w:spacing w:before="240" w:after="120"/>
      </w:pPr>
      <w:r>
        <w:rPr>
          <w:rFonts w:ascii="楷体" w:hAnsi="楷体"/>
          <w:b/>
          <w:sz w:val="32"/>
        </w:rPr>
        <w:t>A.1 提交信息与输入版本</w:t>
      </w:r>
    </w:p>
    <w:p>
      <w:pPr>
        <w:spacing w:after="120" w:line="360" w:lineRule="auto"/>
        <w:ind w:firstLine="480"/>
      </w:pPr>
      <w:r>
        <w:rPr>
          <w:rFonts w:ascii="楷体" w:hAnsi="楷体"/>
          <w:sz w:val="24"/>
        </w:rPr>
        <w:t>主报告为documents/校园二手交易与物品流转平台需求规格说明书.md及同名Word/PDF；输入Git提交为11e77c4923c04e0911227170f11501e28ab5fa9a，A交接版本A-business-v2-2026-10-20，B交接版本B-model-v2-2026-10-21。正文新增范围仅2.5、2.6、第6章及7.3，A/B正文和原件不改写。输入文件哈希见E-C-01，交付位置和最终文件哈希见attachments/交付清单.md及C文件版本清单。</w:t>
      </w:r>
    </w:p>
    <w:p>
      <w:pPr>
        <w:spacing w:after="120" w:line="360" w:lineRule="auto"/>
        <w:ind w:firstLine="480"/>
      </w:pPr>
      <w:r>
        <w:rPr>
          <w:rFonts w:ascii="楷体" w:hAnsi="楷体"/>
          <w:sz w:val="24"/>
        </w:rPr>
        <w:t>成员以a、b、c、d标识；小组编号与实名对应尚未取得。C使用Codex、Node.js v24.19.0与Playwright驱动Edge进行原型构建及执行检查；浏览器具体版本见E-C-05。工具执行与实际学生观察分别记录。</w:t>
      </w:r>
    </w:p>
    <w:p>
      <w:pPr>
        <w:keepNext/>
        <w:spacing w:before="240" w:after="120"/>
      </w:pPr>
      <w:r>
        <w:rPr>
          <w:rFonts w:ascii="楷体" w:hAnsi="楷体"/>
          <w:b/>
          <w:sz w:val="32"/>
        </w:rPr>
        <w:t>A.2 事实与规则确认</w:t>
      </w:r>
    </w:p>
    <w:p>
      <w:pPr>
        <w:spacing w:after="120" w:line="360" w:lineRule="auto"/>
        <w:ind w:firstLine="480"/>
      </w:pPr>
      <w:r>
        <w:rPr>
          <w:rFonts w:ascii="楷体" w:hAnsi="楷体"/>
          <w:sz w:val="24"/>
        </w:rPr>
        <w:t>规则依据沿用A的E-A-03“业务规则逐项依据及确认状态”和B的E-B-08。课程材料支持功能范围，BR01—BR20的具体条件包含分析推导与审阅方案；A记录的实际确认人员、日期仍待补，不因C使用或测试通过升级为业务方确认。</w:t>
      </w:r>
    </w:p>
    <w:p>
      <w:pPr>
        <w:spacing w:after="120" w:line="360" w:lineRule="auto"/>
        <w:ind w:firstLine="480"/>
      </w:pPr>
      <w:r>
        <w:rPr>
          <w:rFonts w:ascii="楷体" w:hAnsi="楷体"/>
          <w:sz w:val="24"/>
        </w:rPr>
        <w:t>本轮重点核对BR06/10唯一占用与重复请求、BR08/09交付及取消、BR12受限旧单、BR14归属、BR15/19争议、BR18/20统计及快照在原型中的可观察表现。来源核对的独立结论仍由D维护7.2，C不代填访谈或签认。</w:t>
      </w:r>
    </w:p>
    <w:p>
      <w:pPr>
        <w:spacing w:after="120" w:line="360" w:lineRule="auto"/>
        <w:ind w:firstLine="480"/>
      </w:pPr>
      <w:r>
        <w:rPr>
          <w:rFonts w:ascii="楷体" w:hAnsi="楷体"/>
          <w:sz w:val="24"/>
        </w:rPr>
        <w:t>V-C-01记录交易中物品可见范围待核对；V-C-03记录争议受理期间可执行操作待澄清。TBD-B-01—04以及TBD-C-01/02保留待确认，未填造时限、性能或恢复数值。</w:t>
      </w:r>
    </w:p>
    <w:p>
      <w:pPr>
        <w:keepNext/>
        <w:spacing w:before="240" w:after="120"/>
      </w:pPr>
      <w:r>
        <w:rPr>
          <w:rFonts w:ascii="楷体" w:hAnsi="楷体"/>
          <w:b/>
          <w:sz w:val="32"/>
        </w:rPr>
        <w:t>A.3 图模型及材料一致性</w:t>
      </w:r>
    </w:p>
    <w:p>
      <w:pPr>
        <w:spacing w:after="120" w:line="360" w:lineRule="auto"/>
        <w:ind w:firstLine="480"/>
      </w:pPr>
      <w:r>
        <w:rPr>
          <w:rFonts w:ascii="楷体" w:hAnsi="楷体"/>
          <w:sz w:val="24"/>
        </w:rPr>
        <w:t>A提供图1-1、图2-1、图5-1；B提供图3-1及图5-2—5-5，共8张基础图。E-A-06—08、E-B-01—05指向可编辑SVG与PNG，B另提供生成脚本。C总索引引用原件，不复制或改画A/B模型。</w:t>
      </w:r>
    </w:p>
    <w:p>
      <w:pPr>
        <w:spacing w:after="120" w:line="360" w:lineRule="auto"/>
        <w:ind w:firstLine="480"/>
      </w:pPr>
      <w:r>
        <w:rPr>
          <w:rFonts w:ascii="楷体" w:hAnsi="楷体"/>
          <w:sz w:val="24"/>
        </w:rPr>
        <w:t>图号、作者、建模对象与关联需求见各自附件索引；C按图文中的对象名称和转换号制作原型，并记录上游待核对事项。B的既有自查及V-B-01修正材料作为供稿引用，不将其自查写为C/D独立审查。A/B原件哈希与正文保全检查见E-C-09。</w:t>
      </w:r>
    </w:p>
    <w:p>
      <w:pPr>
        <w:keepNext/>
        <w:spacing w:before="240" w:after="120"/>
      </w:pPr>
      <w:r>
        <w:rPr>
          <w:rFonts w:ascii="楷体" w:hAnsi="楷体"/>
          <w:b/>
          <w:sz w:val="32"/>
        </w:rPr>
        <w:t>A.4 状态转换与对象联动</w:t>
      </w:r>
    </w:p>
    <w:p>
      <w:pPr>
        <w:spacing w:after="120" w:line="360" w:lineRule="auto"/>
        <w:ind w:firstLine="480"/>
      </w:pPr>
      <w:r>
        <w:rPr>
          <w:rFonts w:ascii="楷体" w:hAnsi="楷体"/>
          <w:sz w:val="24"/>
        </w:rPr>
        <w:t>以正文表5-1、表5-2及E-B-07表A-2/A-3为依据。原型重点执行ST-B-08/13下单同时成立、14接单、15拒单、16/18取消、17交付登记、19/10完成、11/20/21异常终止；对应拒绝和重试引用ST-B-S1—S6。商品、订单、占用、快照和成交计数一起观察。</w:t>
      </w:r>
    </w:p>
    <w:p>
      <w:pPr>
        <w:spacing w:after="120" w:line="360" w:lineRule="auto"/>
        <w:ind w:firstLine="480"/>
      </w:pPr>
      <w:r>
        <w:rPr>
          <w:rFonts w:ascii="楷体" w:hAnsi="楷体"/>
          <w:sz w:val="24"/>
        </w:rPr>
        <w:t>隐藏、账户限制和争议受理保持为标记；受理不新增“争议中”生命周期状态。继续履约恢复受理时阶段；异常终止释放占用但物品为交易异常终止，未实现核实归属后的重发。发布审核和重发相关转换未通过本原型验证。</w:t>
      </w:r>
    </w:p>
    <w:p>
      <w:pPr>
        <w:spacing w:after="120" w:line="360" w:lineRule="auto"/>
        <w:ind w:firstLine="480"/>
      </w:pPr>
      <w:r>
        <w:rPr>
          <w:rFonts w:ascii="楷体" w:hAnsi="楷体"/>
          <w:sz w:val="24"/>
        </w:rPr>
        <w:t>SC-C-03、08、09分别用可控顺序模拟竞争与取消/登记先后结果，不提供真实并发证明。后续真实实现须用重叠请求和最终持久数据核验同一约束。</w:t>
      </w:r>
    </w:p>
    <w:p>
      <w:pPr>
        <w:keepNext/>
        <w:spacing w:before="240" w:after="120"/>
      </w:pPr>
      <w:r>
        <w:rPr>
          <w:rFonts w:ascii="楷体" w:hAnsi="楷体"/>
          <w:b/>
          <w:sz w:val="32"/>
        </w:rPr>
        <w:t>A.5 场景走查</w:t>
      </w:r>
    </w:p>
    <w:p>
      <w:pPr>
        <w:spacing w:after="120" w:line="360" w:lineRule="auto"/>
        <w:ind w:firstLine="480"/>
      </w:pPr>
      <w:r>
        <w:rPr>
          <w:rFonts w:ascii="楷体" w:hAnsi="楷体"/>
          <w:sz w:val="24"/>
        </w:rPr>
        <w:t>已设计并执行SC-C-01—22，覆盖正常、权限、状态转换、异常四类。每项初始数据、步骤、预期、关联UC/BR/ST见E-C-03；实际输入、响应、前后对象状态及断言见E-C-04。原型种子I01教材价格35元仅为模拟数据。</w:t>
      </w:r>
    </w:p>
    <w:p>
      <w:pPr>
        <w:spacing w:after="120" w:line="360" w:lineRule="auto"/>
        <w:ind w:firstLine="480"/>
      </w:pPr>
      <w:r>
        <w:rPr>
          <w:rFonts w:ascii="楷体" w:hAnsi="楷体"/>
          <w:sz w:val="24"/>
        </w:rPr>
        <w:t>本轮实际执行者是C角色agent，未取得学生本人操作记录。已提供可复做的场景脚本；人工观察者、实际日期、操作结果和意见须在走查发生后填写。跨组走查和教师抽查未开展，不计入完成项。</w:t>
      </w:r>
    </w:p>
    <w:p>
      <w:pPr>
        <w:keepNext/>
        <w:spacing w:before="240" w:after="120"/>
      </w:pPr>
      <w:r>
        <w:rPr>
          <w:rFonts w:ascii="楷体" w:hAnsi="楷体"/>
          <w:b/>
          <w:sz w:val="32"/>
        </w:rPr>
        <w:t>A.6 原型与实际验证</w:t>
      </w:r>
    </w:p>
    <w:p>
      <w:pPr>
        <w:spacing w:after="120" w:line="360" w:lineRule="auto"/>
        <w:ind w:firstLine="480"/>
      </w:pPr>
      <w:r>
        <w:rPr>
          <w:rFonts w:ascii="楷体" w:hAnsi="楷体"/>
          <w:sz w:val="24"/>
        </w:rPr>
        <w:t>原型入口：attachments/C/prototype/index.html，版本C-prototype-v1；无安装依赖即可用浏览器打开。内存重置、角色切换和故障面板均为教学模拟，无真实登录隔离、持久化、外部通知与支付。本轮覆盖UC05/06/07及UC10/11核心边界，辅助旧单沟通和终态反馈，不覆盖全产品。</w:t>
      </w:r>
    </w:p>
    <w:p>
      <w:pPr>
        <w:keepNext/>
        <w:spacing w:after="120" w:line="360" w:lineRule="auto"/>
        <w:ind w:firstLine="480"/>
      </w:pPr>
      <w:r>
        <w:rPr>
          <w:rFonts w:ascii="楷体" w:hAnsi="楷体"/>
          <w:sz w:val="24"/>
        </w:rPr>
        <w:t>表A-1 实际执行结果</w:t>
      </w:r>
    </w:p>
    <w:tbl>
      <w:tblPr>
        <w:tblStyle w:val="aff1"/>
        <w:tblW w:w="0" w:type="auto"/>
        <w:jc w:val="center"/>
        <w:tblLayout w:type="fixed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1" w:lastColumn="0" w:noHBand="0" w:noVBand="1"/>
      </w:tblPr>
      <w:tblGrid>
        <w:gridCol w:w="1735"/>
        <w:gridCol w:w="2795"/>
        <w:gridCol w:w="2988"/>
        <w:gridCol w:w="2120"/>
      </w:tblGrid>
      <w:tr>
        <w:trPr>
          <w:cantSplit/>
          <w:tblHeader/>
        </w:trPr>
        <w:tc>
          <w:tcPr>
            <w:tcW w:type="dxa" w:w="1735"/>
          </w:tcPr>
          <w:p>
            <w:pPr>
              <w:keepNext/>
              <w:spacing w:line="276" w:lineRule="auto" w:after="40"/>
            </w:pPr>
            <w:r>
              <w:rPr>
                <w:rFonts w:ascii="楷体" w:hAnsi="楷体"/>
                <w:b/>
                <w:sz w:val="21"/>
              </w:rPr>
              <w:t>层级</w:t>
            </w:r>
          </w:p>
        </w:tc>
        <w:tc>
          <w:tcPr>
            <w:tcW w:type="dxa" w:w="2795"/>
          </w:tcPr>
          <w:p>
            <w:pPr>
              <w:keepNext/>
              <w:spacing w:line="276" w:lineRule="auto" w:after="40"/>
            </w:pPr>
            <w:r>
              <w:rPr>
                <w:rFonts w:ascii="楷体" w:hAnsi="楷体"/>
                <w:b/>
                <w:sz w:val="21"/>
              </w:rPr>
              <w:t>数量与结论</w:t>
            </w:r>
          </w:p>
        </w:tc>
        <w:tc>
          <w:tcPr>
            <w:tcW w:type="dxa" w:w="2988"/>
          </w:tcPr>
          <w:p>
            <w:pPr>
              <w:keepNext/>
              <w:spacing w:line="276" w:lineRule="auto" w:after="40"/>
            </w:pPr>
            <w:r>
              <w:rPr>
                <w:rFonts w:ascii="楷体" w:hAnsi="楷体"/>
                <w:b/>
                <w:sz w:val="21"/>
              </w:rPr>
              <w:t>证据</w:t>
            </w:r>
          </w:p>
        </w:tc>
        <w:tc>
          <w:tcPr>
            <w:tcW w:type="dxa" w:w="2120"/>
          </w:tcPr>
          <w:p>
            <w:pPr>
              <w:keepNext/>
              <w:spacing w:line="276" w:lineRule="auto" w:after="40"/>
            </w:pPr>
            <w:r>
              <w:rPr>
                <w:rFonts w:ascii="楷体" w:hAnsi="楷体"/>
                <w:b/>
                <w:sz w:val="21"/>
              </w:rPr>
              <w:t>结论范围</w:t>
            </w:r>
          </w:p>
        </w:tc>
      </w:tr>
      <w:tr>
        <w:trPr>
          <w:cantSplit/>
        </w:trPr>
        <w:tc>
          <w:tcPr>
            <w:tcW w:type="dxa" w:w="173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Node程序检查</w:t>
            </w:r>
          </w:p>
        </w:tc>
        <w:tc>
          <w:tcPr>
            <w:tcW w:type="dxa" w:w="279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22/22组通过，73项断言</w:t>
            </w:r>
          </w:p>
        </w:tc>
        <w:tc>
          <w:tcPr>
            <w:tcW w:type="dxa" w:w="2988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E-C-04，JSON逐项PV与前后状态</w:t>
            </w:r>
          </w:p>
        </w:tc>
        <w:tc>
          <w:tcPr>
            <w:tcW w:type="dxa" w:w="2120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顺序内存与故障注入模拟</w:t>
            </w:r>
          </w:p>
        </w:tc>
      </w:tr>
      <w:tr>
        <w:trPr>
          <w:cantSplit/>
        </w:trPr>
        <w:tc>
          <w:tcPr>
            <w:tcW w:type="dxa" w:w="173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Edge页面操作</w:t>
            </w:r>
          </w:p>
        </w:tc>
        <w:tc>
          <w:tcPr>
            <w:tcW w:type="dxa" w:w="279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7/7组通过，无pageerror</w:t>
            </w:r>
          </w:p>
        </w:tc>
        <w:tc>
          <w:tcPr>
            <w:tcW w:type="dxa" w:w="2988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E-C-05，结果JSON及4张截图</w:t>
            </w:r>
          </w:p>
        </w:tc>
        <w:tc>
          <w:tcPr>
            <w:tcW w:type="dxa" w:w="2120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agent实际点击及390像素窄屏</w:t>
            </w:r>
          </w:p>
        </w:tc>
      </w:tr>
      <w:tr>
        <w:trPr>
          <w:cantSplit/>
        </w:trPr>
        <w:tc>
          <w:tcPr>
            <w:tcW w:type="dxa" w:w="173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学生人工观察</w:t>
            </w:r>
          </w:p>
        </w:tc>
        <w:tc>
          <w:tcPr>
            <w:tcW w:type="dxa" w:w="279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未开展</w:t>
            </w:r>
          </w:p>
        </w:tc>
        <w:tc>
          <w:tcPr>
            <w:tcW w:type="dxa" w:w="2988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E-C-03提供脚本，实际记录待补</w:t>
            </w:r>
          </w:p>
        </w:tc>
        <w:tc>
          <w:tcPr>
            <w:tcW w:type="dxa" w:w="2120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不声明人工走查通过</w:t>
            </w:r>
          </w:p>
        </w:tc>
      </w:tr>
      <w:tr>
        <w:trPr>
          <w:cantSplit/>
        </w:trPr>
        <w:tc>
          <w:tcPr>
            <w:tcW w:type="dxa" w:w="173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后台／性能／恢复</w:t>
            </w:r>
          </w:p>
        </w:tc>
        <w:tc>
          <w:tcPr>
            <w:tcW w:type="dxa" w:w="279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未开展</w:t>
            </w:r>
          </w:p>
        </w:tc>
        <w:tc>
          <w:tcPr>
            <w:tcW w:type="dxa" w:w="2988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Q-C-06/07及原型范围说明</w:t>
            </w:r>
          </w:p>
        </w:tc>
        <w:tc>
          <w:tcPr>
            <w:tcW w:type="dxa" w:w="2120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未实现能力不算通过</w:t>
            </w:r>
          </w:p>
        </w:tc>
      </w:tr>
      <w:tr>
        <w:trPr>
          <w:cantSplit/>
        </w:trPr>
        <w:tc>
          <w:tcPr>
            <w:tcW w:type="dxa" w:w="173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D独立复核</w:t>
            </w:r>
          </w:p>
        </w:tc>
        <w:tc>
          <w:tcPr>
            <w:tcW w:type="dxa" w:w="279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待交接</w:t>
            </w:r>
          </w:p>
        </w:tc>
        <w:tc>
          <w:tcPr>
            <w:tcW w:type="dxa" w:w="2988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E-C-06、E-C-10</w:t>
            </w:r>
          </w:p>
        </w:tc>
        <w:tc>
          <w:tcPr>
            <w:tcW w:type="dxa" w:w="2120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不声明全系统验收通过</w:t>
            </w:r>
          </w:p>
        </w:tc>
      </w:tr>
    </w:tbl>
    <w:p>
      <w:pPr>
        <w:spacing w:after="120" w:line="360" w:lineRule="auto"/>
        <w:ind w:firstLine="480"/>
      </w:pPr>
      <w:r>
        <w:rPr>
          <w:rFonts w:ascii="楷体" w:hAnsi="楷体"/>
          <w:sz w:val="24"/>
        </w:rPr>
        <w:t>程序PV明细见E-C-04配套Markdown；页面覆盖完整成交、越权入口、取消声明、异常终止、响应丢失查询、受限旧单、通知故障、窄屏与导出。首次脚本读取隐藏文本失败已保留记录；修正后完成复验。C同时修正原型错误重提和终态提示，详见A.7。</w:t>
      </w:r>
    </w:p>
    <w:p>
      <w:pPr>
        <w:keepNext/>
        <w:spacing w:before="240" w:after="120"/>
      </w:pPr>
      <w:r>
        <w:rPr>
          <w:rFonts w:ascii="楷体" w:hAnsi="楷体"/>
          <w:b/>
          <w:sz w:val="32"/>
        </w:rPr>
        <w:t>A.7 问题处理与复核</w:t>
      </w:r>
    </w:p>
    <w:p>
      <w:pPr>
        <w:spacing w:after="120" w:line="360" w:lineRule="auto"/>
        <w:ind w:firstLine="480"/>
      </w:pPr>
      <w:r>
        <w:rPr>
          <w:rFonts w:ascii="楷体" w:hAnsi="楷体"/>
          <w:sz w:val="24"/>
        </w:rPr>
        <w:t>统一沿用V-C-01—06；逐项反例、位置、处理理由及责任见E-C-06。上游V-D-001—004和V-B-01仅引用A/B既有材料，不由C关闭。当前问题状态如下。</w:t>
      </w:r>
    </w:p>
    <w:p>
      <w:pPr>
        <w:keepNext/>
        <w:spacing w:after="120" w:line="360" w:lineRule="auto"/>
        <w:ind w:firstLine="480"/>
      </w:pPr>
      <w:r>
        <w:rPr>
          <w:rFonts w:ascii="楷体" w:hAnsi="楷体"/>
          <w:sz w:val="24"/>
        </w:rPr>
        <w:t>表A-2 C发现与处理状态</w:t>
      </w:r>
    </w:p>
    <w:tbl>
      <w:tblPr>
        <w:tblStyle w:val="aff1"/>
        <w:tblW w:w="0" w:type="auto"/>
        <w:jc w:val="center"/>
        <w:tblLayout w:type="fixed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1" w:lastColumn="0" w:noHBand="0" w:noVBand="1"/>
      </w:tblPr>
      <w:tblGrid>
        <w:gridCol w:w="1735"/>
        <w:gridCol w:w="2795"/>
        <w:gridCol w:w="2988"/>
        <w:gridCol w:w="2120"/>
      </w:tblGrid>
      <w:tr>
        <w:trPr>
          <w:cantSplit/>
          <w:tblHeader/>
        </w:trPr>
        <w:tc>
          <w:tcPr>
            <w:tcW w:type="dxa" w:w="1735"/>
          </w:tcPr>
          <w:p>
            <w:pPr>
              <w:keepNext/>
              <w:spacing w:line="276" w:lineRule="auto" w:after="40"/>
            </w:pPr>
            <w:r>
              <w:rPr>
                <w:rFonts w:ascii="楷体" w:hAnsi="楷体"/>
                <w:b/>
                <w:sz w:val="21"/>
              </w:rPr>
              <w:t>问题</w:t>
            </w:r>
          </w:p>
        </w:tc>
        <w:tc>
          <w:tcPr>
            <w:tcW w:type="dxa" w:w="2795"/>
          </w:tcPr>
          <w:p>
            <w:pPr>
              <w:keepNext/>
              <w:spacing w:line="276" w:lineRule="auto" w:after="40"/>
            </w:pPr>
            <w:r>
              <w:rPr>
                <w:rFonts w:ascii="楷体" w:hAnsi="楷体"/>
                <w:b/>
                <w:sz w:val="21"/>
              </w:rPr>
              <w:t>类别</w:t>
            </w:r>
          </w:p>
        </w:tc>
        <w:tc>
          <w:tcPr>
            <w:tcW w:type="dxa" w:w="2988"/>
          </w:tcPr>
          <w:p>
            <w:pPr>
              <w:keepNext/>
              <w:spacing w:line="276" w:lineRule="auto" w:after="40"/>
            </w:pPr>
            <w:r>
              <w:rPr>
                <w:rFonts w:ascii="楷体" w:hAnsi="楷体"/>
                <w:b/>
                <w:sz w:val="21"/>
              </w:rPr>
              <w:t>已采取处理</w:t>
            </w:r>
          </w:p>
        </w:tc>
        <w:tc>
          <w:tcPr>
            <w:tcW w:type="dxa" w:w="2120"/>
          </w:tcPr>
          <w:p>
            <w:pPr>
              <w:keepNext/>
              <w:spacing w:line="276" w:lineRule="auto" w:after="40"/>
            </w:pPr>
            <w:r>
              <w:rPr>
                <w:rFonts w:ascii="楷体" w:hAnsi="楷体"/>
                <w:b/>
                <w:sz w:val="21"/>
              </w:rPr>
              <w:t>后续责任</w:t>
            </w:r>
          </w:p>
        </w:tc>
      </w:tr>
      <w:tr>
        <w:trPr>
          <w:cantSplit/>
        </w:trPr>
        <w:tc>
          <w:tcPr>
            <w:tcW w:type="dxa" w:w="173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V-C-01、03</w:t>
            </w:r>
          </w:p>
        </w:tc>
        <w:tc>
          <w:tcPr>
            <w:tcW w:type="dxa" w:w="279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业务口径／演示选择待核对</w:t>
            </w:r>
          </w:p>
        </w:tc>
        <w:tc>
          <w:tcPr>
            <w:tcW w:type="dxa" w:w="2988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记录差异及模拟边界；未修改A/B</w:t>
            </w:r>
          </w:p>
        </w:tc>
        <w:tc>
          <w:tcPr>
            <w:tcW w:type="dxa" w:w="2120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A/B澄清、D核对</w:t>
            </w:r>
          </w:p>
        </w:tc>
      </w:tr>
      <w:tr>
        <w:trPr>
          <w:cantSplit/>
        </w:trPr>
        <w:tc>
          <w:tcPr>
            <w:tcW w:type="dxa" w:w="173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V-C-02</w:t>
            </w:r>
          </w:p>
        </w:tc>
        <w:tc>
          <w:tcPr>
            <w:tcW w:type="dxa" w:w="279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正式验收与独立记录缺项</w:t>
            </w:r>
          </w:p>
        </w:tc>
        <w:tc>
          <w:tcPr>
            <w:tcW w:type="dxa" w:w="2988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7.1/7.2/7.4及第8章原样保留</w:t>
            </w:r>
          </w:p>
        </w:tc>
        <w:tc>
          <w:tcPr>
            <w:tcW w:type="dxa" w:w="2120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D补充后复核C结果</w:t>
            </w:r>
          </w:p>
        </w:tc>
      </w:tr>
      <w:tr>
        <w:trPr>
          <w:cantSplit/>
        </w:trPr>
        <w:tc>
          <w:tcPr>
            <w:tcW w:type="dxa" w:w="173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V-C-04</w:t>
            </w:r>
          </w:p>
        </w:tc>
        <w:tc>
          <w:tcPr>
            <w:tcW w:type="dxa" w:w="279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原型恢复入口</w:t>
            </w:r>
          </w:p>
        </w:tc>
        <w:tc>
          <w:tcPr>
            <w:tcW w:type="dxa" w:w="2988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增加上一操作查询、失败后修正输入重提</w:t>
            </w:r>
          </w:p>
        </w:tc>
        <w:tc>
          <w:tcPr>
            <w:tcW w:type="dxa" w:w="2120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C自测通过，D待复核</w:t>
            </w:r>
          </w:p>
        </w:tc>
      </w:tr>
      <w:tr>
        <w:trPr>
          <w:cantSplit/>
        </w:trPr>
        <w:tc>
          <w:tcPr>
            <w:tcW w:type="dxa" w:w="173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V-C-05</w:t>
            </w:r>
          </w:p>
        </w:tc>
        <w:tc>
          <w:tcPr>
            <w:tcW w:type="dxa" w:w="279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检查脚本</w:t>
            </w:r>
          </w:p>
        </w:tc>
        <w:tc>
          <w:tcPr>
            <w:tcW w:type="dxa" w:w="2988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隐藏文本改用textContent，保留首次失败</w:t>
            </w:r>
          </w:p>
        </w:tc>
        <w:tc>
          <w:tcPr>
            <w:tcW w:type="dxa" w:w="2120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最终7组通过，D待复核</w:t>
            </w:r>
          </w:p>
        </w:tc>
      </w:tr>
      <w:tr>
        <w:trPr>
          <w:cantSplit/>
        </w:trPr>
        <w:tc>
          <w:tcPr>
            <w:tcW w:type="dxa" w:w="173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V-C-06</w:t>
            </w:r>
          </w:p>
        </w:tc>
        <w:tc>
          <w:tcPr>
            <w:tcW w:type="dxa" w:w="279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原型终态文案</w:t>
            </w:r>
          </w:p>
        </w:tc>
        <w:tc>
          <w:tcPr>
            <w:tcW w:type="dxa" w:w="2988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区分已完成、异常终止和待确认提示</w:t>
            </w:r>
          </w:p>
        </w:tc>
        <w:tc>
          <w:tcPr>
            <w:tcW w:type="dxa" w:w="2120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页面复验通过，D待复核</w:t>
            </w:r>
          </w:p>
        </w:tc>
      </w:tr>
    </w:tbl>
    <w:p>
      <w:pPr>
        <w:spacing w:after="120" w:line="360" w:lineRule="auto"/>
        <w:ind w:firstLine="480"/>
      </w:pPr>
      <w:r>
        <w:rPr>
          <w:rFonts w:ascii="楷体" w:hAnsi="楷体"/>
          <w:sz w:val="24"/>
        </w:rPr>
        <w:t>本轮不以C自测替代独立结论。学生实际走查、业务确认、D独立复核和AI报告尚缺，交付清单逐项列明负责人，不登记为全组完成。</w:t>
      </w:r>
    </w:p>
    <w:p>
      <w:pPr>
        <w:keepNext/>
        <w:spacing w:before="240" w:after="120"/>
      </w:pPr>
      <w:r>
        <w:rPr>
          <w:rFonts w:ascii="楷体" w:hAnsi="楷体"/>
          <w:b/>
          <w:sz w:val="32"/>
        </w:rPr>
        <w:t>A.8 成员实际贡献与证据</w:t>
      </w:r>
    </w:p>
    <w:p>
      <w:pPr>
        <w:keepNext/>
        <w:spacing w:after="120" w:line="360" w:lineRule="auto"/>
        <w:ind w:firstLine="480"/>
      </w:pPr>
      <w:r>
        <w:rPr>
          <w:rFonts w:ascii="楷体" w:hAnsi="楷体"/>
          <w:sz w:val="24"/>
        </w:rPr>
        <w:t>表A-3 已有材料与需补充的人工作用</w:t>
      </w:r>
    </w:p>
    <w:tbl>
      <w:tblPr>
        <w:tblStyle w:val="aff1"/>
        <w:tblW w:w="0" w:type="auto"/>
        <w:jc w:val="center"/>
        <w:tblLayout w:type="fixed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1" w:lastColumn="0" w:noHBand="0" w:noVBand="1"/>
      </w:tblPr>
      <w:tblGrid>
        <w:gridCol w:w="1735"/>
        <w:gridCol w:w="2795"/>
        <w:gridCol w:w="2988"/>
        <w:gridCol w:w="2120"/>
      </w:tblGrid>
      <w:tr>
        <w:trPr>
          <w:cantSplit/>
          <w:tblHeader/>
        </w:trPr>
        <w:tc>
          <w:tcPr>
            <w:tcW w:type="dxa" w:w="1735"/>
          </w:tcPr>
          <w:p>
            <w:pPr>
              <w:keepNext/>
              <w:spacing w:line="276" w:lineRule="auto" w:after="40"/>
            </w:pPr>
            <w:r>
              <w:rPr>
                <w:rFonts w:ascii="楷体" w:hAnsi="楷体"/>
                <w:b/>
                <w:sz w:val="21"/>
              </w:rPr>
              <w:t>成员</w:t>
            </w:r>
          </w:p>
        </w:tc>
        <w:tc>
          <w:tcPr>
            <w:tcW w:type="dxa" w:w="2795"/>
          </w:tcPr>
          <w:p>
            <w:pPr>
              <w:keepNext/>
              <w:spacing w:line="276" w:lineRule="auto" w:after="40"/>
            </w:pPr>
            <w:r>
              <w:rPr>
                <w:rFonts w:ascii="楷体" w:hAnsi="楷体"/>
                <w:b/>
                <w:sz w:val="21"/>
              </w:rPr>
              <w:t>本轮可定位产物／供稿</w:t>
            </w:r>
          </w:p>
        </w:tc>
        <w:tc>
          <w:tcPr>
            <w:tcW w:type="dxa" w:w="2988"/>
          </w:tcPr>
          <w:p>
            <w:pPr>
              <w:keepNext/>
              <w:spacing w:line="276" w:lineRule="auto" w:after="40"/>
            </w:pPr>
            <w:r>
              <w:rPr>
                <w:rFonts w:ascii="楷体" w:hAnsi="楷体"/>
                <w:b/>
                <w:sz w:val="21"/>
              </w:rPr>
              <w:t>证据入口</w:t>
            </w:r>
          </w:p>
        </w:tc>
        <w:tc>
          <w:tcPr>
            <w:tcW w:type="dxa" w:w="2120"/>
          </w:tcPr>
          <w:p>
            <w:pPr>
              <w:keepNext/>
              <w:spacing w:line="276" w:lineRule="auto" w:after="40"/>
            </w:pPr>
            <w:r>
              <w:rPr>
                <w:rFonts w:ascii="楷体" w:hAnsi="楷体"/>
                <w:b/>
                <w:sz w:val="21"/>
              </w:rPr>
              <w:t>尚缺的实际确认</w:t>
            </w:r>
          </w:p>
        </w:tc>
      </w:tr>
      <w:tr>
        <w:trPr>
          <w:cantSplit/>
        </w:trPr>
        <w:tc>
          <w:tcPr>
            <w:tcW w:type="dxa" w:w="173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A</w:t>
            </w:r>
          </w:p>
        </w:tc>
        <w:tc>
          <w:tcPr>
            <w:tcW w:type="dxa" w:w="279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第1/2章业务与第4章；三张图；规则来源及修订交接</w:t>
            </w:r>
          </w:p>
        </w:tc>
        <w:tc>
          <w:tcPr>
            <w:tcW w:type="dxa" w:w="2988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E-A-03—10</w:t>
            </w:r>
          </w:p>
        </w:tc>
        <w:tc>
          <w:tcPr>
            <w:tcW w:type="dxa" w:w="2120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逐条业务取舍与实际签认依原记录待补</w:t>
            </w:r>
          </w:p>
        </w:tc>
      </w:tr>
      <w:tr>
        <w:trPr>
          <w:cantSplit/>
        </w:trPr>
        <w:tc>
          <w:tcPr>
            <w:tcW w:type="dxa" w:w="173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B</w:t>
            </w:r>
          </w:p>
        </w:tc>
        <w:tc>
          <w:tcPr>
            <w:tcW w:type="dxa" w:w="279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第3/5章；五张图、数据及状态核对；修订交接</w:t>
            </w:r>
          </w:p>
        </w:tc>
        <w:tc>
          <w:tcPr>
            <w:tcW w:type="dxa" w:w="2988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E-B-01—13</w:t>
            </w:r>
          </w:p>
        </w:tc>
        <w:tc>
          <w:tcPr>
            <w:tcW w:type="dxa" w:w="2120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本人建模确认与D独立审查待补</w:t>
            </w:r>
          </w:p>
        </w:tc>
      </w:tr>
      <w:tr>
        <w:trPr>
          <w:cantSplit/>
        </w:trPr>
        <w:tc>
          <w:tcPr>
            <w:tcW w:type="dxa" w:w="173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C</w:t>
            </w:r>
          </w:p>
        </w:tc>
        <w:tc>
          <w:tcPr>
            <w:tcW w:type="dxa" w:w="279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本轮用户提出目录及保护A/B约束；agent完成C章节、原型、执行检查与质量报告汇编</w:t>
            </w:r>
          </w:p>
        </w:tc>
        <w:tc>
          <w:tcPr>
            <w:tcW w:type="dxa" w:w="2988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E-C-01—10</w:t>
            </w:r>
          </w:p>
        </w:tc>
        <w:tc>
          <w:tcPr>
            <w:tcW w:type="dxa" w:w="2120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人工走查及逐项采纳理由待实际成员补充</w:t>
            </w:r>
          </w:p>
        </w:tc>
      </w:tr>
      <w:tr>
        <w:trPr>
          <w:cantSplit/>
        </w:trPr>
        <w:tc>
          <w:tcPr>
            <w:tcW w:type="dxa" w:w="173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D</w:t>
            </w:r>
          </w:p>
        </w:tc>
        <w:tc>
          <w:tcPr>
            <w:tcW w:type="dxa" w:w="2795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本轮未收到正式标准、独立复核和AI报告</w:t>
            </w:r>
          </w:p>
        </w:tc>
        <w:tc>
          <w:tcPr>
            <w:tcW w:type="dxa" w:w="2988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V-C-02及交付清单</w:t>
            </w:r>
          </w:p>
        </w:tc>
        <w:tc>
          <w:tcPr>
            <w:tcW w:type="dxa" w:w="2120"/>
          </w:tcPr>
          <w:p>
            <w:pPr>
              <w:spacing w:line="276" w:lineRule="auto" w:after="40"/>
            </w:pPr>
            <w:r>
              <w:rPr>
                <w:rFonts w:ascii="楷体" w:hAnsi="楷体"/>
                <w:b w:val="0"/>
                <w:sz w:val="21"/>
              </w:rPr>
              <w:t>待D提供实际产物与审查记录</w:t>
            </w:r>
          </w:p>
        </w:tc>
      </w:tr>
    </w:tbl>
    <w:p>
      <w:pPr>
        <w:spacing w:after="120" w:line="360" w:lineRule="auto"/>
        <w:ind w:firstLine="480"/>
      </w:pPr>
      <w:r>
        <w:rPr>
          <w:rFonts w:ascii="楷体" w:hAnsi="楷体"/>
          <w:sz w:val="24"/>
        </w:rPr>
        <w:t>AI辅助生成、程序执行、学生观察及业务确认分别表达，不将AI动作全记为人工贡献。C的真实任务原文、动作摘要与核验边界见E-C-07，交D用于AI报告。最终总索引沿用A/B证据号并补E-C编号，原件仍由产出者维护。</w:t>
      </w:r>
    </w:p>
    <w:sectPr w:rsidR="00A96716" w:rsidSect="00034616">
      <w:footerReference w:type="default" r:id="rId16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DB5230" w14:textId="77777777" w:rsidR="00000000" w:rsidRDefault="00B0769E">
      <w:pPr>
        <w:spacing w:after="0" w:line="240" w:lineRule="auto"/>
      </w:pPr>
      <w:r>
        <w:separator/>
      </w:r>
    </w:p>
  </w:endnote>
  <w:endnote w:type="continuationSeparator" w:id="0">
    <w:p w14:paraId="05C49636" w14:textId="77777777" w:rsidR="00000000" w:rsidRDefault="00B076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8A7E65" w14:textId="77777777" w:rsidR="00A96716" w:rsidRDefault="00B0769E">
    <w:pPr>
      <w:pStyle w:val="a7"/>
      <w:jc w:val="center"/>
    </w:pPr>
    <w:r>
      <w:rPr>
        <w:color w:val="000000"/>
        <w:sz w:val="18"/>
      </w:rPr>
      <w:fldChar w:fldCharType="begin"/>
    </w:r>
    <w:r>
      <w:rPr>
        <w:color w:val="000000"/>
        <w:sz w:val="18"/>
      </w:rPr>
      <w:instrText xml:space="preserve"> PAGE </w:instrText>
    </w:r>
    <w:r>
      <w:rPr>
        <w:color w:val="000000"/>
        <w:sz w:val="18"/>
      </w:rPr>
      <w:fldChar w:fldCharType="separate"/>
    </w:r>
    <w:r>
      <w:rPr>
        <w:noProof/>
        <w:color w:val="000000"/>
        <w:sz w:val="18"/>
      </w:rPr>
      <w:t>1</w:t>
    </w:r>
    <w:r>
      <w:rPr>
        <w:color w:val="00000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47EE15" w14:textId="77777777" w:rsidR="00000000" w:rsidRDefault="00B0769E">
      <w:pPr>
        <w:spacing w:after="0" w:line="240" w:lineRule="auto"/>
      </w:pPr>
      <w:r>
        <w:separator/>
      </w:r>
    </w:p>
  </w:footnote>
  <w:footnote w:type="continuationSeparator" w:id="0">
    <w:p w14:paraId="0846C454" w14:textId="77777777" w:rsidR="00000000" w:rsidRDefault="00B076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96716"/>
    <w:rsid w:val="00AA1D8D"/>
    <w:rsid w:val="00B0769E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40CDEF14"/>
  <w14:defaultImageDpi w14:val="300"/>
  <w15:docId w15:val="{A67AA617-4943-4775-A74D-5AB46EE66A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楷体" w:eastAsia="楷体" w:hAnsi="楷体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B0769E"/>
  </w:style>
  <w:style w:type="paragraph" w:styleId="TOC2">
    <w:name w:val="toc 2"/>
    <w:basedOn w:val="a1"/>
    <w:next w:val="a1"/>
    <w:autoRedefine/>
    <w:uiPriority w:val="39"/>
    <w:unhideWhenUsed/>
    <w:rsid w:val="00B0769E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B0769E"/>
    <w:pPr>
      <w:ind w:leftChars="400" w:left="840"/>
    </w:pPr>
  </w:style>
  <w:style w:type="character" w:styleId="aff9">
    <w:name w:val="Hyperlink"/>
    <w:basedOn w:val="a2"/>
    <w:uiPriority w:val="99"/>
    <w:unhideWhenUsed/>
    <w:rsid w:val="00B0769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34</Pages>
  <Words>17734</Words>
  <Characters>20439</Characters>
  <Application>Microsoft Office Word</Application>
  <DocSecurity>0</DocSecurity>
  <Lines>1519</Lines>
  <Paragraphs>897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20763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戈戈了 早该</cp:lastModifiedBy>
  <cp:revision>2</cp:revision>
  <dcterms:created xsi:type="dcterms:W3CDTF">2013-12-23T23:15:00Z</dcterms:created>
  <dcterms:modified xsi:type="dcterms:W3CDTF">2026-10-21T11:50:00Z</dcterms:modified>
  <cp:category/>
</cp:coreProperties>
</file>